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Graph Reasoning Case Study for Document Grounded QA</w:t>
      </w:r>
    </w:p>
    <w:p>
      <w:pPr>
        <w:pStyle w:val="Heading2"/>
      </w:pPr>
      <w:r>
        <w:t>Incident Background</w:t>
      </w:r>
    </w:p>
    <w:p>
      <w:pPr>
        <w:jc w:val="both"/>
      </w:pPr>
      <w:r>
        <w:t>A support organisation maintains documents about the Orion deployment incident. The incident involved the Orion Service, Billing API, Cache Layer, Search Index, Audit Dashboard and Compliance Review process. The problem was delayed invoice visibility after a schema migration changed the event payload used by downstream services.</w:t>
      </w:r>
    </w:p>
    <w:p>
      <w:pPr>
        <w:jc w:val="both"/>
      </w:pPr>
      <w:r>
        <w:t>The Orion Service publishes invoice events to the Billing API. The Billing API writes normalised invoice records into the Cache Layer. The Search Index reads from the Cache Layer every fifteen minutes. The Audit Dashboard displays invoice status using the Search Index. Compliance Review depends on the Audit Dashboard for month end evidence.</w:t>
      </w:r>
    </w:p>
    <w:p>
      <w:pPr>
        <w:pStyle w:val="Heading2"/>
      </w:pPr>
      <w:r>
        <w:t>Schema Mismatch Chain</w:t>
      </w:r>
    </w:p>
    <w:p>
      <w:pPr>
        <w:jc w:val="both"/>
      </w:pPr>
      <w:r>
        <w:t>The schema migration introduced invoice_state and replaced the older field status_code. The Billing API accepted invoice_state, but the Cache Layer still expected status_code. Records were therefore stored without a searchable status value. The Search Index indexed incomplete records, and the Audit Dashboard showed invoices as pending review.</w:t>
      </w:r>
    </w:p>
    <w:p>
      <w:pPr>
        <w:jc w:val="both"/>
      </w:pPr>
      <w:r>
        <w:t>The dashboard was not the root cause. It only displayed the indexed state. The direct cause was the mismatch between invoice_state and status_code in the Cache Layer. The downstream effect was incomplete indexing, which then affected dashboard visibility and Compliance Review.</w:t>
      </w:r>
    </w:p>
    <w:p>
      <w:pPr>
        <w:pStyle w:val="Heading2"/>
      </w:pPr>
      <w:r>
        <w:t>Owners and Dependencies</w:t>
      </w:r>
    </w:p>
    <w:p>
      <w:pPr>
        <w:jc w:val="both"/>
      </w:pPr>
      <w:r>
        <w:t>The Platform Team owns the Orion Service and Search Index. The Finance Systems Team owns the Billing API. The Reliability Team owns the Cache Layer and monitors recovery. The Compliance Team uses the Audit Dashboard for evidence review.</w:t>
      </w:r>
    </w:p>
    <w:p>
      <w:pPr>
        <w:jc w:val="both"/>
      </w:pPr>
      <w:r>
        <w:t>The dependency path is Orion Service to Billing API to Cache Layer to Search Index to Audit Dashboard to Compliance Review. A failure in the Cache Layer can therefore affect Compliance Review even if both the dashboard and the review process are healthy.</w:t>
      </w:r>
    </w:p>
    <w:p>
      <w:pPr>
        <w:pStyle w:val="Heading2"/>
      </w:pPr>
      <w:r>
        <w:t>Recovery and Controls</w:t>
      </w:r>
    </w:p>
    <w:p>
      <w:pPr>
        <w:jc w:val="both"/>
      </w:pPr>
      <w:r>
        <w:t>The recovery procedure has four steps. First, Finance Systems maps invoice_state back to status_code for affected records. Second, Reliability clears stale Cache Layer entries. Third, Platform triggers a Search Index rebuild. Fourth, Compliance verifies the Audit Dashboard against corrected invoices.</w:t>
      </w:r>
    </w:p>
    <w:p>
      <w:pPr>
        <w:jc w:val="both"/>
      </w:pPr>
      <w:r>
        <w:t>The highest future risk is repeating the incident during another schema migration. The recommended control is a compatibility contract between Billing API and Cache Layer. A second control is an automated relationship test that checks whether Search Index and Audit Dashboard receive the expected status value after migration.</w:t>
      </w:r>
    </w:p>
    <w:p>
      <w:pPr>
        <w:pStyle w:val="Heading2"/>
      </w:pPr>
      <w:r>
        <w:t>Missing Evidence Boundary</w:t>
      </w:r>
    </w:p>
    <w:p>
      <w:pPr>
        <w:jc w:val="both"/>
      </w:pPr>
      <w:r>
        <w:t>The document does not provide customer names, exact revenue impact, the number of affected invoices, a public incident severity grade or a final regulatory conclusion. Any answer about those details should state that the information is missing from the provided document.</w:t>
      </w:r>
    </w:p>
    <w:p>
      <w:pPr>
        <w:jc w:val="both"/>
      </w:pPr>
      <w:r>
        <w:t>The case is designed for graph based reasoning because correct answers must connect services, fields, teams, risks and downstream effects rather than retrieve a single isolated fact.</w:t>
      </w:r>
    </w:p>
    <w:p>
      <w:pPr>
        <w:pStyle w:val="Heading2"/>
      </w:pPr>
      <w:r>
        <w:t>Entity Chain Appendix</w:t>
      </w:r>
    </w:p>
    <w:p>
      <w:pPr>
        <w:jc w:val="both"/>
      </w:pPr>
      <w:r>
        <w:t>The incident chain has six operational entities. Orion Service emits invoice events. Billing API accepts those events. Cache Layer stores normalized invoice records. Search Index reads from the Cache Layer. Audit Dashboard displays Search Index status. Compliance Review uses the dashboard as evidence.</w:t>
      </w:r>
    </w:p>
    <w:p>
      <w:pPr>
        <w:jc w:val="both"/>
      </w:pPr>
      <w:r>
        <w:t>The relationship direction matters. Compliance Review depends on Audit Dashboard; Audit Dashboard depends on Search Index; Search Index depends on Cache Layer. Blaming the final review process ignores the upstream field mismatch.</w:t>
      </w:r>
    </w:p>
    <w:p>
      <w:pPr>
        <w:pStyle w:val="Heading2"/>
      </w:pPr>
      <w:r>
        <w:t>Field Mapping Appendix</w:t>
      </w:r>
    </w:p>
    <w:p>
      <w:pPr>
        <w:jc w:val="both"/>
      </w:pPr>
      <w:r>
        <w:t>The schema migration used invoice_state as the new field name. The Cache Layer expected status_code as the searchable status field. This mismatch caused records to be stored without the searchable status value.</w:t>
      </w:r>
    </w:p>
    <w:p>
      <w:pPr>
        <w:jc w:val="both"/>
      </w:pPr>
      <w:r>
        <w:t>Incomplete records then entered the Search Index. The Audit Dashboard showed pending review because it displayed indexed state rather than original Billing API payloads.</w:t>
      </w:r>
    </w:p>
    <w:p>
      <w:pPr>
        <w:pStyle w:val="Heading2"/>
      </w:pPr>
      <w:r>
        <w:t>Ownership Appendix</w:t>
      </w:r>
    </w:p>
    <w:p>
      <w:pPr>
        <w:jc w:val="both"/>
      </w:pPr>
      <w:r>
        <w:t>Finance Systems owns the Billing API and is responsible for mapping invoice_state back to status_code during recovery. Reliability owns the Cache Layer and clears stale entries. Platform owns the Search Index and triggers index rebuilds.</w:t>
      </w:r>
    </w:p>
    <w:p>
      <w:pPr>
        <w:jc w:val="both"/>
      </w:pPr>
      <w:r>
        <w:t>Compliance verifies the dashboard after corrected invoices are visible. Compliance does not own the Cache Layer, Search Index or schema migration.</w:t>
      </w:r>
    </w:p>
    <w:p>
      <w:pPr>
        <w:pStyle w:val="Heading2"/>
      </w:pPr>
      <w:r>
        <w:t>Control Appendix</w:t>
      </w:r>
    </w:p>
    <w:p>
      <w:pPr>
        <w:jc w:val="both"/>
      </w:pPr>
      <w:r>
        <w:t>The compatibility contract is aimed at the boundary between Billing API and Cache Layer. It prevents future schema changes from breaking the expected searchable status field.</w:t>
      </w:r>
    </w:p>
    <w:p>
      <w:pPr>
        <w:jc w:val="both"/>
      </w:pPr>
      <w:r>
        <w:t>The relationship test is aimed at the downstream path from Search Index to Audit Dashboard. It checks whether the expected status value survives migration and appears in the dashboard.</w:t>
      </w:r>
    </w:p>
    <w:p>
      <w:pPr>
        <w:pStyle w:val="Heading2"/>
      </w:pPr>
      <w:r>
        <w:t>Missing Incident Appendix</w:t>
      </w:r>
    </w:p>
    <w:p>
      <w:pPr>
        <w:jc w:val="both"/>
      </w:pPr>
      <w:r>
        <w:t>The incident record deliberately omits customer names, exact revenue impact, affected invoice count, public severity grade and final regulatory conclusion.</w:t>
      </w:r>
    </w:p>
    <w:p>
      <w:pPr>
        <w:jc w:val="both"/>
      </w:pPr>
      <w:r>
        <w:t>An answer that invents those missing details is not reliable. The correct answer should mark those details as unavailable in the provided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Reasoning Case Study for Document Grounded QA</dc:title>
  <dc:subject>Controlled complex thesis evaluation corpus</dc:subject>
  <dc:creator>Huang Xuan</dc:creator>
  <cp:keywords/>
  <dc:description>generated by python-docx</dc:description>
  <cp:lastModifiedBy/>
  <cp:revision>1</cp:revision>
  <dcterms:created xsi:type="dcterms:W3CDTF">2013-12-23T23:15:00Z</dcterms:created>
  <dcterms:modified xsi:type="dcterms:W3CDTF">2013-12-23T23:15:00Z</dcterms:modified>
  <cp:category/>
</cp:coreProperties>
</file>