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60"/>
        <w:jc w:val="center"/>
      </w:pPr>
      <w:r>
        <w:rPr>
          <w:rFonts w:ascii="Times New Roman" w:hAnsi="Times New Roman" w:eastAsia="Times New Roman" w:cs="Times New Roman"/>
          <w:b w:val="0"/>
          <w:i w:val="0"/>
          <w:sz w:val="28"/>
        </w:rPr>
        <w:t>Алматы қаласының Білім басқармасының</w:t>
      </w:r>
    </w:p>
    <w:p>
      <w:pPr>
        <w:spacing w:line="360" w:lineRule="auto" w:after="60"/>
        <w:jc w:val="center"/>
      </w:pPr>
      <w:r>
        <w:rPr>
          <w:rFonts w:ascii="Times New Roman" w:hAnsi="Times New Roman" w:eastAsia="Times New Roman" w:cs="Times New Roman"/>
          <w:b w:val="0"/>
          <w:i w:val="0"/>
          <w:sz w:val="28"/>
        </w:rPr>
        <w:t>«ALMATY POLYTECHNIC COLLEGE» КМҚК</w:t>
      </w:r>
    </w:p>
    <w:p/>
    <w:p>
      <w:pPr>
        <w:spacing w:line="360" w:lineRule="auto" w:after="60"/>
        <w:jc w:val="right"/>
      </w:pPr>
      <w:r>
        <w:rPr>
          <w:rFonts w:ascii="Times New Roman" w:hAnsi="Times New Roman" w:eastAsia="Times New Roman" w:cs="Times New Roman"/>
          <w:b/>
          <w:i w:val="0"/>
          <w:sz w:val="28"/>
        </w:rPr>
        <w:t>ҚОРҒАУҒА ЖІБЕРІЛЕДІ</w:t>
      </w:r>
    </w:p>
    <w:p>
      <w:pPr>
        <w:spacing w:line="360" w:lineRule="auto" w:after="60"/>
        <w:jc w:val="right"/>
      </w:pPr>
      <w:r>
        <w:rPr>
          <w:rFonts w:ascii="Times New Roman" w:hAnsi="Times New Roman" w:eastAsia="Times New Roman" w:cs="Times New Roman"/>
          <w:b w:val="0"/>
          <w:i w:val="0"/>
          <w:sz w:val="28"/>
        </w:rPr>
        <w:t>Директордың оқу ісі</w:t>
      </w:r>
    </w:p>
    <w:p>
      <w:pPr>
        <w:spacing w:line="360" w:lineRule="auto" w:after="60"/>
        <w:jc w:val="right"/>
      </w:pPr>
      <w:r>
        <w:rPr>
          <w:rFonts w:ascii="Times New Roman" w:hAnsi="Times New Roman" w:eastAsia="Times New Roman" w:cs="Times New Roman"/>
          <w:b w:val="0"/>
          <w:i w:val="0"/>
          <w:sz w:val="28"/>
        </w:rPr>
        <w:t>жөніндегі орынбасары</w:t>
      </w:r>
    </w:p>
    <w:p>
      <w:pPr>
        <w:spacing w:line="360" w:lineRule="auto" w:after="60"/>
        <w:jc w:val="right"/>
      </w:pPr>
      <w:r>
        <w:rPr>
          <w:rFonts w:ascii="Times New Roman" w:hAnsi="Times New Roman" w:eastAsia="Times New Roman" w:cs="Times New Roman"/>
          <w:b w:val="0"/>
          <w:i w:val="0"/>
          <w:sz w:val="28"/>
        </w:rPr>
        <w:t>_____________  М.Мәлікова</w:t>
      </w:r>
    </w:p>
    <w:p>
      <w:pPr>
        <w:spacing w:line="360" w:lineRule="auto" w:after="60"/>
        <w:jc w:val="right"/>
      </w:pPr>
      <w:r>
        <w:rPr>
          <w:rFonts w:ascii="Times New Roman" w:hAnsi="Times New Roman" w:eastAsia="Times New Roman" w:cs="Times New Roman"/>
          <w:b w:val="0"/>
          <w:i w:val="0"/>
          <w:sz w:val="28"/>
        </w:rPr>
        <w:t>01 ақпан 2026 жыл</w:t>
      </w:r>
    </w:p>
    <w:p/>
    <w:p>
      <w:pPr>
        <w:spacing w:line="360" w:lineRule="auto" w:after="60"/>
        <w:jc w:val="center"/>
      </w:pPr>
      <w:r>
        <w:rPr>
          <w:rFonts w:ascii="Times New Roman" w:hAnsi="Times New Roman" w:eastAsia="Times New Roman" w:cs="Times New Roman"/>
          <w:b/>
          <w:i w:val="0"/>
          <w:sz w:val="28"/>
        </w:rPr>
        <w:t>ЕҢБЕКТІ ҚОРҒАУ ЖӘНЕ ТЕХНИКА ҚАУІПСІЗДІГІ БӨЛІМІ</w:t>
      </w:r>
    </w:p>
    <w:p>
      <w:pPr>
        <w:spacing w:line="360" w:lineRule="auto" w:after="60"/>
        <w:jc w:val="center"/>
      </w:pPr>
      <w:r>
        <w:rPr>
          <w:rFonts w:ascii="Times New Roman" w:hAnsi="Times New Roman" w:eastAsia="Times New Roman" w:cs="Times New Roman"/>
          <w:b/>
          <w:i w:val="0"/>
          <w:sz w:val="28"/>
        </w:rPr>
        <w:t>тақырыбы: «Тәрбие сағатын электронды түрде бекіту және басқаруға арналған ақпараттық жүйе әзірлеу»</w:t>
      </w:r>
    </w:p>
    <w:p>
      <w:pPr>
        <w:spacing w:line="360" w:lineRule="auto" w:after="60"/>
        <w:jc w:val="center"/>
      </w:pPr>
      <w:r>
        <w:rPr>
          <w:rFonts w:ascii="Times New Roman" w:hAnsi="Times New Roman" w:eastAsia="Times New Roman" w:cs="Times New Roman"/>
          <w:b/>
          <w:i w:val="0"/>
          <w:sz w:val="28"/>
        </w:rPr>
        <w:t>Орындаған: П22-4Б тобының студенті Бахитияр Санжар</w:t>
      </w:r>
    </w:p>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360" w:lineRule="auto"/>
              <w:jc w:val="left"/>
            </w:pPr>
            <w:r>
              <w:rPr>
                <w:rFonts w:ascii="Times New Roman" w:hAnsi="Times New Roman" w:eastAsia="Times New Roman" w:cs="Times New Roman"/>
                <w:b w:val="0"/>
                <w:i w:val="0"/>
                <w:sz w:val="28"/>
              </w:rPr>
              <w:t>ЕТжәнеАЖ бөлім меңгерушісі</w:t>
            </w:r>
          </w:p>
        </w:tc>
        <w:tc>
          <w:tcPr>
            <w:tcW w:type="dxa" w:w="4844"/>
            <w:vAlign w:val="center"/>
          </w:tcPr>
          <w:p>
            <w:pPr>
              <w:spacing w:line="360" w:lineRule="auto"/>
              <w:jc w:val="left"/>
            </w:pPr>
            <w:r>
              <w:rPr>
                <w:rFonts w:ascii="Times New Roman" w:hAnsi="Times New Roman" w:eastAsia="Times New Roman" w:cs="Times New Roman"/>
                <w:b w:val="0"/>
                <w:i w:val="0"/>
                <w:sz w:val="28"/>
              </w:rPr>
              <w:t>Сын-пікір беруші</w:t>
            </w:r>
          </w:p>
        </w:tc>
      </w:tr>
      <w:tr>
        <w:tc>
          <w:tcPr>
            <w:tcW w:type="dxa" w:w="4844"/>
            <w:vAlign w:val="center"/>
          </w:tcPr>
          <w:p>
            <w:pPr>
              <w:spacing w:line="360" w:lineRule="auto"/>
              <w:jc w:val="left"/>
            </w:pPr>
            <w:r>
              <w:rPr>
                <w:rFonts w:ascii="Times New Roman" w:hAnsi="Times New Roman" w:eastAsia="Times New Roman" w:cs="Times New Roman"/>
                <w:b w:val="0"/>
                <w:i w:val="0"/>
                <w:sz w:val="28"/>
              </w:rPr>
              <w:t>У.Саурбек</w:t>
            </w:r>
          </w:p>
        </w:tc>
        <w:tc>
          <w:tcPr>
            <w:tcW w:type="dxa" w:w="4844"/>
            <w:vAlign w:val="center"/>
          </w:tcPr>
          <w:p>
            <w:pPr>
              <w:spacing w:line="360" w:lineRule="auto"/>
              <w:jc w:val="left"/>
            </w:pPr>
            <w:r>
              <w:rPr>
                <w:rFonts w:ascii="Times New Roman" w:hAnsi="Times New Roman" w:eastAsia="Times New Roman" w:cs="Times New Roman"/>
                <w:b w:val="0"/>
                <w:i w:val="0"/>
                <w:sz w:val="28"/>
              </w:rPr>
              <w:t>А.Т. Досаналиева</w:t>
            </w:r>
          </w:p>
        </w:tc>
      </w:tr>
      <w:tr>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r>
      <w:tr>
        <w:tc>
          <w:tcPr>
            <w:tcW w:type="dxa" w:w="4844"/>
            <w:vAlign w:val="center"/>
          </w:tcPr>
          <w:p>
            <w:pPr>
              <w:spacing w:line="360" w:lineRule="auto"/>
              <w:jc w:val="left"/>
            </w:pPr>
            <w:r>
              <w:rPr>
                <w:rFonts w:ascii="Times New Roman" w:hAnsi="Times New Roman" w:eastAsia="Times New Roman" w:cs="Times New Roman"/>
                <w:b w:val="0"/>
                <w:i w:val="0"/>
                <w:sz w:val="28"/>
              </w:rPr>
              <w:t>Экономикадан кеңесші</w:t>
            </w:r>
          </w:p>
        </w:tc>
        <w:tc>
          <w:tcPr>
            <w:tcW w:type="dxa" w:w="4844"/>
            <w:vAlign w:val="center"/>
          </w:tcPr>
          <w:p>
            <w:pPr>
              <w:spacing w:line="360" w:lineRule="auto"/>
              <w:jc w:val="left"/>
            </w:pPr>
            <w:r>
              <w:rPr>
                <w:rFonts w:ascii="Times New Roman" w:hAnsi="Times New Roman" w:eastAsia="Times New Roman" w:cs="Times New Roman"/>
                <w:b w:val="0"/>
                <w:i w:val="0"/>
                <w:sz w:val="28"/>
              </w:rPr>
              <w:t>ДЖ жетекшісі</w:t>
            </w:r>
          </w:p>
        </w:tc>
      </w:tr>
      <w:tr>
        <w:tc>
          <w:tcPr>
            <w:tcW w:type="dxa" w:w="4844"/>
            <w:vAlign w:val="center"/>
          </w:tcPr>
          <w:p>
            <w:pPr>
              <w:spacing w:line="360" w:lineRule="auto"/>
              <w:jc w:val="left"/>
            </w:pPr>
            <w:r>
              <w:rPr>
                <w:rFonts w:ascii="Times New Roman" w:hAnsi="Times New Roman" w:eastAsia="Times New Roman" w:cs="Times New Roman"/>
                <w:b w:val="0"/>
                <w:i w:val="0"/>
                <w:sz w:val="28"/>
              </w:rPr>
              <w:t>А.Оразымбетова</w:t>
            </w:r>
          </w:p>
        </w:tc>
        <w:tc>
          <w:tcPr>
            <w:tcW w:type="dxa" w:w="4844"/>
            <w:vAlign w:val="center"/>
          </w:tcPr>
          <w:p>
            <w:pPr>
              <w:spacing w:line="360" w:lineRule="auto"/>
              <w:jc w:val="left"/>
            </w:pPr>
            <w:r>
              <w:rPr>
                <w:rFonts w:ascii="Times New Roman" w:hAnsi="Times New Roman" w:eastAsia="Times New Roman" w:cs="Times New Roman"/>
                <w:b w:val="0"/>
                <w:i w:val="0"/>
                <w:sz w:val="28"/>
              </w:rPr>
              <w:t>Қ.Набат</w:t>
            </w:r>
          </w:p>
        </w:tc>
      </w:tr>
      <w:tr>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r>
      <w:tr>
        <w:tc>
          <w:tcPr>
            <w:tcW w:type="dxa" w:w="4844"/>
            <w:vAlign w:val="center"/>
          </w:tcPr>
          <w:p>
            <w:pPr>
              <w:spacing w:line="360" w:lineRule="auto"/>
              <w:jc w:val="left"/>
            </w:pPr>
            <w:r>
              <w:rPr>
                <w:rFonts w:ascii="Times New Roman" w:hAnsi="Times New Roman" w:eastAsia="Times New Roman" w:cs="Times New Roman"/>
                <w:b w:val="0"/>
                <w:i w:val="0"/>
                <w:sz w:val="28"/>
              </w:rPr>
              <w:t>Еңбекті қорғау және ТҚ кеңесшісі</w:t>
            </w:r>
          </w:p>
        </w:tc>
        <w:tc>
          <w:tcPr>
            <w:tcW w:type="dxa" w:w="4844"/>
            <w:vAlign w:val="center"/>
          </w:tcPr>
          <w:p>
            <w:pPr>
              <w:spacing w:line="360" w:lineRule="auto"/>
              <w:jc w:val="left"/>
            </w:pPr>
            <w:r>
              <w:rPr>
                <w:rFonts w:ascii="Times New Roman" w:hAnsi="Times New Roman" w:eastAsia="Times New Roman" w:cs="Times New Roman"/>
                <w:b w:val="0"/>
                <w:i w:val="0"/>
                <w:sz w:val="28"/>
              </w:rPr>
              <w:t>Диплом қорғаушы</w:t>
            </w:r>
          </w:p>
        </w:tc>
      </w:tr>
      <w:tr>
        <w:tc>
          <w:tcPr>
            <w:tcW w:type="dxa" w:w="4844"/>
            <w:vAlign w:val="center"/>
          </w:tcPr>
          <w:p>
            <w:pPr>
              <w:spacing w:line="360" w:lineRule="auto"/>
              <w:jc w:val="left"/>
            </w:pPr>
            <w:r>
              <w:rPr>
                <w:rFonts w:ascii="Times New Roman" w:hAnsi="Times New Roman" w:eastAsia="Times New Roman" w:cs="Times New Roman"/>
                <w:b w:val="0"/>
                <w:i w:val="0"/>
                <w:sz w:val="28"/>
              </w:rPr>
              <w:t>Н.Абылханова</w:t>
            </w:r>
          </w:p>
        </w:tc>
        <w:tc>
          <w:tcPr>
            <w:tcW w:type="dxa" w:w="4844"/>
            <w:vAlign w:val="center"/>
          </w:tcPr>
          <w:p>
            <w:pPr>
              <w:spacing w:line="360" w:lineRule="auto"/>
              <w:jc w:val="left"/>
            </w:pPr>
            <w:r>
              <w:rPr>
                <w:rFonts w:ascii="Times New Roman" w:hAnsi="Times New Roman" w:eastAsia="Times New Roman" w:cs="Times New Roman"/>
                <w:b w:val="0"/>
                <w:i w:val="0"/>
                <w:sz w:val="28"/>
              </w:rPr>
              <w:t>Бахитияр Санжар</w:t>
            </w:r>
          </w:p>
        </w:tc>
      </w:tr>
      <w:tr>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r>
      <w:tr>
        <w:tc>
          <w:tcPr>
            <w:tcW w:type="dxa" w:w="4844"/>
            <w:vAlign w:val="center"/>
          </w:tcPr>
          <w:p>
            <w:pPr>
              <w:spacing w:line="360" w:lineRule="auto"/>
              <w:jc w:val="left"/>
            </w:pPr>
            <w:r>
              <w:rPr>
                <w:rFonts w:ascii="Times New Roman" w:hAnsi="Times New Roman" w:eastAsia="Times New Roman" w:cs="Times New Roman"/>
                <w:b w:val="0"/>
                <w:i w:val="0"/>
                <w:sz w:val="28"/>
              </w:rPr>
              <w:t>Норма бақылаушы</w:t>
            </w:r>
          </w:p>
        </w:tc>
        <w:tc>
          <w:tcPr>
            <w:tcW w:type="dxa" w:w="4844"/>
            <w:vAlign w:val="center"/>
          </w:tcPr>
          <w:p>
            <w:pPr>
              <w:spacing w:line="360" w:lineRule="auto"/>
              <w:jc w:val="left"/>
            </w:pPr>
            <w:r>
              <w:rPr>
                <w:rFonts w:ascii="Times New Roman" w:hAnsi="Times New Roman" w:eastAsia="Times New Roman" w:cs="Times New Roman"/>
                <w:b w:val="0"/>
                <w:i w:val="0"/>
                <w:sz w:val="28"/>
              </w:rPr>
            </w:r>
          </w:p>
        </w:tc>
      </w:tr>
      <w:tr>
        <w:tc>
          <w:tcPr>
            <w:tcW w:type="dxa" w:w="4844"/>
            <w:vAlign w:val="center"/>
          </w:tcPr>
          <w:p>
            <w:pPr>
              <w:spacing w:line="360" w:lineRule="auto"/>
              <w:jc w:val="left"/>
            </w:pPr>
            <w:r>
              <w:rPr>
                <w:rFonts w:ascii="Times New Roman" w:hAnsi="Times New Roman" w:eastAsia="Times New Roman" w:cs="Times New Roman"/>
                <w:b w:val="0"/>
                <w:i w:val="0"/>
                <w:sz w:val="28"/>
              </w:rPr>
              <w:t>У.Саурбек</w:t>
            </w:r>
          </w:p>
        </w:tc>
        <w:tc>
          <w:tcPr>
            <w:tcW w:type="dxa" w:w="4844"/>
            <w:vAlign w:val="center"/>
          </w:tcPr>
          <w:p>
            <w:pPr>
              <w:spacing w:line="360" w:lineRule="auto"/>
              <w:jc w:val="left"/>
            </w:pPr>
            <w:r>
              <w:rPr>
                <w:rFonts w:ascii="Times New Roman" w:hAnsi="Times New Roman" w:eastAsia="Times New Roman" w:cs="Times New Roman"/>
                <w:b w:val="0"/>
                <w:i w:val="0"/>
                <w:sz w:val="28"/>
              </w:rPr>
            </w:r>
          </w:p>
        </w:tc>
      </w:tr>
      <w:tr>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c>
          <w:tcPr>
            <w:tcW w:type="dxa" w:w="4844"/>
            <w:vAlign w:val="center"/>
          </w:tcPr>
          <w:p>
            <w:pPr>
              <w:spacing w:line="360" w:lineRule="auto"/>
              <w:jc w:val="left"/>
            </w:pPr>
            <w:r>
              <w:rPr>
                <w:rFonts w:ascii="Times New Roman" w:hAnsi="Times New Roman" w:eastAsia="Times New Roman" w:cs="Times New Roman"/>
                <w:b w:val="0"/>
                <w:i w:val="0"/>
                <w:sz w:val="28"/>
              </w:rPr>
            </w:r>
          </w:p>
        </w:tc>
      </w:tr>
    </w:tbl>
    <w:p/>
    <w:p>
      <w:pPr>
        <w:spacing w:line="360" w:lineRule="auto" w:after="60"/>
        <w:jc w:val="center"/>
      </w:pPr>
      <w:r>
        <w:rPr>
          <w:rFonts w:ascii="Times New Roman" w:hAnsi="Times New Roman" w:eastAsia="Times New Roman" w:cs="Times New Roman"/>
          <w:b w:val="0"/>
          <w:i w:val="0"/>
          <w:sz w:val="28"/>
        </w:rPr>
        <w:t>Алматы 2026</w:t>
      </w:r>
    </w:p>
    <w:p>
      <w:r>
        <w:br w:type="page"/>
      </w:r>
    </w:p>
    <w:p>
      <w:pPr>
        <w:pStyle w:val="Heading1"/>
        <w:ind w:firstLine="0"/>
        <w:jc w:val="center"/>
      </w:pPr>
      <w:r>
        <w:rPr>
          <w:rFonts w:ascii="Times New Roman" w:hAnsi="Times New Roman" w:eastAsia="Times New Roman" w:cs="Times New Roman"/>
          <w:b/>
          <w:i w:val="0"/>
          <w:sz w:val="28"/>
        </w:rPr>
        <w:t>ЕҢБЕКТІ ҚОРҒАУ ЖӘНЕ ТЕХНИКА ҚАУІПСІЗДІГІ</w:t>
      </w:r>
    </w:p>
    <w:p>
      <w:pPr>
        <w:pStyle w:val="Heading2"/>
        <w:ind w:firstLine="0"/>
        <w:jc w:val="left"/>
      </w:pPr>
      <w:r>
        <w:rPr>
          <w:rFonts w:ascii="Times New Roman" w:hAnsi="Times New Roman" w:eastAsia="Times New Roman" w:cs="Times New Roman"/>
          <w:b/>
          <w:i w:val="0"/>
          <w:sz w:val="28"/>
        </w:rPr>
        <w:t>1 Жалпы талаптар</w:t>
      </w:r>
    </w:p>
    <w:p>
      <w:pPr>
        <w:spacing w:line="360" w:lineRule="auto" w:after="60"/>
        <w:ind w:firstLine="709"/>
      </w:pPr>
      <w:r>
        <w:rPr>
          <w:rFonts w:ascii="Times New Roman" w:hAnsi="Times New Roman" w:eastAsia="Times New Roman" w:cs="Times New Roman"/>
          <w:b w:val="0"/>
          <w:i w:val="0"/>
          <w:sz w:val="28"/>
        </w:rPr>
        <w:t>Еңбекті қорғау – қызметкердің өмірі мен денсаулығын сақтау мақсатында жұмыс орнында қауіпсіз еңбек жағдайларын қамтамасыз етуге бағытталған құқықтық, әлеуметтік-экономикалық, санитарлық-гигиеналық және техникалық шаралар жүйесі. Бағдарламалық қамтамасыз ету саласында еңбек қауіпсіздігі көбіне жұмыс орнын дұрыс ұйымдастыру, экран алдындағы жүктемені азайту, электр қауіпсіздігін сақтау және психоэмоционалдық шаршауды болдырмаумен байланысты.</w:t>
      </w:r>
    </w:p>
    <w:p>
      <w:pPr>
        <w:spacing w:line="360" w:lineRule="auto" w:after="60"/>
        <w:ind w:firstLine="709"/>
      </w:pPr>
      <w:r>
        <w:rPr>
          <w:rFonts w:ascii="Times New Roman" w:hAnsi="Times New Roman" w:eastAsia="Times New Roman" w:cs="Times New Roman"/>
          <w:b w:val="0"/>
          <w:i w:val="0"/>
          <w:sz w:val="28"/>
        </w:rPr>
        <w:t>Дипломдық жобаны әзірлеу кезінде негізгі жұмыс дербес компьютерде, веб-браузерде, код редакторында және Cloudflare платформасымен орындалды. Сондықтан қауіп факторлары кеңсе жағдайына тән: көру мүшелеріне жүктеме, ұзақ статикалық поза, қол мен арқа бұлшықеттерінің шаршауы, электр жабдықтары, өрт қаупі және ақпараттық қауіпсіздік талаптары.</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360" w:lineRule="auto"/>
              <w:jc w:val="center"/>
            </w:pPr>
            <w:r>
              <w:rPr>
                <w:rFonts w:ascii="Times New Roman" w:hAnsi="Times New Roman" w:eastAsia="Times New Roman" w:cs="Times New Roman"/>
                <w:b/>
                <w:i w:val="0"/>
                <w:sz w:val="28"/>
              </w:rPr>
              <w:t>Бағыт</w:t>
            </w:r>
          </w:p>
        </w:tc>
        <w:tc>
          <w:tcPr>
            <w:tcW w:type="dxa" w:w="4844"/>
            <w:vAlign w:val="center"/>
          </w:tcPr>
          <w:p>
            <w:pPr>
              <w:spacing w:line="360" w:lineRule="auto"/>
              <w:jc w:val="center"/>
            </w:pPr>
            <w:r>
              <w:rPr>
                <w:rFonts w:ascii="Times New Roman" w:hAnsi="Times New Roman" w:eastAsia="Times New Roman" w:cs="Times New Roman"/>
                <w:b/>
                <w:i w:val="0"/>
                <w:sz w:val="28"/>
              </w:rPr>
              <w:t>Талап</w:t>
            </w:r>
          </w:p>
        </w:tc>
      </w:tr>
      <w:tr>
        <w:tc>
          <w:tcPr>
            <w:tcW w:type="dxa" w:w="4844"/>
            <w:vAlign w:val="center"/>
          </w:tcPr>
          <w:p>
            <w:pPr>
              <w:spacing w:line="360" w:lineRule="auto"/>
              <w:jc w:val="left"/>
            </w:pPr>
            <w:r>
              <w:rPr>
                <w:rFonts w:ascii="Times New Roman" w:hAnsi="Times New Roman" w:eastAsia="Times New Roman" w:cs="Times New Roman"/>
                <w:b w:val="0"/>
                <w:i w:val="0"/>
                <w:sz w:val="28"/>
              </w:rPr>
              <w:t>Нормативтік база</w:t>
            </w:r>
          </w:p>
        </w:tc>
        <w:tc>
          <w:tcPr>
            <w:tcW w:type="dxa" w:w="4844"/>
            <w:vAlign w:val="center"/>
          </w:tcPr>
          <w:p>
            <w:pPr>
              <w:spacing w:line="360" w:lineRule="auto"/>
              <w:jc w:val="left"/>
            </w:pPr>
            <w:r>
              <w:rPr>
                <w:rFonts w:ascii="Times New Roman" w:hAnsi="Times New Roman" w:eastAsia="Times New Roman" w:cs="Times New Roman"/>
                <w:b w:val="0"/>
                <w:i w:val="0"/>
                <w:sz w:val="28"/>
              </w:rPr>
              <w:t>ҚР еңбек қауіпсіздігі туралы нормалары, санитарлық талаптар және халықаралық эргономика қағидалары</w:t>
            </w:r>
          </w:p>
        </w:tc>
      </w:tr>
      <w:tr>
        <w:tc>
          <w:tcPr>
            <w:tcW w:type="dxa" w:w="4844"/>
            <w:vAlign w:val="center"/>
          </w:tcPr>
          <w:p>
            <w:pPr>
              <w:spacing w:line="360" w:lineRule="auto"/>
              <w:jc w:val="left"/>
            </w:pPr>
            <w:r>
              <w:rPr>
                <w:rFonts w:ascii="Times New Roman" w:hAnsi="Times New Roman" w:eastAsia="Times New Roman" w:cs="Times New Roman"/>
                <w:b w:val="0"/>
                <w:i w:val="0"/>
                <w:sz w:val="28"/>
              </w:rPr>
              <w:t>Еңбек жағдайы</w:t>
            </w:r>
          </w:p>
        </w:tc>
        <w:tc>
          <w:tcPr>
            <w:tcW w:type="dxa" w:w="4844"/>
            <w:vAlign w:val="center"/>
          </w:tcPr>
          <w:p>
            <w:pPr>
              <w:spacing w:line="360" w:lineRule="auto"/>
              <w:jc w:val="left"/>
            </w:pPr>
            <w:r>
              <w:rPr>
                <w:rFonts w:ascii="Times New Roman" w:hAnsi="Times New Roman" w:eastAsia="Times New Roman" w:cs="Times New Roman"/>
                <w:b w:val="0"/>
                <w:i w:val="0"/>
                <w:sz w:val="28"/>
              </w:rPr>
              <w:t>Жарықтандыру, микроклимат, жұмыс және демалыс режимі</w:t>
            </w:r>
          </w:p>
        </w:tc>
      </w:tr>
      <w:tr>
        <w:tc>
          <w:tcPr>
            <w:tcW w:type="dxa" w:w="4844"/>
            <w:vAlign w:val="center"/>
          </w:tcPr>
          <w:p>
            <w:pPr>
              <w:spacing w:line="360" w:lineRule="auto"/>
              <w:jc w:val="left"/>
            </w:pPr>
            <w:r>
              <w:rPr>
                <w:rFonts w:ascii="Times New Roman" w:hAnsi="Times New Roman" w:eastAsia="Times New Roman" w:cs="Times New Roman"/>
                <w:b w:val="0"/>
                <w:i w:val="0"/>
                <w:sz w:val="28"/>
              </w:rPr>
              <w:t>Қауіп факторлары</w:t>
            </w:r>
          </w:p>
        </w:tc>
        <w:tc>
          <w:tcPr>
            <w:tcW w:type="dxa" w:w="4844"/>
            <w:vAlign w:val="center"/>
          </w:tcPr>
          <w:p>
            <w:pPr>
              <w:spacing w:line="360" w:lineRule="auto"/>
              <w:jc w:val="left"/>
            </w:pPr>
            <w:r>
              <w:rPr>
                <w:rFonts w:ascii="Times New Roman" w:hAnsi="Times New Roman" w:eastAsia="Times New Roman" w:cs="Times New Roman"/>
                <w:b w:val="0"/>
                <w:i w:val="0"/>
                <w:sz w:val="28"/>
              </w:rPr>
              <w:t>Көру жүктемесі, статикалық поза, стресс, электр қауіпсіздігі</w:t>
            </w:r>
          </w:p>
        </w:tc>
      </w:tr>
      <w:tr>
        <w:tc>
          <w:tcPr>
            <w:tcW w:type="dxa" w:w="4844"/>
            <w:vAlign w:val="center"/>
          </w:tcPr>
          <w:p>
            <w:pPr>
              <w:spacing w:line="360" w:lineRule="auto"/>
              <w:jc w:val="left"/>
            </w:pPr>
            <w:r>
              <w:rPr>
                <w:rFonts w:ascii="Times New Roman" w:hAnsi="Times New Roman" w:eastAsia="Times New Roman" w:cs="Times New Roman"/>
                <w:b w:val="0"/>
                <w:i w:val="0"/>
                <w:sz w:val="28"/>
              </w:rPr>
              <w:t>Қорғаныс шаралары</w:t>
            </w:r>
          </w:p>
        </w:tc>
        <w:tc>
          <w:tcPr>
            <w:tcW w:type="dxa" w:w="4844"/>
            <w:vAlign w:val="center"/>
          </w:tcPr>
          <w:p>
            <w:pPr>
              <w:spacing w:line="360" w:lineRule="auto"/>
              <w:jc w:val="left"/>
            </w:pPr>
            <w:r>
              <w:rPr>
                <w:rFonts w:ascii="Times New Roman" w:hAnsi="Times New Roman" w:eastAsia="Times New Roman" w:cs="Times New Roman"/>
                <w:b w:val="0"/>
                <w:i w:val="0"/>
                <w:sz w:val="28"/>
              </w:rPr>
              <w:t>Эргономикалық орындық, дұрыс монитор қашықтығы, үзіліс, жерге қосу, нұсқама</w:t>
            </w:r>
          </w:p>
        </w:tc>
      </w:tr>
    </w:tbl>
    <w:p/>
    <w:p>
      <w:pPr>
        <w:pStyle w:val="Heading2"/>
        <w:ind w:firstLine="0"/>
        <w:jc w:val="left"/>
      </w:pPr>
      <w:r>
        <w:rPr>
          <w:rFonts w:ascii="Times New Roman" w:hAnsi="Times New Roman" w:eastAsia="Times New Roman" w:cs="Times New Roman"/>
          <w:b/>
          <w:i w:val="0"/>
          <w:sz w:val="28"/>
        </w:rPr>
        <w:t>2 Бағдарламалық қамтамасыз ету әзірлеушісінің жұмыс орны</w:t>
      </w:r>
    </w:p>
    <w:p>
      <w:pPr>
        <w:spacing w:line="360" w:lineRule="auto" w:after="60"/>
        <w:ind w:firstLine="709"/>
      </w:pPr>
      <w:r>
        <w:rPr>
          <w:rFonts w:ascii="Times New Roman" w:hAnsi="Times New Roman" w:eastAsia="Times New Roman" w:cs="Times New Roman"/>
          <w:b w:val="0"/>
          <w:i w:val="0"/>
          <w:sz w:val="28"/>
        </w:rPr>
        <w:t>Жұмыс үстелінің биіктігі қызметкердің бойына сәйкес болуы, монитор көзден 60–70 см қашықтықта орналасуы, экранның жоғарғы жиегі көз деңгейіне жақын болуы қажет. Орындық арқаны тіреп тұратын, биіктігі реттелетін және ұзақ отыруға ыңғайлы болуы тиіс.</w:t>
      </w:r>
    </w:p>
    <w:p>
      <w:pPr>
        <w:spacing w:line="360" w:lineRule="auto" w:after="60"/>
        <w:ind w:firstLine="709"/>
      </w:pPr>
      <w:r>
        <w:rPr>
          <w:rFonts w:ascii="Times New Roman" w:hAnsi="Times New Roman" w:eastAsia="Times New Roman" w:cs="Times New Roman"/>
          <w:b w:val="0"/>
          <w:i w:val="0"/>
          <w:sz w:val="28"/>
        </w:rPr>
        <w:t>Жарықтандыру жеткілікті әрі біркелкі болуы керек. Экранға тікелей күн сәулесі түспеуі, шағылысу болмауы тиіс. Ұсынылатын микроклимат: температура 20–24°C, ылғалдылық 40–60%, жұмыс орны таза және желдетілген болуы қажет.</w:t>
      </w:r>
    </w:p>
    <w:p>
      <w:pPr>
        <w:spacing w:line="360" w:lineRule="auto" w:after="60"/>
        <w:ind w:firstLine="709"/>
      </w:pPr>
      <w:r>
        <w:rPr>
          <w:rFonts w:ascii="Times New Roman" w:hAnsi="Times New Roman" w:eastAsia="Times New Roman" w:cs="Times New Roman"/>
          <w:b w:val="0"/>
          <w:i w:val="0"/>
          <w:sz w:val="28"/>
        </w:rPr>
        <w:t>Көздің шаршауын азайту үшін әр 45–60 минут сайын 10–15 минут үзіліс жасап, көзге арналған жаттығулар орындау ұсынылады. Ұзақ статикалық позаны болдырмау үшін қол, иық, мойын және арқаға арналған қысқа жаттығулар жасалады.</w:t>
      </w:r>
    </w:p>
    <w:p>
      <w:pPr>
        <w:pStyle w:val="Heading2"/>
        <w:ind w:firstLine="0"/>
        <w:jc w:val="left"/>
      </w:pPr>
      <w:r>
        <w:rPr>
          <w:rFonts w:ascii="Times New Roman" w:hAnsi="Times New Roman" w:eastAsia="Times New Roman" w:cs="Times New Roman"/>
          <w:b/>
          <w:i w:val="0"/>
          <w:sz w:val="28"/>
        </w:rPr>
        <w:t>3 Электр және өрт қауіпсіздігі</w:t>
      </w:r>
    </w:p>
    <w:p>
      <w:pPr>
        <w:spacing w:line="360" w:lineRule="auto" w:after="60"/>
        <w:ind w:firstLine="709"/>
      </w:pPr>
      <w:r>
        <w:rPr>
          <w:rFonts w:ascii="Times New Roman" w:hAnsi="Times New Roman" w:eastAsia="Times New Roman" w:cs="Times New Roman"/>
          <w:b w:val="0"/>
          <w:i w:val="0"/>
          <w:sz w:val="28"/>
        </w:rPr>
        <w:t>Дербес компьютер, монитор және қосымша құрылғылар техникалық жарамды болуы қажет. Кабельдер бүтін, оқшаулауы бұзылмаған, жұмыс үстелінің астында шатаспай орналасқан болуы тиіс. Розетка жерге қосылған және артық жүктелмеген болуы керек.</w:t>
      </w:r>
    </w:p>
    <w:p>
      <w:pPr>
        <w:spacing w:line="360" w:lineRule="auto" w:after="60"/>
        <w:ind w:firstLine="709"/>
      </w:pPr>
      <w:r>
        <w:rPr>
          <w:rFonts w:ascii="Times New Roman" w:hAnsi="Times New Roman" w:eastAsia="Times New Roman" w:cs="Times New Roman"/>
          <w:b w:val="0"/>
          <w:i w:val="0"/>
          <w:sz w:val="28"/>
        </w:rPr>
        <w:t>Электр жабдықтарын дымқыл қолмен ұстауға, кабельді тартуға, ақаулы адаптерді пайдалануға және компьютерді желдетуі жабылған күйде қолдануға болмайды. Жұмыс аяқталғаннан кейін құрылғыларды қауіпсіз өшіру ұсынылады.</w:t>
      </w:r>
    </w:p>
    <w:p>
      <w:pPr>
        <w:spacing w:line="360" w:lineRule="auto" w:after="60"/>
        <w:ind w:firstLine="709"/>
      </w:pPr>
      <w:r>
        <w:rPr>
          <w:rFonts w:ascii="Times New Roman" w:hAnsi="Times New Roman" w:eastAsia="Times New Roman" w:cs="Times New Roman"/>
          <w:b w:val="0"/>
          <w:i w:val="0"/>
          <w:sz w:val="28"/>
        </w:rPr>
        <w:t>Өрт қауіпсіздігі үшін жұмыс бөлмесінде эвакуация жолдары ашық, өрт сөндіргіш қолжетімді, электр сымдары реттелген болуы тиіс. Электр жабдығы жанған жағдайда суды қолдануға болмайды, көмірқышқылды немесе ұнтақты өрт сөндіргіш пайдаланылады.</w:t>
      </w:r>
    </w:p>
    <w:p>
      <w:pPr>
        <w:pStyle w:val="Heading2"/>
        <w:ind w:firstLine="0"/>
        <w:jc w:val="left"/>
      </w:pPr>
      <w:r>
        <w:rPr>
          <w:rFonts w:ascii="Times New Roman" w:hAnsi="Times New Roman" w:eastAsia="Times New Roman" w:cs="Times New Roman"/>
          <w:b/>
          <w:i w:val="0"/>
          <w:sz w:val="28"/>
        </w:rPr>
        <w:t>4 Ақпараттық және экологиялық қауіпсіздік</w:t>
      </w:r>
    </w:p>
    <w:p>
      <w:pPr>
        <w:spacing w:line="360" w:lineRule="auto" w:after="60"/>
        <w:ind w:firstLine="709"/>
      </w:pPr>
      <w:r>
        <w:rPr>
          <w:rFonts w:ascii="Times New Roman" w:hAnsi="Times New Roman" w:eastAsia="Times New Roman" w:cs="Times New Roman"/>
          <w:b w:val="0"/>
          <w:i w:val="0"/>
          <w:sz w:val="28"/>
        </w:rPr>
        <w:t>Ақпараттық қауіпсіздік дипломдық жобаның ажырамас бөлігі болып табылады. API кілттері, Telegram токені, Cloudflare құпиялары және JWT құпия сөзі сияқты деректер бастапқы кодқа жазылмауы керек. Олар орта айнымалыларында немесе құпиялар сақтау жүйесінде сақталады.</w:t>
      </w:r>
    </w:p>
    <w:p>
      <w:pPr>
        <w:spacing w:line="360" w:lineRule="auto" w:after="60"/>
        <w:ind w:firstLine="709"/>
      </w:pPr>
      <w:r>
        <w:rPr>
          <w:rFonts w:ascii="Times New Roman" w:hAnsi="Times New Roman" w:eastAsia="Times New Roman" w:cs="Times New Roman"/>
          <w:b w:val="0"/>
          <w:i w:val="0"/>
          <w:sz w:val="28"/>
        </w:rPr>
        <w:t>Пайдаланушы деректерін қорғау үшін рөлдік қолжетімділік, JWT мерзімі, Zod валидациясы, CORS шектеулері, SQL параметрлеуі және файл типін тексеру қолданылады. Бұл шаралар деректердің рұқсатсыз өзгертілуін және жүйенің дұрыс пайдаланылмауын азайтады.</w:t>
      </w:r>
    </w:p>
    <w:p>
      <w:pPr>
        <w:spacing w:line="360" w:lineRule="auto" w:after="60"/>
        <w:ind w:firstLine="709"/>
      </w:pPr>
      <w:r>
        <w:rPr>
          <w:rFonts w:ascii="Times New Roman" w:hAnsi="Times New Roman" w:eastAsia="Times New Roman" w:cs="Times New Roman"/>
          <w:b w:val="0"/>
          <w:i w:val="0"/>
          <w:sz w:val="28"/>
        </w:rPr>
        <w:t>Экологиялық қауіпсіздік тұрғысынан электронды қалдықтарды дұрыс кәдеге жарату, қағаз құжат айналымын азайту және энергияны үнемдеу маңызды. Жүйенің электронды бекіту механизмі қағаз құжаттарды басып шығару қажеттілігін төмендетеді.</w:t>
      </w:r>
    </w:p>
    <w:p>
      <w:pPr>
        <w:pStyle w:val="Heading2"/>
        <w:ind w:firstLine="0"/>
        <w:jc w:val="left"/>
      </w:pPr>
      <w:r>
        <w:rPr>
          <w:rFonts w:ascii="Times New Roman" w:hAnsi="Times New Roman" w:eastAsia="Times New Roman" w:cs="Times New Roman"/>
          <w:b/>
          <w:i w:val="0"/>
          <w:sz w:val="28"/>
        </w:rPr>
        <w:t>5 Алғашқы көмек және ұйымдастыру шаралары</w:t>
      </w:r>
    </w:p>
    <w:p>
      <w:pPr>
        <w:spacing w:line="360" w:lineRule="auto" w:after="60"/>
        <w:ind w:firstLine="709"/>
      </w:pPr>
      <w:r>
        <w:rPr>
          <w:rFonts w:ascii="Times New Roman" w:hAnsi="Times New Roman" w:eastAsia="Times New Roman" w:cs="Times New Roman"/>
          <w:b w:val="0"/>
          <w:i w:val="0"/>
          <w:sz w:val="28"/>
        </w:rPr>
        <w:t>Электр тогымен зақымдану кезінде алдымен электр көзін ажырату қажет. Зардап шеккен адамды қауіпсіз жерге шығарып, тыныс алуын және тамыр соғысын тексеру керек. Қажет болған жағдайда жедел жәрдем шақырылады және алғашқы көмек көрсетіледі.</w:t>
      </w:r>
    </w:p>
    <w:p>
      <w:pPr>
        <w:spacing w:line="360" w:lineRule="auto" w:after="60"/>
        <w:ind w:firstLine="709"/>
      </w:pPr>
      <w:r>
        <w:rPr>
          <w:rFonts w:ascii="Times New Roman" w:hAnsi="Times New Roman" w:eastAsia="Times New Roman" w:cs="Times New Roman"/>
          <w:b w:val="0"/>
          <w:i w:val="0"/>
          <w:sz w:val="28"/>
        </w:rPr>
        <w:t>Күйік алған жағдайда зақымдалған жерді салқындату, стерильді таңғыш қолдану және медициналық көмекке жүгіну қажет. Естен тану кезінде адамды көлденең жатқызып, таза ауа жеткізіп, тар киімдерін босату керек.</w:t>
      </w:r>
    </w:p>
    <w:p>
      <w:pPr>
        <w:spacing w:line="360" w:lineRule="auto" w:after="60"/>
        <w:ind w:firstLine="709"/>
      </w:pPr>
      <w:r>
        <w:rPr>
          <w:rFonts w:ascii="Times New Roman" w:hAnsi="Times New Roman" w:eastAsia="Times New Roman" w:cs="Times New Roman"/>
          <w:b w:val="0"/>
          <w:i w:val="0"/>
          <w:sz w:val="28"/>
        </w:rPr>
        <w:t>Жұмыс орнында еңбек қауіпсіздігі бойынша бастапқы және қайталама нұсқама жүргізілуі, қауіпсіздік техникасы журналдары толтырылуы және қызметкерлердің қауіпсіз жұмыс дағдылары қалыптастырылуы тиіс.</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