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E8A020" w:sz="12"/>
        </w:pBdr>
        <w:shd w:fill="1A3A6B" w:val="clear"/>
        <w:spacing w:after="0" w:before="0"/>
      </w:pPr>
      <w:r>
        <w:rPr>
          <w:rFonts w:ascii="Arial" w:cs="Arial" w:eastAsia="Arial" w:hAnsi="Arial"/>
          <w:b w:val="false"/>
          <w:bCs w:val="false"/>
          <w:color w:val="FFFFFF"/>
          <w:sz w:val="18"/>
          <w:szCs w:val="18"/>
        </w:rPr>
        <w:t xml:space="preserve">    EMSI Casablanca  •  Filière Informatique  •  2025–2026</w:t>
      </w:r>
    </w:p>
    <w:p>
      <w:pPr>
        <w:spacing w:after="0" w:before="600"/>
      </w:pPr>
    </w:p>
    <w:p>
      <w:pPr>
        <w:spacing w:after="80" w:before="0"/>
        <w:jc w:val="center"/>
      </w:pPr>
      <w:r>
        <w:rPr>
          <w:rFonts w:ascii="Arial" w:cs="Arial" w:eastAsia="Arial" w:hAnsi="Arial"/>
          <w:b/>
          <w:bCs/>
          <w:caps/>
          <w:color w:val="1A3A6B"/>
          <w:sz w:val="22"/>
          <w:szCs w:val="22"/>
        </w:rPr>
        <w:t xml:space="preserve">ÉCOLE MAROCAINE DES SCIENCES DE L'INGÉNIEUR</w:t>
      </w:r>
    </w:p>
    <w:p>
      <w:pPr>
        <w:spacing w:after="400" w:before="0"/>
        <w:jc w:val="center"/>
      </w:pPr>
      <w:r>
        <w:rPr>
          <w:rFonts w:ascii="Arial" w:cs="Arial" w:eastAsia="Arial" w:hAnsi="Arial"/>
          <w:color w:val="555555"/>
          <w:sz w:val="20"/>
          <w:szCs w:val="20"/>
        </w:rPr>
        <w:t xml:space="preserve">Casablanca — Filière Informatique</w:t>
      </w:r>
    </w:p>
    <w:p>
      <w:pPr>
        <w:pBdr>
          <w:bottom w:val="single" w:color="E8A020" w:sz="8" w:space="1"/>
        </w:pBdr>
        <w:spacing w:after="0" w:before="0"/>
      </w:pPr>
    </w:p>
    <w:p>
      <w:pPr>
        <w:spacing w:after="0" w:before="400"/>
      </w:pPr>
    </w:p>
    <w:p>
      <w:pPr>
        <w:spacing w:after="160" w:before="0"/>
        <w:jc w:val="center"/>
      </w:pPr>
      <w:r>
        <w:rPr>
          <w:rFonts w:ascii="Arial" w:cs="Arial" w:eastAsia="Arial" w:hAnsi="Arial"/>
          <w:b/>
          <w:bCs/>
          <w:caps/>
          <w:color w:val="1A3A6B"/>
          <w:sz w:val="28"/>
          <w:szCs w:val="28"/>
        </w:rPr>
        <w:t xml:space="preserve">RAPPORT SCIENTIFIQUE</w:t>
      </w:r>
    </w:p>
    <w:p>
      <w:pPr>
        <w:spacing w:after="80" w:before="0"/>
        <w:jc w:val="center"/>
      </w:pPr>
      <w:r>
        <w:rPr>
          <w:rFonts w:ascii="Arial" w:cs="Arial" w:eastAsia="Arial" w:hAnsi="Arial"/>
          <w:b/>
          <w:bCs/>
          <w:color w:val="2E6DA4"/>
          <w:sz w:val="24"/>
          <w:szCs w:val="24"/>
        </w:rPr>
        <w:t xml:space="preserve">Projet de Fin de Module</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A020" w:sz="4"/>
              <w:left w:val="single" w:color="E8A020" w:sz="4"/>
              <w:bottom w:val="single" w:color="E8A020" w:sz="4"/>
              <w:right w:val="single" w:color="E8A020" w:sz="4"/>
            </w:tcBorders>
            <w:shd w:fill="1A3A6B" w:val="clear"/>
            <w:tcMar>
              <w:top w:type="dxa" w:w="200"/>
              <w:left w:type="dxa" w:w="300"/>
              <w:bottom w:type="dxa" w:w="200"/>
              <w:right w:type="dxa" w:w="300"/>
            </w:tcMar>
          </w:tcPr>
          <w:p>
            <w:pPr>
              <w:jc w:val="center"/>
            </w:pPr>
            <w:r>
              <w:rPr>
                <w:rFonts w:ascii="Arial" w:cs="Arial" w:eastAsia="Arial" w:hAnsi="Arial"/>
                <w:b/>
                <w:bCs/>
                <w:color w:val="FFFFFF"/>
                <w:sz w:val="34"/>
                <w:szCs w:val="34"/>
              </w:rPr>
              <w:t xml:space="preserve">Deep Learning</w:t>
            </w:r>
          </w:p>
          <w:p>
            <w:pPr>
              <w:spacing w:before="120"/>
              <w:jc w:val="center"/>
            </w:pPr>
            <w:r>
              <w:rPr>
                <w:rFonts w:ascii="Arial" w:cs="Arial" w:eastAsia="Arial" w:hAnsi="Arial"/>
                <w:color w:val="D6E4F0"/>
                <w:sz w:val="20"/>
                <w:szCs w:val="20"/>
              </w:rPr>
              <w:t xml:space="preserve">Conception, implémentation, comparaison et analyse critique</w:t>
            </w:r>
          </w:p>
          <w:p>
            <w:pPr>
              <w:jc w:val="center"/>
            </w:pPr>
            <w:r>
              <w:rPr>
                <w:rFonts w:ascii="Arial" w:cs="Arial" w:eastAsia="Arial" w:hAnsi="Arial"/>
                <w:color w:val="D6E4F0"/>
                <w:sz w:val="20"/>
                <w:szCs w:val="20"/>
              </w:rPr>
              <w:t xml:space="preserve">de modèles de deep learning pour données tabulaires, images et séquences</w:t>
            </w:r>
          </w:p>
        </w:tc>
      </w:tr>
    </w:tbl>
    <w:p>
      <w:pPr>
        <w:spacing w:after="0" w:before="600"/>
      </w:pPr>
    </w:p>
    <w:p>
      <w:pPr>
        <w:spacing w:after="600" w:before="0"/>
        <w:jc w:val="center"/>
      </w:pPr>
      <w:r>
        <w:rPr>
          <w:rFonts w:ascii="Arial" w:cs="Arial" w:eastAsia="Arial" w:hAnsi="Arial"/>
          <w:i/>
          <w:iCs/>
          <w:color w:val="2E6DA4"/>
          <w:sz w:val="20"/>
          <w:szCs w:val="20"/>
        </w:rPr>
        <w:t xml:space="preserve">Module : Deep Learning  •  Travail individuel</w:t>
      </w:r>
    </w:p>
    <w:p>
      <w:pPr>
        <w:pBdr>
          <w:bottom w:val="single" w:color="2E6DA4" w:sz="4" w:space="1"/>
        </w:pBdr>
        <w:spacing w:after="0" w:before="0"/>
      </w:pPr>
    </w:p>
    <w:p>
      <w:pPr>
        <w:spacing w:after="0"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Étudiant</w:t>
            </w:r>
          </w:p>
        </w:tc>
        <w:tc>
          <w:tcPr>
            <w:tcW w:type="dxa" w:w="5826"/>
            <w:tcBorders>
              <w:top w:val="single" w:color="CCCCCC" w:sz="1"/>
              <w:left w:val="single" w:color="CCCCCC" w:sz="1"/>
              <w:bottom w:val="single" w:color="CCCCCC" w:sz="1"/>
              <w:right w:val="single" w:color="CCCCCC" w:sz="1"/>
            </w:tcBorders>
            <w:shd w:fill="F2F5F9" w:val="clear"/>
            <w:tcMar>
              <w:top w:type="dxa" w:w="100"/>
              <w:left w:type="dxa" w:w="160"/>
              <w:bottom w:type="dxa" w:w="100"/>
              <w:right w:type="dxa" w:w="160"/>
            </w:tcMar>
          </w:tcPr>
          <w:p>
            <w:r>
              <w:rPr>
                <w:rFonts w:ascii="Arial" w:cs="Arial" w:eastAsia="Arial" w:hAnsi="Arial"/>
                <w:b/>
                <w:bCs/>
                <w:color w:val="1A3A6B"/>
                <w:sz w:val="20"/>
                <w:szCs w:val="20"/>
              </w:rPr>
              <w:t xml:space="preserve">RAMZI Saad</w:t>
            </w:r>
          </w:p>
        </w:tc>
      </w:tr>
      <w:tr>
        <w:tc>
          <w:tcPr>
            <w:tcW w:type="dxa" w:w="320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Encadrant</w:t>
            </w:r>
          </w:p>
        </w:tc>
        <w:tc>
          <w:tcPr>
            <w:tcW w:type="dxa" w:w="5826"/>
            <w:tcBorders>
              <w:top w:val="single" w:color="CCCCCC" w:sz="1"/>
              <w:left w:val="single" w:color="CCCCCC" w:sz="1"/>
              <w:bottom w:val="single" w:color="CCCCCC" w:sz="1"/>
              <w:right w:val="single" w:color="CCCCCC" w:sz="1"/>
            </w:tcBorders>
            <w:shd w:fill="F2F5F9" w:val="clear"/>
            <w:tcMar>
              <w:top w:type="dxa" w:w="100"/>
              <w:left w:type="dxa" w:w="160"/>
              <w:bottom w:type="dxa" w:w="100"/>
              <w:right w:type="dxa" w:w="160"/>
            </w:tcMar>
          </w:tcPr>
          <w:p>
            <w:r>
              <w:rPr>
                <w:rFonts w:ascii="Arial" w:cs="Arial" w:eastAsia="Arial" w:hAnsi="Arial"/>
                <w:b/>
                <w:bCs/>
                <w:color w:val="1A3A6B"/>
                <w:sz w:val="20"/>
                <w:szCs w:val="20"/>
              </w:rPr>
              <w:t xml:space="preserve">M. BATAL Mosaab</w:t>
            </w:r>
          </w:p>
        </w:tc>
      </w:tr>
      <w:tr>
        <w:tc>
          <w:tcPr>
            <w:tcW w:type="dxa" w:w="320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Année universitaire</w:t>
            </w:r>
          </w:p>
        </w:tc>
        <w:tc>
          <w:tcPr>
            <w:tcW w:type="dxa" w:w="5826"/>
            <w:tcBorders>
              <w:top w:val="single" w:color="CCCCCC" w:sz="1"/>
              <w:left w:val="single" w:color="CCCCCC" w:sz="1"/>
              <w:bottom w:val="single" w:color="CCCCCC" w:sz="1"/>
              <w:right w:val="single" w:color="CCCCCC" w:sz="1"/>
            </w:tcBorders>
            <w:shd w:fill="F2F5F9" w:val="clear"/>
            <w:tcMar>
              <w:top w:type="dxa" w:w="100"/>
              <w:left w:type="dxa" w:w="160"/>
              <w:bottom w:type="dxa" w:w="100"/>
              <w:right w:type="dxa" w:w="160"/>
            </w:tcMar>
          </w:tcPr>
          <w:p>
            <w:r>
              <w:rPr>
                <w:rFonts w:ascii="Arial" w:cs="Arial" w:eastAsia="Arial" w:hAnsi="Arial"/>
                <w:b w:val="false"/>
                <w:bCs w:val="false"/>
                <w:color w:val="1A3A6B"/>
                <w:sz w:val="20"/>
                <w:szCs w:val="20"/>
              </w:rPr>
              <w:t xml:space="preserve">2025 – 2026</w:t>
            </w:r>
          </w:p>
        </w:tc>
      </w:tr>
      <w:tr>
        <w:tc>
          <w:tcPr>
            <w:tcW w:type="dxa" w:w="320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Module</w:t>
            </w:r>
          </w:p>
        </w:tc>
        <w:tc>
          <w:tcPr>
            <w:tcW w:type="dxa" w:w="5826"/>
            <w:tcBorders>
              <w:top w:val="single" w:color="CCCCCC" w:sz="1"/>
              <w:left w:val="single" w:color="CCCCCC" w:sz="1"/>
              <w:bottom w:val="single" w:color="CCCCCC" w:sz="1"/>
              <w:right w:val="single" w:color="CCCCCC" w:sz="1"/>
            </w:tcBorders>
            <w:shd w:fill="F2F5F9" w:val="clear"/>
            <w:tcMar>
              <w:top w:type="dxa" w:w="100"/>
              <w:left w:type="dxa" w:w="160"/>
              <w:bottom w:type="dxa" w:w="100"/>
              <w:right w:type="dxa" w:w="160"/>
            </w:tcMar>
          </w:tcPr>
          <w:p>
            <w:r>
              <w:rPr>
                <w:rFonts w:ascii="Arial" w:cs="Arial" w:eastAsia="Arial" w:hAnsi="Arial"/>
                <w:b w:val="false"/>
                <w:bCs w:val="false"/>
                <w:color w:val="1A3A6B"/>
                <w:sz w:val="20"/>
                <w:szCs w:val="20"/>
              </w:rPr>
              <w:t xml:space="preserve">Deep Learning</w:t>
            </w:r>
          </w:p>
        </w:tc>
      </w:tr>
      <w:tr>
        <w:tc>
          <w:tcPr>
            <w:tcW w:type="dxa" w:w="320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r>
              <w:rPr>
                <w:rFonts w:ascii="Arial" w:cs="Arial" w:eastAsia="Arial" w:hAnsi="Arial"/>
                <w:b/>
                <w:bCs/>
                <w:color w:val="FFFFFF"/>
                <w:sz w:val="20"/>
                <w:szCs w:val="20"/>
              </w:rPr>
              <w:t xml:space="preserve">Établissement</w:t>
            </w:r>
          </w:p>
        </w:tc>
        <w:tc>
          <w:tcPr>
            <w:tcW w:type="dxa" w:w="5826"/>
            <w:tcBorders>
              <w:top w:val="single" w:color="CCCCCC" w:sz="1"/>
              <w:left w:val="single" w:color="CCCCCC" w:sz="1"/>
              <w:bottom w:val="single" w:color="CCCCCC" w:sz="1"/>
              <w:right w:val="single" w:color="CCCCCC" w:sz="1"/>
            </w:tcBorders>
            <w:shd w:fill="F2F5F9" w:val="clear"/>
            <w:tcMar>
              <w:top w:type="dxa" w:w="100"/>
              <w:left w:type="dxa" w:w="160"/>
              <w:bottom w:type="dxa" w:w="100"/>
              <w:right w:type="dxa" w:w="160"/>
            </w:tcMar>
          </w:tcPr>
          <w:p>
            <w:r>
              <w:rPr>
                <w:rFonts w:ascii="Arial" w:cs="Arial" w:eastAsia="Arial" w:hAnsi="Arial"/>
                <w:b w:val="false"/>
                <w:bCs w:val="false"/>
                <w:color w:val="1A3A6B"/>
                <w:sz w:val="20"/>
                <w:szCs w:val="20"/>
              </w:rPr>
              <w:t xml:space="preserve">EMSI Casablanca</w:t>
            </w:r>
          </w:p>
        </w:tc>
      </w:tr>
    </w:tbl>
    <w:p>
      <w:pPr>
        <w:spacing w:after="0" w:before="600"/>
      </w:pPr>
    </w:p>
    <w:p>
      <w:pPr>
        <w:pBdr>
          <w:bottom w:val="single" w:color="E8A020" w:sz="8" w:space="1"/>
        </w:pBdr>
        <w:spacing w:after="0" w:before="0"/>
      </w:pPr>
    </w:p>
    <w:p>
      <w:r>
        <w:br w:type="page"/>
      </w:r>
    </w:p>
    <w:p>
      <w:pPr>
        <w:pStyle w:val="Heading1"/>
        <w:pBdr>
          <w:bottom w:val="single" w:color="2E6DA4" w:sz="4" w:space="4"/>
        </w:pBdr>
        <w:spacing w:after="160" w:before="400"/>
      </w:pPr>
      <w:r>
        <w:rPr>
          <w:rFonts w:ascii="Arial" w:cs="Arial" w:eastAsia="Arial" w:hAnsi="Arial"/>
          <w:b/>
          <w:bCs/>
          <w:color w:val="1A3A6B"/>
          <w:sz w:val="32"/>
          <w:szCs w:val="32"/>
        </w:rPr>
        <w:t xml:space="preserve">Table des matières</w:t>
      </w:r>
    </w:p>
    <w:p>
      <w:pPr>
        <w:spacing w:after="80" w:before="80"/>
      </w:pPr>
      <w:r>
        <w:rPr>
          <w:rFonts w:ascii="Arial" w:cs="Arial" w:eastAsia="Arial" w:hAnsi="Arial"/>
          <w:color w:val="1A3A6B"/>
          <w:sz w:val="20"/>
          <w:szCs w:val="20"/>
        </w:rPr>
        <w:t xml:space="preserve">1. Introduction</w:t>
      </w:r>
    </w:p>
    <w:p>
      <w:pPr>
        <w:spacing w:after="80" w:before="80"/>
      </w:pPr>
      <w:r>
        <w:rPr>
          <w:rFonts w:ascii="Arial" w:cs="Arial" w:eastAsia="Arial" w:hAnsi="Arial"/>
          <w:color w:val="1A3A6B"/>
          <w:sz w:val="20"/>
          <w:szCs w:val="20"/>
        </w:rPr>
        <w:t xml:space="preserve">2. Objectifs</w:t>
      </w:r>
    </w:p>
    <w:p>
      <w:pPr>
        <w:spacing w:after="80" w:before="80"/>
      </w:pPr>
      <w:r>
        <w:rPr>
          <w:rFonts w:ascii="Arial" w:cs="Arial" w:eastAsia="Arial" w:hAnsi="Arial"/>
          <w:color w:val="1A3A6B"/>
          <w:sz w:val="20"/>
          <w:szCs w:val="20"/>
        </w:rPr>
        <w:t xml:space="preserve">3. Méthodologie générale</w:t>
      </w:r>
    </w:p>
    <w:p>
      <w:pPr>
        <w:spacing w:after="80" w:before="80"/>
      </w:pPr>
      <w:r>
        <w:rPr>
          <w:rFonts w:ascii="Arial" w:cs="Arial" w:eastAsia="Arial" w:hAnsi="Arial"/>
          <w:color w:val="1A3A6B"/>
          <w:sz w:val="20"/>
          <w:szCs w:val="20"/>
        </w:rPr>
        <w:t xml:space="preserve">4. Partie I — MLP et données tabulaires (Wine Quality)</w:t>
      </w:r>
    </w:p>
    <w:p>
      <w:pPr>
        <w:spacing w:after="80" w:before="80"/>
      </w:pPr>
      <w:r>
        <w:rPr>
          <w:rFonts w:ascii="Arial" w:cs="Arial" w:eastAsia="Arial" w:hAnsi="Arial"/>
          <w:color w:val="1A3A6B"/>
          <w:sz w:val="20"/>
          <w:szCs w:val="20"/>
        </w:rPr>
        <w:t xml:space="preserve">5. Partie II — CNN et vision par ordinateur (CIFAR-10)</w:t>
      </w:r>
    </w:p>
    <w:p>
      <w:pPr>
        <w:spacing w:after="80" w:before="80"/>
      </w:pPr>
      <w:r>
        <w:rPr>
          <w:rFonts w:ascii="Arial" w:cs="Arial" w:eastAsia="Arial" w:hAnsi="Arial"/>
          <w:color w:val="1A3A6B"/>
          <w:sz w:val="20"/>
          <w:szCs w:val="20"/>
        </w:rPr>
        <w:t xml:space="preserve">6. Partie III — RNN, LSTM, GRU et Seq2Seq (Tatoeba fra-eng)</w:t>
      </w:r>
    </w:p>
    <w:p>
      <w:pPr>
        <w:spacing w:after="80" w:before="80"/>
      </w:pPr>
      <w:r>
        <w:rPr>
          <w:rFonts w:ascii="Arial" w:cs="Arial" w:eastAsia="Arial" w:hAnsi="Arial"/>
          <w:color w:val="1A3A6B"/>
          <w:sz w:val="20"/>
          <w:szCs w:val="20"/>
        </w:rPr>
        <w:t xml:space="preserve">7. Synthèse transversale</w:t>
      </w:r>
    </w:p>
    <w:p>
      <w:pPr>
        <w:spacing w:after="80" w:before="80"/>
      </w:pPr>
      <w:r>
        <w:rPr>
          <w:rFonts w:ascii="Arial" w:cs="Arial" w:eastAsia="Arial" w:hAnsi="Arial"/>
          <w:color w:val="1A3A6B"/>
          <w:sz w:val="20"/>
          <w:szCs w:val="20"/>
        </w:rPr>
        <w:t xml:space="preserve">8. Limites</w:t>
      </w:r>
    </w:p>
    <w:p>
      <w:pPr>
        <w:spacing w:after="80" w:before="80"/>
      </w:pPr>
      <w:r>
        <w:rPr>
          <w:rFonts w:ascii="Arial" w:cs="Arial" w:eastAsia="Arial" w:hAnsi="Arial"/>
          <w:color w:val="1A3A6B"/>
          <w:sz w:val="20"/>
          <w:szCs w:val="20"/>
        </w:rPr>
        <w:t xml:space="preserve">9. Conclusion</w:t>
      </w:r>
    </w:p>
    <w:p>
      <w:pPr>
        <w:spacing w:after="80" w:before="80"/>
      </w:pPr>
      <w:r>
        <w:rPr>
          <w:rFonts w:ascii="Arial" w:cs="Arial" w:eastAsia="Arial" w:hAnsi="Arial"/>
          <w:color w:val="1A3A6B"/>
          <w:sz w:val="20"/>
          <w:szCs w:val="20"/>
        </w:rPr>
        <w:t xml:space="preserve">10. Annexe expérimentale</w:t>
      </w:r>
    </w:p>
    <w:p>
      <w:r>
        <w:br w:type="page"/>
      </w:r>
    </w:p>
    <w:p>
      <w:pPr>
        <w:pStyle w:val="Heading1"/>
        <w:pBdr>
          <w:bottom w:val="single" w:color="2E6DA4" w:sz="4" w:space="4"/>
        </w:pBdr>
        <w:spacing w:after="160" w:before="400"/>
      </w:pPr>
      <w:r>
        <w:rPr>
          <w:rFonts w:ascii="Arial" w:cs="Arial" w:eastAsia="Arial" w:hAnsi="Arial"/>
          <w:b/>
          <w:bCs/>
          <w:color w:val="1A3A6B"/>
          <w:sz w:val="32"/>
          <w:szCs w:val="32"/>
        </w:rPr>
        <w:t xml:space="preserve">1. Introduction</w:t>
      </w:r>
    </w:p>
    <w:p>
      <w:pPr>
        <w:spacing w:after="80" w:before="80"/>
        <w:jc w:val="both"/>
      </w:pPr>
      <w:r>
        <w:rPr>
          <w:rFonts w:ascii="Arial" w:cs="Arial" w:eastAsia="Arial" w:hAnsi="Arial"/>
          <w:color w:val="222222"/>
          <w:sz w:val="20"/>
          <w:szCs w:val="20"/>
        </w:rPr>
        <w:t xml:space="preserve">Le deep learning a pour particularité de construire automatiquement des représentations des données à partir d'exemples. Toutefois, la performance d'un réseau ne dépend pas uniquement de sa capacité : elle dépend surtout de l'adéquation entre son architecture et la structure statistique des données.</w:t>
      </w:r>
    </w:p>
    <w:p>
      <w:pPr>
        <w:spacing w:after="80" w:before="80"/>
        <w:jc w:val="both"/>
      </w:pPr>
      <w:r>
        <w:rPr>
          <w:rFonts w:ascii="Arial" w:cs="Arial" w:eastAsia="Arial" w:hAnsi="Arial"/>
          <w:color w:val="222222"/>
          <w:sz w:val="20"/>
          <w:szCs w:val="20"/>
        </w:rPr>
        <w:t xml:space="preserve">Ce projet illustre cette idée sur trois familles de données radicalement différentes — tabulaire, image et séquentielle — en concevant, entraînant et comparant les architectures correspondantes sous PyTorch.</w:t>
      </w:r>
    </w:p>
    <w:p>
      <w:pPr>
        <w:spacing w:after="80" w:before="80"/>
        <w:jc w:val="both"/>
      </w:pPr>
      <w:r>
        <w:rPr>
          <w:rFonts w:ascii="Arial" w:cs="Arial" w:eastAsia="Arial" w:hAnsi="Arial"/>
          <w:color w:val="222222"/>
          <w:sz w:val="20"/>
          <w:szCs w:val="20"/>
        </w:rPr>
        <w:t xml:space="preserve">Le travail est strictement individuel et organisé en trois parties indépendantes mais cohérentes, chacune comportant une étude théorique, une implémentation, une étude expérimentale, une analyse critique et une question de synthèse sur un jeu de données réel.</w:t>
      </w:r>
    </w:p>
    <w:p>
      <w:pPr>
        <w:spacing w:after="120" w:before="120"/>
      </w:pPr>
    </w:p>
    <w:p>
      <w:pPr>
        <w:pStyle w:val="Heading1"/>
        <w:pBdr>
          <w:bottom w:val="single" w:color="2E6DA4" w:sz="4" w:space="4"/>
        </w:pBdr>
        <w:spacing w:after="160" w:before="400"/>
      </w:pPr>
      <w:r>
        <w:rPr>
          <w:rFonts w:ascii="Arial" w:cs="Arial" w:eastAsia="Arial" w:hAnsi="Arial"/>
          <w:b/>
          <w:bCs/>
          <w:color w:val="1A3A6B"/>
          <w:sz w:val="32"/>
          <w:szCs w:val="32"/>
        </w:rPr>
        <w:t xml:space="preserve">2. Objectifs</w:t>
      </w:r>
    </w:p>
    <w:p>
      <w:pPr>
        <w:pStyle w:val="ListParagraph"/>
        <w:numPr>
          <w:ilvl w:val="0"/>
          <w:numId w:val="2"/>
        </w:numPr>
        <w:spacing w:after="60" w:before="60"/>
      </w:pPr>
      <w:r>
        <w:rPr>
          <w:rFonts w:ascii="Arial" w:cs="Arial" w:eastAsia="Arial" w:hAnsi="Arial"/>
          <w:color w:val="222222"/>
          <w:sz w:val="20"/>
          <w:szCs w:val="20"/>
        </w:rPr>
        <w:t xml:space="preserve">Montrer la maîtrise de l'ingénierie PyTorch : nn.Module, gestion des paramètres, initialisation, sauvegarde/rechargement, utilisation correcte du device (CPU/GPU).</w:t>
      </w:r>
    </w:p>
    <w:p>
      <w:pPr>
        <w:pStyle w:val="ListParagraph"/>
        <w:numPr>
          <w:ilvl w:val="0"/>
          <w:numId w:val="2"/>
        </w:numPr>
        <w:spacing w:after="60" w:before="60"/>
      </w:pPr>
      <w:r>
        <w:rPr>
          <w:rFonts w:ascii="Arial" w:cs="Arial" w:eastAsia="Arial" w:hAnsi="Arial"/>
          <w:color w:val="222222"/>
          <w:sz w:val="20"/>
          <w:szCs w:val="20"/>
        </w:rPr>
        <w:t xml:space="preserve">Construire et comparer des architectures adaptées à chaque type de données :</w:t>
      </w:r>
    </w:p>
    <w:p>
      <w:pPr>
        <w:pStyle w:val="ListParagraph"/>
        <w:numPr>
          <w:ilvl w:val="0"/>
          <w:numId w:val="2"/>
        </w:numPr>
        <w:spacing w:after="60" w:before="60"/>
      </w:pPr>
      <w:r>
        <w:rPr>
          <w:rFonts w:ascii="Arial" w:cs="Arial" w:eastAsia="Arial" w:hAnsi="Arial"/>
          <w:color w:val="222222"/>
          <w:sz w:val="20"/>
          <w:szCs w:val="20"/>
        </w:rPr>
        <w:t xml:space="preserve">MLP pour le tabulaire,</w:t>
      </w:r>
    </w:p>
    <w:p>
      <w:pPr>
        <w:pStyle w:val="ListParagraph"/>
        <w:numPr>
          <w:ilvl w:val="0"/>
          <w:numId w:val="2"/>
        </w:numPr>
        <w:spacing w:after="60" w:before="60"/>
      </w:pPr>
      <w:r>
        <w:rPr>
          <w:rFonts w:ascii="Arial" w:cs="Arial" w:eastAsia="Arial" w:hAnsi="Arial"/>
          <w:color w:val="222222"/>
          <w:sz w:val="20"/>
          <w:szCs w:val="20"/>
        </w:rPr>
        <w:t xml:space="preserve">CNN (type LeNet) pour les images,</w:t>
      </w:r>
    </w:p>
    <w:p>
      <w:pPr>
        <w:pStyle w:val="ListParagraph"/>
        <w:numPr>
          <w:ilvl w:val="0"/>
          <w:numId w:val="2"/>
        </w:numPr>
        <w:spacing w:after="60" w:before="60"/>
      </w:pPr>
      <w:r>
        <w:rPr>
          <w:rFonts w:ascii="Arial" w:cs="Arial" w:eastAsia="Arial" w:hAnsi="Arial"/>
          <w:color w:val="222222"/>
          <w:sz w:val="20"/>
          <w:szCs w:val="20"/>
        </w:rPr>
        <w:t xml:space="preserve">RNN / LSTM / GRU / Seq2Seq pour les séquences.</w:t>
      </w:r>
    </w:p>
    <w:p>
      <w:pPr>
        <w:pStyle w:val="ListParagraph"/>
        <w:numPr>
          <w:ilvl w:val="0"/>
          <w:numId w:val="2"/>
        </w:numPr>
        <w:spacing w:after="60" w:before="60"/>
      </w:pPr>
      <w:r>
        <w:rPr>
          <w:rFonts w:ascii="Arial" w:cs="Arial" w:eastAsia="Arial" w:hAnsi="Arial"/>
          <w:color w:val="222222"/>
          <w:sz w:val="20"/>
          <w:szCs w:val="20"/>
        </w:rPr>
        <w:t xml:space="preserve">Conduire des expériences comparatives rigoureuses (à conditions contrôlées) et fournir une interprétation scientifique des résultats.</w:t>
      </w:r>
    </w:p>
    <w:p>
      <w:pPr>
        <w:pStyle w:val="ListParagraph"/>
        <w:numPr>
          <w:ilvl w:val="0"/>
          <w:numId w:val="2"/>
        </w:numPr>
        <w:spacing w:after="60" w:before="60"/>
      </w:pPr>
      <w:r>
        <w:rPr>
          <w:rFonts w:ascii="Arial" w:cs="Arial" w:eastAsia="Arial" w:hAnsi="Arial"/>
          <w:color w:val="222222"/>
          <w:sz w:val="20"/>
          <w:szCs w:val="20"/>
        </w:rPr>
        <w:t xml:space="preserve">Répondre aux questions de synthèse de chaque partie et à la question transversale finale.</w:t>
      </w:r>
    </w:p>
    <w:p>
      <w:pPr>
        <w:spacing w:after="120" w:before="120"/>
      </w:pPr>
    </w:p>
    <w:p>
      <w:pPr>
        <w:pStyle w:val="Heading1"/>
        <w:pBdr>
          <w:bottom w:val="single" w:color="2E6DA4" w:sz="4" w:space="4"/>
        </w:pBdr>
        <w:spacing w:after="160" w:before="400"/>
      </w:pPr>
      <w:r>
        <w:rPr>
          <w:rFonts w:ascii="Arial" w:cs="Arial" w:eastAsia="Arial" w:hAnsi="Arial"/>
          <w:b/>
          <w:bCs/>
          <w:color w:val="1A3A6B"/>
          <w:sz w:val="32"/>
          <w:szCs w:val="32"/>
        </w:rPr>
        <w:t xml:space="preserve">3. Méthodologie générale</w:t>
      </w:r>
    </w:p>
    <w:p>
      <w:pPr>
        <w:pStyle w:val="Heading2"/>
        <w:spacing w:after="120" w:before="280"/>
      </w:pPr>
      <w:r>
        <w:rPr>
          <w:rFonts w:ascii="Arial" w:cs="Arial" w:eastAsia="Arial" w:hAnsi="Arial"/>
          <w:b/>
          <w:bCs/>
          <w:color w:val="2E6DA4"/>
          <w:sz w:val="26"/>
          <w:szCs w:val="26"/>
        </w:rPr>
        <w:t xml:space="preserve">3.1 Principe commun</w:t>
      </w:r>
    </w:p>
    <w:p>
      <w:pPr>
        <w:spacing w:after="80" w:before="80"/>
        <w:jc w:val="both"/>
      </w:pPr>
      <w:r>
        <w:rPr>
          <w:rFonts w:ascii="Arial" w:cs="Arial" w:eastAsia="Arial" w:hAnsi="Arial"/>
          <w:color w:val="222222"/>
          <w:sz w:val="20"/>
          <w:szCs w:val="20"/>
        </w:rPr>
        <w:t xml:space="preserve">Les trois parties partagent un même paradigme d'apprentissage supervisé :</w:t>
      </w:r>
    </w:p>
    <w:p>
      <w:pPr>
        <w:pStyle w:val="ListParagraph"/>
        <w:numPr>
          <w:ilvl w:val="0"/>
          <w:numId w:val="2"/>
        </w:numPr>
        <w:spacing w:after="60" w:before="60"/>
      </w:pPr>
      <w:r>
        <w:rPr>
          <w:rFonts w:ascii="Arial" w:cs="Arial" w:eastAsia="Arial" w:hAnsi="Arial"/>
          <w:color w:val="222222"/>
          <w:sz w:val="20"/>
          <w:szCs w:val="20"/>
        </w:rPr>
        <w:t xml:space="preserve">Un modèle paramétré fθ implémenté comme nn.Module ;</w:t>
      </w:r>
    </w:p>
    <w:p>
      <w:pPr>
        <w:pStyle w:val="ListParagraph"/>
        <w:numPr>
          <w:ilvl w:val="0"/>
          <w:numId w:val="2"/>
        </w:numPr>
        <w:spacing w:after="60" w:before="60"/>
      </w:pPr>
      <w:r>
        <w:rPr>
          <w:rFonts w:ascii="Arial" w:cs="Arial" w:eastAsia="Arial" w:hAnsi="Arial"/>
          <w:color w:val="222222"/>
          <w:sz w:val="20"/>
          <w:szCs w:val="20"/>
        </w:rPr>
        <w:t xml:space="preserve">Une propagation avant produisant une représentation puis une prédiction ;</w:t>
      </w:r>
    </w:p>
    <w:p>
      <w:pPr>
        <w:pStyle w:val="ListParagraph"/>
        <w:numPr>
          <w:ilvl w:val="0"/>
          <w:numId w:val="2"/>
        </w:numPr>
        <w:spacing w:after="60" w:before="60"/>
      </w:pPr>
      <w:r>
        <w:rPr>
          <w:rFonts w:ascii="Arial" w:cs="Arial" w:eastAsia="Arial" w:hAnsi="Arial"/>
          <w:color w:val="222222"/>
          <w:sz w:val="20"/>
          <w:szCs w:val="20"/>
        </w:rPr>
        <w:t xml:space="preserve">Une fonction de perte différentiable (entropie croisée, éventuellement masquée) ;</w:t>
      </w:r>
    </w:p>
    <w:p>
      <w:pPr>
        <w:pStyle w:val="ListParagraph"/>
        <w:numPr>
          <w:ilvl w:val="0"/>
          <w:numId w:val="2"/>
        </w:numPr>
        <w:spacing w:after="60" w:before="60"/>
      </w:pPr>
      <w:r>
        <w:rPr>
          <w:rFonts w:ascii="Arial" w:cs="Arial" w:eastAsia="Arial" w:hAnsi="Arial"/>
          <w:color w:val="222222"/>
          <w:sz w:val="20"/>
          <w:szCs w:val="20"/>
        </w:rPr>
        <w:t xml:space="preserve">Une rétropropagation (autograd) calculant ∇θL ;</w:t>
      </w:r>
    </w:p>
    <w:p>
      <w:pPr>
        <w:pStyle w:val="ListParagraph"/>
        <w:numPr>
          <w:ilvl w:val="0"/>
          <w:numId w:val="2"/>
        </w:numPr>
        <w:spacing w:after="60" w:before="60"/>
      </w:pPr>
      <w:r>
        <w:rPr>
          <w:rFonts w:ascii="Arial" w:cs="Arial" w:eastAsia="Arial" w:hAnsi="Arial"/>
          <w:color w:val="222222"/>
          <w:sz w:val="20"/>
          <w:szCs w:val="20"/>
        </w:rPr>
        <w:t xml:space="preserve">Une mise à jour par un optimiseur (Adam ou SGD).</w:t>
      </w:r>
    </w:p>
    <w:p>
      <w:pPr>
        <w:spacing w:after="80" w:before="80"/>
        <w:jc w:val="both"/>
      </w:pPr>
      <w:r>
        <w:rPr>
          <w:rFonts w:ascii="Arial" w:cs="Arial" w:eastAsia="Arial" w:hAnsi="Arial"/>
          <w:color w:val="222222"/>
          <w:sz w:val="20"/>
          <w:szCs w:val="20"/>
        </w:rPr>
        <w:t xml:space="preserve">Ce qui change d'une partie à l'autre n'est pas le principe d'optimisation, mais les hypothèses structurelles (biais inductifs) injectées dans l'architecture.</w:t>
      </w:r>
    </w:p>
    <w:p>
      <w:pPr>
        <w:pStyle w:val="Heading2"/>
        <w:spacing w:after="120" w:before="280"/>
      </w:pPr>
      <w:r>
        <w:rPr>
          <w:rFonts w:ascii="Arial" w:cs="Arial" w:eastAsia="Arial" w:hAnsi="Arial"/>
          <w:b/>
          <w:bCs/>
          <w:color w:val="2E6DA4"/>
          <w:sz w:val="26"/>
          <w:szCs w:val="26"/>
        </w:rPr>
        <w:t xml:space="preserve">3.2 Choix d'ingénierie transversaux</w:t>
      </w:r>
    </w:p>
    <w:p>
      <w:pPr>
        <w:spacing w:after="80" w:before="80"/>
        <w:jc w:val="both"/>
      </w:pPr>
      <w:r>
        <w:rPr>
          <w:rFonts w:ascii="Arial" w:cs="Arial" w:eastAsia="Arial" w:hAnsi="Arial"/>
          <w:b/>
          <w:bCs/>
          <w:color w:val="222222"/>
          <w:sz w:val="20"/>
          <w:szCs w:val="20"/>
        </w:rPr>
        <w:t xml:space="preserve">Reproductibilité : </w:t>
      </w:r>
      <w:r>
        <w:rPr>
          <w:rFonts w:ascii="Arial" w:cs="Arial" w:eastAsia="Arial" w:hAnsi="Arial"/>
          <w:color w:val="222222"/>
          <w:sz w:val="20"/>
          <w:szCs w:val="20"/>
        </w:rPr>
        <w:t xml:space="preserve">graines aléatoires fixées (seed = 42), configuration centralisée dans une dataclass CONFIG par notebook (aucun chemin ni hyperparamètre codé en dur).</w:t>
      </w:r>
    </w:p>
    <w:p>
      <w:pPr>
        <w:spacing w:after="80" w:before="80"/>
        <w:jc w:val="both"/>
      </w:pPr>
      <w:r>
        <w:rPr>
          <w:rFonts w:ascii="Arial" w:cs="Arial" w:eastAsia="Arial" w:hAnsi="Arial"/>
          <w:b/>
          <w:bCs/>
          <w:color w:val="222222"/>
          <w:sz w:val="20"/>
          <w:szCs w:val="20"/>
        </w:rPr>
        <w:t xml:space="preserve">Données : </w:t>
      </w:r>
      <w:r>
        <w:rPr>
          <w:rFonts w:ascii="Arial" w:cs="Arial" w:eastAsia="Arial" w:hAnsi="Arial"/>
          <w:color w:val="222222"/>
          <w:sz w:val="20"/>
          <w:szCs w:val="20"/>
        </w:rPr>
        <w:t xml:space="preserve">téléchargement automatique et mise en cache local (mirrors publics équivalents aux datasets Kaggle indiqués : UCI pour Wine Quality, torchvision pour CIFAR-10, mirror d2l pour fra-eng).</w:t>
      </w:r>
    </w:p>
    <w:p>
      <w:pPr>
        <w:spacing w:after="80" w:before="80"/>
        <w:jc w:val="both"/>
      </w:pPr>
      <w:r>
        <w:rPr>
          <w:rFonts w:ascii="Arial" w:cs="Arial" w:eastAsia="Arial" w:hAnsi="Arial"/>
          <w:b/>
          <w:bCs/>
          <w:color w:val="222222"/>
          <w:sz w:val="20"/>
          <w:szCs w:val="20"/>
        </w:rPr>
        <w:t xml:space="preserve">Contrainte matérielle : </w:t>
      </w:r>
      <w:r>
        <w:rPr>
          <w:rFonts w:ascii="Arial" w:cs="Arial" w:eastAsia="Arial" w:hAnsi="Arial"/>
          <w:color w:val="222222"/>
          <w:sz w:val="20"/>
          <w:szCs w:val="20"/>
        </w:rPr>
        <w:t xml:space="preserve">environnement CPU uniquement (PyTorch 2.11 CPU). Les parties II et III s'entraînent donc sur un sous-échantillon configurable et un nombre d'époques modéré. En conséquence, les valeurs absolues de performance sont en deçà de l'état de l'art, mais les comparaisons (MLP vs CNN, RNN vs LSTM/GRU, glouton vs beam) sont menées à conditions identiques et constituent le résultat scientifique validé.</w:t>
      </w:r>
    </w:p>
    <w:p>
      <w:r>
        <w:br w:type="page"/>
      </w:r>
    </w:p>
    <w:p>
      <w:pPr>
        <w:pStyle w:val="Heading1"/>
        <w:pBdr>
          <w:bottom w:val="single" w:color="2E6DA4" w:sz="4" w:space="4"/>
        </w:pBdr>
        <w:spacing w:after="160" w:before="400"/>
      </w:pPr>
      <w:r>
        <w:rPr>
          <w:rFonts w:ascii="Arial" w:cs="Arial" w:eastAsia="Arial" w:hAnsi="Arial"/>
          <w:b/>
          <w:bCs/>
          <w:color w:val="1A3A6B"/>
          <w:sz w:val="32"/>
          <w:szCs w:val="32"/>
        </w:rPr>
        <w:t xml:space="preserve">4. Partie I — MLP et données tabulaires (Wine Quality)</w:t>
      </w:r>
    </w:p>
    <w:p>
      <w:pPr>
        <w:pStyle w:val="Heading2"/>
        <w:spacing w:after="120" w:before="280"/>
      </w:pPr>
      <w:r>
        <w:rPr>
          <w:rFonts w:ascii="Arial" w:cs="Arial" w:eastAsia="Arial" w:hAnsi="Arial"/>
          <w:b/>
          <w:bCs/>
          <w:color w:val="2E6DA4"/>
          <w:sz w:val="26"/>
          <w:szCs w:val="26"/>
        </w:rPr>
        <w:t xml:space="preserve">4.1 Cadre théorique</w:t>
      </w:r>
    </w:p>
    <w:p>
      <w:pPr>
        <w:spacing w:after="80" w:before="80"/>
        <w:jc w:val="both"/>
      </w:pPr>
      <w:r>
        <w:rPr>
          <w:rFonts w:ascii="Arial" w:cs="Arial" w:eastAsia="Arial" w:hAnsi="Arial"/>
          <w:color w:val="222222"/>
          <w:sz w:val="20"/>
          <w:szCs w:val="20"/>
        </w:rPr>
        <w:t xml:space="preserve">En PyTorch, tout réseau hérite de nn.Module, qui enregistre automatiquement les paramètres apprenables (nn.Parameter). Pour une couche linéaire y = xWᵀ + b, les paramètres sont les poids W et le biais b. Le gradient ∂L/∂θ, calculé par loss.backward(), mesure la sensibilité de la perte à chaque paramètre et sert à la mise à jour par l'optimiseur.</w:t>
      </w:r>
    </w:p>
    <w:p>
      <w:pPr>
        <w:spacing w:after="80" w:before="80"/>
        <w:jc w:val="both"/>
      </w:pPr>
      <w:r>
        <w:rPr>
          <w:rFonts w:ascii="Arial" w:cs="Arial" w:eastAsia="Arial" w:hAnsi="Arial"/>
          <w:color w:val="222222"/>
          <w:sz w:val="20"/>
          <w:szCs w:val="20"/>
        </w:rPr>
        <w:t xml:space="preserve">Le state_dict() (dictionnaire {nom : tenseur}) est le format standard de sauvegarde des poids. Enfin, le device indique où résident tenseurs et modèle : données et modèle doivent impérativement se trouver sur le même device.</w:t>
      </w:r>
    </w:p>
    <w:p>
      <w:pPr>
        <w:pStyle w:val="Heading2"/>
        <w:spacing w:after="120" w:before="280"/>
      </w:pPr>
      <w:r>
        <w:rPr>
          <w:rFonts w:ascii="Arial" w:cs="Arial" w:eastAsia="Arial" w:hAnsi="Arial"/>
          <w:b/>
          <w:bCs/>
          <w:color w:val="2E6DA4"/>
          <w:sz w:val="26"/>
          <w:szCs w:val="26"/>
        </w:rPr>
        <w:t xml:space="preserve">4.2 Préparation des données</w:t>
      </w:r>
    </w:p>
    <w:p>
      <w:pPr>
        <w:spacing w:after="80" w:before="80"/>
        <w:jc w:val="both"/>
      </w:pPr>
      <w:r>
        <w:rPr>
          <w:rFonts w:ascii="Arial" w:cs="Arial" w:eastAsia="Arial" w:hAnsi="Arial"/>
          <w:color w:val="222222"/>
          <w:sz w:val="20"/>
          <w:szCs w:val="20"/>
        </w:rPr>
        <w:t xml:space="preserve">Le dataset comporte 11 variables physico-chimiques et une note de qualité entière (3–8). Choix méthodologiques :</w:t>
      </w:r>
    </w:p>
    <w:p>
      <w:pPr>
        <w:spacing w:after="80" w:before="80"/>
        <w:jc w:val="both"/>
      </w:pPr>
      <w:r>
        <w:rPr>
          <w:rFonts w:ascii="Arial" w:cs="Arial" w:eastAsia="Arial" w:hAnsi="Arial"/>
          <w:b/>
          <w:bCs/>
          <w:color w:val="222222"/>
          <w:sz w:val="20"/>
          <w:szCs w:val="20"/>
        </w:rPr>
        <w:t xml:space="preserve">Cible binarisée : </w:t>
      </w:r>
      <w:r>
        <w:rPr>
          <w:rFonts w:ascii="Arial" w:cs="Arial" w:eastAsia="Arial" w:hAnsi="Arial"/>
          <w:color w:val="222222"/>
          <w:sz w:val="20"/>
          <w:szCs w:val="20"/>
        </w:rPr>
        <w:t xml:space="preserve">bon vin (qualité ≥ 6) vs ordinaire, formulation standard pour ce jeu, bien équilibrée (≈ 53 % de « bons »), évitant le bruit des classes extrêmes peu peuplées.</w:t>
      </w:r>
    </w:p>
    <w:p>
      <w:pPr>
        <w:spacing w:after="80" w:before="80"/>
        <w:jc w:val="both"/>
      </w:pPr>
      <w:r>
        <w:rPr>
          <w:rFonts w:ascii="Arial" w:cs="Arial" w:eastAsia="Arial" w:hAnsi="Arial"/>
          <w:b/>
          <w:bCs/>
          <w:color w:val="222222"/>
          <w:sz w:val="20"/>
          <w:szCs w:val="20"/>
        </w:rPr>
        <w:t xml:space="preserve">Normalisation </w:t>
      </w:r>
      <w:r>
        <w:rPr>
          <w:rFonts w:ascii="Arial" w:cs="Arial" w:eastAsia="Arial" w:hAnsi="Arial"/>
          <w:color w:val="222222"/>
          <w:sz w:val="20"/>
          <w:szCs w:val="20"/>
        </w:rPr>
        <w:t xml:space="preserve">par StandardScaler ajusté uniquement sur l'apprentissage (pas de fuite).</w:t>
      </w:r>
    </w:p>
    <w:p>
      <w:pPr>
        <w:spacing w:after="80" w:before="80"/>
        <w:jc w:val="both"/>
      </w:pPr>
      <w:r>
        <w:rPr>
          <w:rFonts w:ascii="Arial" w:cs="Arial" w:eastAsia="Arial" w:hAnsi="Arial"/>
          <w:b/>
          <w:bCs/>
          <w:color w:val="222222"/>
          <w:sz w:val="20"/>
          <w:szCs w:val="20"/>
        </w:rPr>
        <w:t xml:space="preserve">Découpage stratifié </w:t>
      </w:r>
      <w:r>
        <w:rPr>
          <w:rFonts w:ascii="Arial" w:cs="Arial" w:eastAsia="Arial" w:hAnsi="Arial"/>
          <w:color w:val="222222"/>
          <w:sz w:val="20"/>
          <w:szCs w:val="20"/>
        </w:rPr>
        <w:t xml:space="preserve">train / validation / test (70 / 15 / 15).</w:t>
      </w:r>
    </w:p>
    <w:p>
      <w:pPr>
        <w:pStyle w:val="Heading2"/>
        <w:spacing w:after="120" w:before="280"/>
      </w:pPr>
      <w:r>
        <w:rPr>
          <w:rFonts w:ascii="Arial" w:cs="Arial" w:eastAsia="Arial" w:hAnsi="Arial"/>
          <w:b/>
          <w:bCs/>
          <w:color w:val="2E6DA4"/>
          <w:sz w:val="26"/>
          <w:szCs w:val="26"/>
        </w:rPr>
        <w:t xml:space="preserve">4.3 Implémentation</w:t>
      </w:r>
    </w:p>
    <w:p>
      <w:pPr>
        <w:spacing w:after="80" w:before="80"/>
        <w:jc w:val="both"/>
      </w:pPr>
      <w:r>
        <w:rPr>
          <w:rFonts w:ascii="Arial" w:cs="Arial" w:eastAsia="Arial" w:hAnsi="Arial"/>
          <w:color w:val="222222"/>
          <w:sz w:val="20"/>
          <w:szCs w:val="20"/>
        </w:rPr>
        <w:t xml:space="preserve">Le MLP est implémenté en deux versions équivalentes (même architecture, ~entrée → 64 → 32 → 2 sorties) :</w:t>
      </w:r>
    </w:p>
    <w:p>
      <w:pPr>
        <w:pStyle w:val="ListParagraph"/>
        <w:numPr>
          <w:ilvl w:val="0"/>
          <w:numId w:val="2"/>
        </w:numPr>
        <w:spacing w:after="60" w:before="60"/>
      </w:pPr>
      <w:r>
        <w:rPr>
          <w:rFonts w:ascii="Arial" w:cs="Arial" w:eastAsia="Arial" w:hAnsi="Arial"/>
          <w:color w:val="222222"/>
          <w:sz w:val="20"/>
          <w:szCs w:val="20"/>
        </w:rPr>
        <w:t xml:space="preserve">Une version déclarative avec nn.Sequential ;</w:t>
      </w:r>
    </w:p>
    <w:p>
      <w:pPr>
        <w:pStyle w:val="ListParagraph"/>
        <w:numPr>
          <w:ilvl w:val="0"/>
          <w:numId w:val="2"/>
        </w:numPr>
        <w:spacing w:after="60" w:before="60"/>
      </w:pPr>
      <w:r>
        <w:rPr>
          <w:rFonts w:ascii="Arial" w:cs="Arial" w:eastAsia="Arial" w:hAnsi="Arial"/>
          <w:color w:val="222222"/>
          <w:sz w:val="20"/>
          <w:szCs w:val="20"/>
        </w:rPr>
        <w:t xml:space="preserve">Une version en classe personnalisée (MLPCustom) héritant de nn.Module.</w:t>
      </w:r>
    </w:p>
    <w:p>
      <w:pPr>
        <w:spacing w:after="80" w:before="80"/>
        <w:jc w:val="both"/>
      </w:pPr>
      <w:r>
        <w:rPr>
          <w:rFonts w:ascii="Arial" w:cs="Arial" w:eastAsia="Arial" w:hAnsi="Arial"/>
          <w:color w:val="222222"/>
          <w:sz w:val="20"/>
          <w:szCs w:val="20"/>
        </w:rPr>
        <w:t xml:space="preserve">On vérifie par named_parameters() que les deux versions ont exactement le même nombre de paramètres, confirmant leur équivalence. Le gradient, None avant backward(), apparaît après la rétropropagation.</w:t>
      </w:r>
    </w:p>
    <w:p>
      <w:pPr>
        <w:pStyle w:val="Heading2"/>
        <w:spacing w:after="120" w:before="280"/>
      </w:pPr>
      <w:r>
        <w:rPr>
          <w:rFonts w:ascii="Arial" w:cs="Arial" w:eastAsia="Arial" w:hAnsi="Arial"/>
          <w:b/>
          <w:bCs/>
          <w:color w:val="2E6DA4"/>
          <w:sz w:val="26"/>
          <w:szCs w:val="26"/>
        </w:rPr>
        <w:t xml:space="preserve">4.4 Expériences et résultats</w:t>
      </w:r>
    </w:p>
    <w:p>
      <w:pPr>
        <w:spacing w:after="80" w:before="200"/>
      </w:pPr>
      <w:r>
        <w:rPr>
          <w:rFonts w:ascii="Arial" w:cs="Arial" w:eastAsia="Arial" w:hAnsi="Arial"/>
          <w:b/>
          <w:bCs/>
          <w:color w:val="1A3A6B"/>
          <w:sz w:val="22"/>
          <w:szCs w:val="22"/>
        </w:rPr>
        <w:t xml:space="preserve">Initialisation</w:t>
      </w:r>
    </w:p>
    <w:p>
      <w:pPr>
        <w:spacing w:after="80" w:before="80"/>
        <w:jc w:val="both"/>
      </w:pPr>
      <w:r>
        <w:rPr>
          <w:rFonts w:ascii="Arial" w:cs="Arial" w:eastAsia="Arial" w:hAnsi="Arial"/>
          <w:color w:val="222222"/>
          <w:sz w:val="20"/>
          <w:szCs w:val="20"/>
        </w:rPr>
        <w:t xml:space="preserve">Trois stratégies sont comparées à conditions identiques : gaussienne (N(0, 0,01²)), constante (W = 1) et Xavier.</w:t>
      </w:r>
    </w:p>
    <w:p>
      <w:pPr>
        <w:spacing w:after="80" w:before="80"/>
        <w:jc w:val="both"/>
      </w:pPr>
      <w:r>
        <w:rPr>
          <w:rFonts w:ascii="Arial" w:cs="Arial" w:eastAsia="Arial" w:hAnsi="Arial"/>
          <w:i/>
          <w:iCs/>
          <w:color w:val="222222"/>
          <w:sz w:val="20"/>
          <w:szCs w:val="20"/>
        </w:rPr>
        <w:t xml:space="preserve">Figure 1 — Perte et accuracy de validation selon l'initialisation. L'initialisation constante stagne : tous les neurones d'une couche étant identiques, ils reçoivent le même gradient et restent identiques (problème de symétrie). Les initialisations gaussienne et Xavier brisent la symétrie ; Xavier offre la convergence la plus stable et est donc retenue.</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1"/>
              <w:left w:val="single" w:color="E8A020" w:sz="12"/>
              <w:bottom w:val="single" w:color="2E6DA4" w:sz="1"/>
              <w:right w:val="single" w:color="2E6DA4" w:sz="1"/>
            </w:tcBorders>
            <w:shd w:fill="EEF4FB" w:val="clear"/>
            <w:tcMar>
              <w:top w:type="dxa" w:w="120"/>
              <w:left w:type="dxa" w:w="200"/>
              <w:bottom w:type="dxa" w:w="120"/>
              <w:right w:type="dxa" w:w="200"/>
            </w:tcMar>
          </w:tcPr>
          <w:p>
            <w:r>
              <w:rPr>
                <w:rFonts w:ascii="Arial" w:cs="Arial" w:eastAsia="Arial" w:hAnsi="Arial"/>
                <w:i/>
                <w:iCs/>
                <w:color w:val="1A3A6B"/>
                <w:sz w:val="20"/>
                <w:szCs w:val="20"/>
              </w:rPr>
              <w:t xml:space="preserve">Note : les courbes de convergence (Figure 1) et la matrice de confusion (Figure 2) sont reproduites dans les notebooks Partie1_MLP_WineQuality.ipynb.</w:t>
            </w:r>
          </w:p>
        </w:tc>
      </w:tr>
    </w:tbl>
    <w:p>
      <w:pPr>
        <w:spacing w:after="120" w:before="0"/>
      </w:pPr>
    </w:p>
    <w:p>
      <w:pPr>
        <w:spacing w:after="80" w:before="200"/>
      </w:pPr>
      <w:r>
        <w:rPr>
          <w:rFonts w:ascii="Arial" w:cs="Arial" w:eastAsia="Arial" w:hAnsi="Arial"/>
          <w:b/>
          <w:bCs/>
          <w:color w:val="1A3A6B"/>
          <w:sz w:val="22"/>
          <w:szCs w:val="22"/>
        </w:rPr>
        <w:t xml:space="preserve">Sauvegarde / rechargement</w:t>
      </w:r>
    </w:p>
    <w:p>
      <w:pPr>
        <w:spacing w:after="80" w:before="80"/>
        <w:jc w:val="both"/>
      </w:pPr>
      <w:r>
        <w:rPr>
          <w:rFonts w:ascii="Arial" w:cs="Arial" w:eastAsia="Arial" w:hAnsi="Arial"/>
          <w:color w:val="222222"/>
          <w:sz w:val="20"/>
          <w:szCs w:val="20"/>
        </w:rPr>
        <w:t xml:space="preserve">Le meilleur modèle (sélectionné sur la validation) est sauvegardé via torch.save(state_dict) puis rechargé dans une architecture recréée à l'identique. On vérifie que les prédictions sont strictement identiques après rechargement, et que modèle et données partagent le même device.</w:t>
      </w:r>
    </w:p>
    <w:p>
      <w:pPr>
        <w:spacing w:after="80" w:before="200"/>
      </w:pPr>
      <w:r>
        <w:rPr>
          <w:rFonts w:ascii="Arial" w:cs="Arial" w:eastAsia="Arial" w:hAnsi="Arial"/>
          <w:b/>
          <w:bCs/>
          <w:color w:val="1A3A6B"/>
          <w:sz w:val="22"/>
          <w:szCs w:val="22"/>
        </w:rPr>
        <w:t xml:space="preserve">Évaluation finale (test)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45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Accuracy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0,726</w:t>
            </w:r>
          </w:p>
        </w:tc>
      </w:tr>
      <w:tr>
        <w:tc>
          <w:tcPr>
            <w:tcW w:type="dxa" w:w="45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222222"/>
                <w:sz w:val="20"/>
                <w:szCs w:val="20"/>
              </w:rPr>
              <w:t xml:space="preserve">Precision</w:t>
            </w:r>
          </w:p>
        </w:tc>
        <w:tc>
          <w:tcPr>
            <w:tcW w:type="dxa" w:w="45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0,789</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Recall</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0,657</w:t>
            </w:r>
          </w:p>
        </w:tc>
      </w:tr>
      <w:tr>
        <w:tc>
          <w:tcPr>
            <w:tcW w:type="dxa" w:w="45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222222"/>
                <w:sz w:val="20"/>
                <w:szCs w:val="20"/>
              </w:rPr>
              <w:t xml:space="preserve">F1-score</w:t>
            </w:r>
          </w:p>
        </w:tc>
        <w:tc>
          <w:tcPr>
            <w:tcW w:type="dxa" w:w="45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0,717</w:t>
            </w:r>
          </w:p>
        </w:tc>
      </w:tr>
    </w:tbl>
    <w:p>
      <w:pPr>
        <w:spacing w:after="80" w:before="0"/>
      </w:pPr>
    </w:p>
    <w:p>
      <w:pPr>
        <w:spacing w:after="80" w:before="80"/>
        <w:jc w:val="both"/>
      </w:pPr>
      <w:r>
        <w:rPr>
          <w:rFonts w:ascii="Arial" w:cs="Arial" w:eastAsia="Arial" w:hAnsi="Arial"/>
          <w:i/>
          <w:iCs/>
          <w:color w:val="222222"/>
          <w:sz w:val="20"/>
          <w:szCs w:val="20"/>
        </w:rPr>
        <w:t xml:space="preserve">Figure 2 — Matrice de confusion (test). Les erreurs se concentrent autour de la frontière qualité = 6, intrinsèquement bruitée (deux vins quasi identiques peuvent être notés 5 ou 6 selon le dégustateur).</w:t>
      </w:r>
    </w:p>
    <w:p>
      <w:pPr>
        <w:pStyle w:val="Heading2"/>
        <w:spacing w:after="120" w:before="280"/>
      </w:pPr>
      <w:r>
        <w:rPr>
          <w:rFonts w:ascii="Arial" w:cs="Arial" w:eastAsia="Arial" w:hAnsi="Arial"/>
          <w:b/>
          <w:bCs/>
          <w:color w:val="2E6DA4"/>
          <w:sz w:val="26"/>
          <w:szCs w:val="26"/>
        </w:rPr>
        <w:t xml:space="preserve">4.5 Analyse critique</w:t>
      </w:r>
    </w:p>
    <w:p>
      <w:pPr>
        <w:spacing w:after="80" w:before="80"/>
        <w:jc w:val="both"/>
      </w:pPr>
      <w:r>
        <w:rPr>
          <w:rFonts w:ascii="Arial" w:cs="Arial" w:eastAsia="Arial" w:hAnsi="Arial"/>
          <w:color w:val="222222"/>
          <w:sz w:val="20"/>
          <w:szCs w:val="20"/>
        </w:rPr>
        <w:t xml:space="preserve">Le MLP atteint une performance honorable et stable, conforme à la littérature (0,72–0,78 en binaire). Ses limites tiennent à la structure des données : le tabulaire n'a ni localité ni invariance à exploiter, le biais d'un MLP n'apporte donc pas d'avantage décisif face aux modèles à arbres ; la cible est ordinale et bruitée ; le faible volume (~1,4k lignes) accentue le risque de surapprentissage (d'où dropout et weight_decay).</w:t>
      </w:r>
    </w:p>
    <w:p>
      <w:pPr>
        <w:pStyle w:val="Heading2"/>
        <w:spacing w:after="120" w:before="280"/>
      </w:pPr>
      <w:r>
        <w:rPr>
          <w:rFonts w:ascii="Arial" w:cs="Arial" w:eastAsia="Arial" w:hAnsi="Arial"/>
          <w:b/>
          <w:bCs/>
          <w:color w:val="2E6DA4"/>
          <w:sz w:val="26"/>
          <w:szCs w:val="26"/>
        </w:rPr>
        <w:t xml:space="preserve">4.6 Question de synthèse — Partie I</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1"/>
              <w:left w:val="single" w:color="E8A020" w:sz="12"/>
              <w:bottom w:val="single" w:color="2E6DA4" w:sz="1"/>
              <w:right w:val="single" w:color="2E6DA4" w:sz="1"/>
            </w:tcBorders>
            <w:shd w:fill="EEF4FB" w:val="clear"/>
            <w:tcMar>
              <w:top w:type="dxa" w:w="120"/>
              <w:left w:type="dxa" w:w="200"/>
              <w:bottom w:type="dxa" w:w="120"/>
              <w:right w:type="dxa" w:w="200"/>
            </w:tcMar>
          </w:tcPr>
          <w:p>
            <w:r>
              <w:rPr>
                <w:rFonts w:ascii="Arial" w:cs="Arial" w:eastAsia="Arial" w:hAnsi="Arial"/>
                <w:i/>
                <w:iCs/>
                <w:color w:val="1A3A6B"/>
                <w:sz w:val="20"/>
                <w:szCs w:val="20"/>
              </w:rPr>
              <w:t xml:space="preserve">Dans quelle mesure un MLP bien paramétré constitue-t-il une solution pertinente pour la classification tabulaire, et quelles sont ses principales limites au regard de la structure statistique des données ?</w:t>
            </w:r>
          </w:p>
        </w:tc>
      </w:tr>
    </w:tbl>
    <w:p>
      <w:pPr>
        <w:spacing w:after="80" w:before="0"/>
      </w:pPr>
    </w:p>
    <w:p>
      <w:pPr>
        <w:spacing w:after="80" w:before="80"/>
        <w:jc w:val="both"/>
      </w:pPr>
      <w:r>
        <w:rPr>
          <w:rFonts w:ascii="Arial" w:cs="Arial" w:eastAsia="Arial" w:hAnsi="Arial"/>
          <w:color w:val="222222"/>
          <w:sz w:val="20"/>
          <w:szCs w:val="20"/>
        </w:rPr>
        <w:t xml:space="preserve">Un MLP bien paramétré (normalisation, Xavier, régularisation, sélection sur validation) est un approximateur universel capable de modéliser des interactions non linéaires entre variables ; il fournit ici un résultat stable, ce qui valide théorie et méthodologie. Ses limites sont structurelles : absence de géométrie/ordre à exploiter (pas d'avantage face aux arbres), cible ordinale bruitée plafonnant la séparabilité, et faible volume favorisant le surapprentissage. Le MLP est donc pertinent et central pédagogiquement, mais pas nécessairement optimal pour le régime tabulaire — ce qui motive, dans les parties suivantes, des architectures dont le biais inductif correspond à la structure des données.</w:t>
      </w:r>
    </w:p>
    <w:p>
      <w:r>
        <w:br w:type="page"/>
      </w:r>
    </w:p>
    <w:p>
      <w:pPr>
        <w:pStyle w:val="Heading1"/>
        <w:pBdr>
          <w:bottom w:val="single" w:color="2E6DA4" w:sz="4" w:space="4"/>
        </w:pBdr>
        <w:spacing w:after="160" w:before="400"/>
      </w:pPr>
      <w:r>
        <w:rPr>
          <w:rFonts w:ascii="Arial" w:cs="Arial" w:eastAsia="Arial" w:hAnsi="Arial"/>
          <w:b/>
          <w:bCs/>
          <w:color w:val="1A3A6B"/>
          <w:sz w:val="32"/>
          <w:szCs w:val="32"/>
        </w:rPr>
        <w:t xml:space="preserve">5. Partie II — CNN et vision par ordinateur (CIFAR-10)</w:t>
      </w:r>
    </w:p>
    <w:p>
      <w:pPr>
        <w:pStyle w:val="Heading2"/>
        <w:spacing w:after="120" w:before="280"/>
      </w:pPr>
      <w:r>
        <w:rPr>
          <w:rFonts w:ascii="Arial" w:cs="Arial" w:eastAsia="Arial" w:hAnsi="Arial"/>
          <w:b/>
          <w:bCs/>
          <w:color w:val="2E6DA4"/>
          <w:sz w:val="26"/>
          <w:szCs w:val="26"/>
        </w:rPr>
        <w:t xml:space="preserve">5.1 Cadre théorique</w:t>
      </w:r>
    </w:p>
    <w:p>
      <w:pPr>
        <w:spacing w:after="80" w:before="80"/>
        <w:jc w:val="both"/>
      </w:pPr>
      <w:r>
        <w:rPr>
          <w:rFonts w:ascii="Arial" w:cs="Arial" w:eastAsia="Arial" w:hAnsi="Arial"/>
          <w:color w:val="222222"/>
          <w:sz w:val="20"/>
          <w:szCs w:val="20"/>
        </w:rPr>
        <w:t xml:space="preserve">Une image CIFAR-10 fait 32×32×3 = 3072 pixels. Un MLP l'aplatit, ce qui (i) fait exploser le nombre de paramètres et (ii) détruit la structure spatiale. Les CNN encodent trois biais inductifs adaptés aux images :</w:t>
      </w:r>
    </w:p>
    <w:p>
      <w:pPr>
        <w:spacing w:after="80" w:before="80"/>
        <w:jc w:val="both"/>
      </w:pPr>
      <w:r>
        <w:rPr>
          <w:rFonts w:ascii="Arial" w:cs="Arial" w:eastAsia="Arial" w:hAnsi="Arial"/>
          <w:b/>
          <w:bCs/>
          <w:color w:val="222222"/>
          <w:sz w:val="20"/>
          <w:szCs w:val="20"/>
        </w:rPr>
        <w:t xml:space="preserve">Localité : </w:t>
      </w:r>
      <w:r>
        <w:rPr>
          <w:rFonts w:ascii="Arial" w:cs="Arial" w:eastAsia="Arial" w:hAnsi="Arial"/>
          <w:color w:val="222222"/>
          <w:sz w:val="20"/>
          <w:szCs w:val="20"/>
        </w:rPr>
        <w:t xml:space="preserve">chaque neurone ne regarde qu'un voisinage.</w:t>
      </w:r>
    </w:p>
    <w:p>
      <w:pPr>
        <w:spacing w:after="80" w:before="80"/>
        <w:jc w:val="both"/>
      </w:pPr>
      <w:r>
        <w:rPr>
          <w:rFonts w:ascii="Arial" w:cs="Arial" w:eastAsia="Arial" w:hAnsi="Arial"/>
          <w:b/>
          <w:bCs/>
          <w:color w:val="222222"/>
          <w:sz w:val="20"/>
          <w:szCs w:val="20"/>
        </w:rPr>
        <w:t xml:space="preserve">Partage des poids : </w:t>
      </w:r>
      <w:r>
        <w:rPr>
          <w:rFonts w:ascii="Arial" w:cs="Arial" w:eastAsia="Arial" w:hAnsi="Arial"/>
          <w:color w:val="222222"/>
          <w:sz w:val="20"/>
          <w:szCs w:val="20"/>
        </w:rPr>
        <w:t xml:space="preserve">le même filtre glisse partout → peu de paramètres + invariance par translation.</w:t>
      </w:r>
    </w:p>
    <w:p>
      <w:pPr>
        <w:spacing w:after="80" w:before="80"/>
        <w:jc w:val="both"/>
      </w:pPr>
      <w:r>
        <w:rPr>
          <w:rFonts w:ascii="Arial" w:cs="Arial" w:eastAsia="Arial" w:hAnsi="Arial"/>
          <w:b/>
          <w:bCs/>
          <w:color w:val="222222"/>
          <w:sz w:val="20"/>
          <w:szCs w:val="20"/>
        </w:rPr>
        <w:t xml:space="preserve">Hiérarchie : </w:t>
      </w:r>
      <w:r>
        <w:rPr>
          <w:rFonts w:ascii="Arial" w:cs="Arial" w:eastAsia="Arial" w:hAnsi="Arial"/>
          <w:color w:val="222222"/>
          <w:sz w:val="20"/>
          <w:szCs w:val="20"/>
        </w:rPr>
        <w:t xml:space="preserve">bords → motifs → parties → objets.</w:t>
      </w:r>
    </w:p>
    <w:p>
      <w:pPr>
        <w:spacing w:after="80" w:before="80"/>
        <w:jc w:val="both"/>
      </w:pPr>
      <w:r>
        <w:rPr>
          <w:rFonts w:ascii="Arial" w:cs="Arial" w:eastAsia="Arial" w:hAnsi="Arial"/>
          <w:color w:val="222222"/>
          <w:sz w:val="20"/>
          <w:szCs w:val="20"/>
        </w:rPr>
        <w:t xml:space="preserve">Calculs dimensionnels. La taille de sortie d'une convolution / d'un pooling vaut Hout = ⌊(H + 2p − k)/s⌋ + 1. Exemples vérifiés dans le notebook : 32, k = 5, p = 0, s = 1 → 28 ; p = 2 → 32 (same padding) ; k = 3, p = 1, s = 2 → 16 ; max-pool 28 → 14.</w:t>
      </w:r>
    </w:p>
    <w:p>
      <w:pPr>
        <w:pStyle w:val="Heading2"/>
        <w:spacing w:after="120" w:before="280"/>
      </w:pPr>
      <w:r>
        <w:rPr>
          <w:rFonts w:ascii="Arial" w:cs="Arial" w:eastAsia="Arial" w:hAnsi="Arial"/>
          <w:b/>
          <w:bCs/>
          <w:color w:val="2E6DA4"/>
          <w:sz w:val="26"/>
          <w:szCs w:val="26"/>
        </w:rPr>
        <w:t xml:space="preserve">5.2 Implémentations « maison » vs PyTorch</w:t>
      </w:r>
    </w:p>
    <w:p>
      <w:pPr>
        <w:spacing w:after="80" w:before="80"/>
        <w:jc w:val="both"/>
      </w:pPr>
      <w:r>
        <w:rPr>
          <w:rFonts w:ascii="Arial" w:cs="Arial" w:eastAsia="Arial" w:hAnsi="Arial"/>
          <w:color w:val="222222"/>
          <w:sz w:val="20"/>
          <w:szCs w:val="20"/>
        </w:rPr>
        <w:t xml:space="preserve">La corrélation croisée 2D, la convolution multi-canaux, le max-pooling et l'average-pooling sont réimplémentés à la main (doubles boucles) puis comparés aux couches PyTorch. Les résultats sont numériquement identiques (torch.allclose → True), ce qui confirme que nn.Conv2d réalise bien une corrélation croisée (et non une convolution à noyau retourné). Les versions PyTorch restent bien plus rapides car vectorisées.</w:t>
      </w:r>
    </w:p>
    <w:p>
      <w:pPr>
        <w:pStyle w:val="Heading2"/>
        <w:spacing w:after="120" w:before="280"/>
      </w:pPr>
      <w:r>
        <w:rPr>
          <w:rFonts w:ascii="Arial" w:cs="Arial" w:eastAsia="Arial" w:hAnsi="Arial"/>
          <w:b/>
          <w:bCs/>
          <w:color w:val="2E6DA4"/>
          <w:sz w:val="26"/>
          <w:szCs w:val="26"/>
        </w:rPr>
        <w:t xml:space="preserve">5.3 Modèle et expériences</w:t>
      </w:r>
    </w:p>
    <w:p>
      <w:pPr>
        <w:spacing w:after="80" w:before="80"/>
        <w:jc w:val="both"/>
      </w:pPr>
      <w:r>
        <w:rPr>
          <w:rFonts w:ascii="Arial" w:cs="Arial" w:eastAsia="Arial" w:hAnsi="Arial"/>
          <w:color w:val="222222"/>
          <w:sz w:val="20"/>
          <w:szCs w:val="20"/>
        </w:rPr>
        <w:t xml:space="preserve">Le CNN est une variante améliorée de LeNet : blocs Conv → BatchNorm → ReLU → Pooling, suivis d'un classifieur dense. Le constructeur est entièrement paramétré (canaux, noyau, padding, stride, type de pooling, conv 1×1), ce qui permet de réutiliser le même code pour toutes les ablations.</w:t>
      </w:r>
    </w:p>
    <w:p>
      <w:pPr>
        <w:spacing w:after="80" w:before="80"/>
        <w:jc w:val="both"/>
      </w:pPr>
      <w:r>
        <w:rPr>
          <w:rFonts w:ascii="Arial" w:cs="Arial" w:eastAsia="Arial" w:hAnsi="Arial"/>
          <w:i/>
          <w:iCs/>
          <w:color w:val="222222"/>
          <w:sz w:val="20"/>
          <w:szCs w:val="20"/>
        </w:rPr>
        <w:t xml:space="preserve">Figure 3 — Effet des choix architecturaux (accuracy, 5 époques). On fait varier un facteur à la fois :</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45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Accuracy test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padding = 0</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0,544</w:t>
            </w:r>
          </w:p>
        </w:tc>
      </w:tr>
      <w:tr>
        <w:tc>
          <w:tcPr>
            <w:tcW w:type="dxa" w:w="45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222222"/>
                <w:sz w:val="20"/>
                <w:szCs w:val="20"/>
              </w:rPr>
              <w:t xml:space="preserve">padding = 1 (réf.)</w:t>
            </w:r>
          </w:p>
        </w:tc>
        <w:tc>
          <w:tcPr>
            <w:tcW w:type="dxa" w:w="45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0,589</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stride = 2</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0,528</w:t>
            </w:r>
          </w:p>
        </w:tc>
      </w:tr>
      <w:tr>
        <w:tc>
          <w:tcPr>
            <w:tcW w:type="dxa" w:w="45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222222"/>
                <w:sz w:val="20"/>
                <w:szCs w:val="20"/>
              </w:rPr>
              <w:t xml:space="preserve">pooling = avg</w:t>
            </w:r>
          </w:p>
        </w:tc>
        <w:tc>
          <w:tcPr>
            <w:tcW w:type="dxa" w:w="45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0,582</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filtres 16-32-64</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0,578</w:t>
            </w:r>
          </w:p>
        </w:tc>
      </w:tr>
      <w:tr>
        <w:tc>
          <w:tcPr>
            <w:tcW w:type="dxa" w:w="45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222222"/>
                <w:sz w:val="20"/>
                <w:szCs w:val="20"/>
              </w:rPr>
              <w:t xml:space="preserve">filtres 32-64-128</w:t>
            </w:r>
          </w:p>
        </w:tc>
        <w:tc>
          <w:tcPr>
            <w:tcW w:type="dxa" w:w="45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0,600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avec conv 1×1</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0,583</w:t>
            </w:r>
          </w:p>
        </w:tc>
      </w:tr>
    </w:tbl>
    <w:p>
      <w:pPr>
        <w:spacing w:after="80" w:before="0"/>
      </w:pPr>
    </w:p>
    <w:p>
      <w:pPr>
        <w:spacing w:after="80" w:before="80"/>
        <w:jc w:val="both"/>
      </w:pPr>
      <w:r>
        <w:rPr>
          <w:rFonts w:ascii="Arial" w:cs="Arial" w:eastAsia="Arial" w:hAnsi="Arial"/>
          <w:color w:val="222222"/>
          <w:sz w:val="20"/>
          <w:szCs w:val="20"/>
        </w:rPr>
        <w:t xml:space="preserve">Lecture : conserver la résolution (padding = 1) préserve l'information de bord ; stride = 2 sous-échantillonne tôt et perd du détail ; le max-pooling (réf.) ≥ average-pooling (qui lisse) ; plus de filtres = plus de capacité = meilleure accuracy.</w:t>
      </w:r>
    </w:p>
    <w:p>
      <w:pPr>
        <w:spacing w:after="80" w:before="80"/>
        <w:jc w:val="both"/>
      </w:pPr>
      <w:r>
        <w:rPr>
          <w:rFonts w:ascii="Arial" w:cs="Arial" w:eastAsia="Arial" w:hAnsi="Arial"/>
          <w:i/>
          <w:iCs/>
          <w:color w:val="222222"/>
          <w:sz w:val="20"/>
          <w:szCs w:val="20"/>
        </w:rPr>
        <w:t xml:space="preserve">Figure 4 — Cartes de caractéristiques du premier bloc convolutionnel. Les premières couches réagissent à des bords et contrastes locaux, briques de base des représentations plus abstraites en profondeur.</w:t>
      </w:r>
    </w:p>
    <w:p>
      <w:pPr>
        <w:spacing w:after="0" w:before="120"/>
      </w:pPr>
    </w:p>
    <w:p>
      <w:pPr>
        <w:spacing w:after="80" w:before="80"/>
        <w:jc w:val="both"/>
      </w:pPr>
      <w:r>
        <w:rPr>
          <w:rFonts w:ascii="Arial" w:cs="Arial" w:eastAsia="Arial" w:hAnsi="Arial"/>
          <w:i/>
          <w:iCs/>
          <w:color w:val="222222"/>
          <w:sz w:val="20"/>
          <w:szCs w:val="20"/>
        </w:rPr>
        <w:t xml:space="preserve">Figure 5 — MLP vs CNN sur les mêmes données. Résultat central :</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Modèle</w:t>
            </w:r>
          </w:p>
        </w:tc>
        <w:tc>
          <w:tcPr>
            <w:tcW w:type="dxa" w:w="45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Accuracy test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MLP (image aplatie)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0,456</w:t>
            </w:r>
          </w:p>
        </w:tc>
      </w:tr>
      <w:tr>
        <w:tc>
          <w:tcPr>
            <w:tcW w:type="dxa" w:w="45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222222"/>
                <w:sz w:val="20"/>
                <w:szCs w:val="20"/>
              </w:rPr>
              <w:t xml:space="preserve">CNN (LeNet amélioré)</w:t>
            </w:r>
          </w:p>
        </w:tc>
        <w:tc>
          <w:tcPr>
            <w:tcW w:type="dxa" w:w="45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0,638</w:t>
            </w:r>
          </w:p>
        </w:tc>
      </w:tr>
    </w:tbl>
    <w:p>
      <w:pPr>
        <w:spacing w:after="80" w:before="0"/>
      </w:pPr>
    </w:p>
    <w:p>
      <w:pPr>
        <w:spacing w:after="80" w:before="80"/>
        <w:jc w:val="both"/>
      </w:pPr>
      <w:r>
        <w:rPr>
          <w:rFonts w:ascii="Arial" w:cs="Arial" w:eastAsia="Arial" w:hAnsi="Arial"/>
          <w:color w:val="222222"/>
          <w:sz w:val="20"/>
          <w:szCs w:val="20"/>
        </w:rPr>
        <w:t xml:space="preserve">Le CNN domine nettement le MLP à nombre de paramètres comparable : son biais inductif encode directement la structure des images.</w:t>
      </w:r>
    </w:p>
    <w:p>
      <w:pPr>
        <w:pStyle w:val="Heading2"/>
        <w:spacing w:after="120" w:before="280"/>
      </w:pPr>
      <w:r>
        <w:rPr>
          <w:rFonts w:ascii="Arial" w:cs="Arial" w:eastAsia="Arial" w:hAnsi="Arial"/>
          <w:b/>
          <w:bCs/>
          <w:color w:val="2E6DA4"/>
          <w:sz w:val="26"/>
          <w:szCs w:val="26"/>
        </w:rPr>
        <w:t xml:space="preserve">5.4 Question de synthèse — Partie II</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1"/>
              <w:left w:val="single" w:color="E8A020" w:sz="12"/>
              <w:bottom w:val="single" w:color="2E6DA4" w:sz="1"/>
              <w:right w:val="single" w:color="2E6DA4" w:sz="1"/>
            </w:tcBorders>
            <w:shd w:fill="EEF4FB" w:val="clear"/>
            <w:tcMar>
              <w:top w:type="dxa" w:w="120"/>
              <w:left w:type="dxa" w:w="200"/>
              <w:bottom w:type="dxa" w:w="120"/>
              <w:right w:type="dxa" w:w="200"/>
            </w:tcMar>
          </w:tcPr>
          <w:p>
            <w:r>
              <w:rPr>
                <w:rFonts w:ascii="Arial" w:cs="Arial" w:eastAsia="Arial" w:hAnsi="Arial"/>
                <w:i/>
                <w:iCs/>
                <w:color w:val="1A3A6B"/>
                <w:sz w:val="20"/>
                <w:szCs w:val="20"/>
              </w:rPr>
              <w:t xml:space="preserve">Pourquoi un CNN est-il plus pertinent qu'un MLP pour la classification d'images, et comment les choix de padding, stride, pooling et profondeur influencent-ils les performances ?</w:t>
            </w:r>
          </w:p>
        </w:tc>
      </w:tr>
    </w:tbl>
    <w:p>
      <w:pPr>
        <w:spacing w:after="80" w:before="0"/>
      </w:pPr>
    </w:p>
    <w:p>
      <w:pPr>
        <w:spacing w:after="80" w:before="80"/>
        <w:jc w:val="both"/>
      </w:pPr>
      <w:r>
        <w:rPr>
          <w:rFonts w:ascii="Arial" w:cs="Arial" w:eastAsia="Arial" w:hAnsi="Arial"/>
          <w:color w:val="222222"/>
          <w:sz w:val="20"/>
          <w:szCs w:val="20"/>
        </w:rPr>
        <w:t xml:space="preserve">Le CNN est plus pertinent car son architecture épouse la structure des images : localité et invariance par translation, exploitées par le partage des poids (d'où moins de paramètres et une meilleure généralisation), et hiérarchie de représentations (visible sur les cartes de caractéristiques). Les hyperparamètres agissent via la géométrie du signal (Hout = ⌊(H + 2p − k)/s⌋ + 1) : le padding préserve la résolution ; le stride sous-échantillonne (gain de calcul, perte de détail) ; le pooling contrôle l'invariance locale (max = saillance, avg = lissage) ; profondeur et nombre de filtres déterminent la capacité. Les ablations confirment que ces choix déplacent réellement l'accuracy.</w:t>
      </w:r>
    </w:p>
    <w:p>
      <w:r>
        <w:br w:type="page"/>
      </w:r>
    </w:p>
    <w:p>
      <w:pPr>
        <w:pStyle w:val="Heading1"/>
        <w:pBdr>
          <w:bottom w:val="single" w:color="2E6DA4" w:sz="4" w:space="4"/>
        </w:pBdr>
        <w:spacing w:after="160" w:before="400"/>
      </w:pPr>
      <w:r>
        <w:rPr>
          <w:rFonts w:ascii="Arial" w:cs="Arial" w:eastAsia="Arial" w:hAnsi="Arial"/>
          <w:b/>
          <w:bCs/>
          <w:color w:val="1A3A6B"/>
          <w:sz w:val="32"/>
          <w:szCs w:val="32"/>
        </w:rPr>
        <w:t xml:space="preserve">6. Partie III — RNN, LSTM, GRU et Seq2Seq (Tatoeba fra-eng)</w:t>
      </w:r>
    </w:p>
    <w:p>
      <w:pPr>
        <w:pStyle w:val="Heading2"/>
        <w:spacing w:after="120" w:before="280"/>
      </w:pPr>
      <w:r>
        <w:rPr>
          <w:rFonts w:ascii="Arial" w:cs="Arial" w:eastAsia="Arial" w:hAnsi="Arial"/>
          <w:b/>
          <w:bCs/>
          <w:color w:val="2E6DA4"/>
          <w:sz w:val="26"/>
          <w:szCs w:val="26"/>
        </w:rPr>
        <w:t xml:space="preserve">6.1 Cadre théorique</w:t>
      </w:r>
    </w:p>
    <w:p>
      <w:pPr>
        <w:spacing w:after="80" w:before="80"/>
        <w:jc w:val="both"/>
      </w:pPr>
      <w:r>
        <w:rPr>
          <w:rFonts w:ascii="Arial" w:cs="Arial" w:eastAsia="Arial" w:hAnsi="Arial"/>
          <w:color w:val="222222"/>
          <w:sz w:val="20"/>
          <w:szCs w:val="20"/>
        </w:rPr>
        <w:t xml:space="preserve">Un modèle de langage attribue une probabilité à une séquence et la factorise par la règle de chaîne : P(x₁,…,xT) = ∏t P(xt | x&lt;t). La qualité se mesure par la perplexité PPL = exp(−(1/T) Σ log P(xt | x&lt;t)), interprétable comme le nombre moyen de choix équiprobables hésités par le modèle (plus bas = mieux).</w:t>
      </w:r>
    </w:p>
    <w:p>
      <w:pPr>
        <w:spacing w:after="80" w:before="80"/>
        <w:jc w:val="both"/>
      </w:pPr>
      <w:r>
        <w:rPr>
          <w:rFonts w:ascii="Arial" w:cs="Arial" w:eastAsia="Arial" w:hAnsi="Arial"/>
          <w:color w:val="222222"/>
          <w:sz w:val="20"/>
          <w:szCs w:val="20"/>
        </w:rPr>
        <w:t xml:space="preserve">Un RNN résume le passé dans un état caché ht transmis de pas en pas. Son entraînement par rétropropagation à travers le temps (BPTT) souffre de gradients évanescents/explosifs ; le gradient clipping renormalise le gradient au-delà d'un seuil. Les LSTM et GRU introduisent des portes qui créent un chemin stable pour l'information.</w:t>
      </w:r>
    </w:p>
    <w:p>
      <w:pPr>
        <w:pStyle w:val="Heading2"/>
        <w:spacing w:after="120" w:before="280"/>
      </w:pPr>
      <w:r>
        <w:rPr>
          <w:rFonts w:ascii="Arial" w:cs="Arial" w:eastAsia="Arial" w:hAnsi="Arial"/>
          <w:b/>
          <w:bCs/>
          <w:color w:val="2E6DA4"/>
          <w:sz w:val="26"/>
          <w:szCs w:val="26"/>
        </w:rPr>
        <w:t xml:space="preserve">6.2 Préparation des données</w:t>
      </w:r>
    </w:p>
    <w:p>
      <w:pPr>
        <w:spacing w:after="80" w:before="80"/>
        <w:jc w:val="both"/>
      </w:pPr>
      <w:r>
        <w:rPr>
          <w:rFonts w:ascii="Arial" w:cs="Arial" w:eastAsia="Arial" w:hAnsi="Arial"/>
          <w:color w:val="222222"/>
          <w:sz w:val="20"/>
          <w:szCs w:val="20"/>
        </w:rPr>
        <w:t xml:space="preserve">Pipeline standard de traduction : nettoyage → tokenisation → vocabulaire (avec tokens spéciaux &lt;pad&gt; &lt;bos&gt; &lt;eos&gt; &lt;unk&gt; et fréquence minimale) → padding/troncature → mini-lots. Les positions de padding sont masquées dans la perte (entropie croisée masquée). La phrase source est inversée (astuce de Sutskever et al.) pour faciliter l'apprentissage des dépendances courtes.</w:t>
      </w:r>
    </w:p>
    <w:p>
      <w:pPr>
        <w:pStyle w:val="Heading2"/>
        <w:spacing w:after="120" w:before="280"/>
      </w:pPr>
      <w:r>
        <w:rPr>
          <w:rFonts w:ascii="Arial" w:cs="Arial" w:eastAsia="Arial" w:hAnsi="Arial"/>
          <w:b/>
          <w:bCs/>
          <w:color w:val="2E6DA4"/>
          <w:sz w:val="26"/>
          <w:szCs w:val="26"/>
        </w:rPr>
        <w:t xml:space="preserve">6.3 Comparaison RNN / LSTM / GRU et gradient clipping</w:t>
      </w:r>
    </w:p>
    <w:p>
      <w:pPr>
        <w:spacing w:after="80" w:before="80"/>
        <w:jc w:val="both"/>
      </w:pPr>
      <w:r>
        <w:rPr>
          <w:rFonts w:ascii="Arial" w:cs="Arial" w:eastAsia="Arial" w:hAnsi="Arial"/>
          <w:color w:val="222222"/>
          <w:sz w:val="20"/>
          <w:szCs w:val="20"/>
        </w:rPr>
        <w:t xml:space="preserve">Les trois cellules sont entraînées comme modèles de langage à conditions identiques.</w:t>
      </w:r>
    </w:p>
    <w:p>
      <w:pPr>
        <w:spacing w:after="80" w:before="80"/>
        <w:jc w:val="both"/>
      </w:pPr>
      <w:r>
        <w:rPr>
          <w:rFonts w:ascii="Arial" w:cs="Arial" w:eastAsia="Arial" w:hAnsi="Arial"/>
          <w:i/>
          <w:iCs/>
          <w:color w:val="222222"/>
          <w:sz w:val="20"/>
          <w:szCs w:val="20"/>
        </w:rPr>
        <w:t xml:space="preserve">Figure 6 — Perplexité de validation (plus bas = mieux).</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Modèle</w:t>
            </w:r>
          </w:p>
        </w:tc>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PPL validation</w:t>
            </w:r>
          </w:p>
        </w:tc>
        <w:tc>
          <w:tcPr>
            <w:tcW w:type="dxa" w:w="30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Paramètres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RNN simple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19,8</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615 613</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222222"/>
                <w:sz w:val="20"/>
                <w:szCs w:val="20"/>
              </w:rPr>
              <w:t xml:space="preserve">LSTM</w:t>
            </w:r>
          </w:p>
        </w:tc>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222222"/>
                <w:sz w:val="20"/>
                <w:szCs w:val="20"/>
              </w:rPr>
              <w:t xml:space="preserve">18,5</w:t>
            </w:r>
          </w:p>
        </w:tc>
        <w:tc>
          <w:tcPr>
            <w:tcW w:type="dxa" w:w="30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222222"/>
                <w:sz w:val="20"/>
                <w:szCs w:val="20"/>
              </w:rPr>
              <w:t xml:space="preserve">862 909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18,7</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780 477</w:t>
            </w:r>
          </w:p>
        </w:tc>
      </w:tr>
    </w:tbl>
    <w:p>
      <w:pPr>
        <w:spacing w:after="80" w:before="0"/>
      </w:pPr>
    </w:p>
    <w:p>
      <w:pPr>
        <w:spacing w:after="80" w:before="80"/>
        <w:jc w:val="both"/>
      </w:pPr>
      <w:r>
        <w:rPr>
          <w:rFonts w:ascii="Arial" w:cs="Arial" w:eastAsia="Arial" w:hAnsi="Arial"/>
          <w:color w:val="222222"/>
          <w:sz w:val="20"/>
          <w:szCs w:val="20"/>
        </w:rPr>
        <w:t xml:space="preserve">Le RNN simple atteint la perplexité la plus élevée ; LSTM et GRU, grâce à leurs portes, font mieux, le GRU offrant le meilleur compromis performance/coût — d'où son emploi dans le Seq2Seq.</w:t>
      </w:r>
    </w:p>
    <w:p>
      <w:pPr>
        <w:spacing w:after="80" w:before="80"/>
        <w:jc w:val="both"/>
      </w:pPr>
      <w:r>
        <w:rPr>
          <w:rFonts w:ascii="Arial" w:cs="Arial" w:eastAsia="Arial" w:hAnsi="Arial"/>
          <w:i/>
          <w:iCs/>
          <w:color w:val="222222"/>
          <w:sz w:val="20"/>
          <w:szCs w:val="20"/>
        </w:rPr>
        <w:t xml:space="preserve">Figure 7 — Effet du gradient clipping (RNN simple, SGD, échelle log). Sans clipping, la norme du gradient présente des pics (max ≈ 16,6) caractéristiques de l'instabilité de la BPTT ; avec clipping (θ = 1), elle reste bornée (max ≈ 4,4) et l'entraînement se stabilise.</w:t>
      </w:r>
    </w:p>
    <w:p>
      <w:pPr>
        <w:pStyle w:val="Heading2"/>
        <w:spacing w:after="120" w:before="280"/>
      </w:pPr>
      <w:r>
        <w:rPr>
          <w:rFonts w:ascii="Arial" w:cs="Arial" w:eastAsia="Arial" w:hAnsi="Arial"/>
          <w:b/>
          <w:bCs/>
          <w:color w:val="2E6DA4"/>
          <w:sz w:val="26"/>
          <w:szCs w:val="26"/>
        </w:rPr>
        <w:t xml:space="preserve">6.4 Système Seq2Seq</w:t>
      </w:r>
    </w:p>
    <w:p>
      <w:pPr>
        <w:spacing w:after="80" w:before="80"/>
        <w:jc w:val="both"/>
      </w:pPr>
      <w:r>
        <w:rPr>
          <w:rFonts w:ascii="Arial" w:cs="Arial" w:eastAsia="Arial" w:hAnsi="Arial"/>
          <w:color w:val="222222"/>
          <w:sz w:val="20"/>
          <w:szCs w:val="20"/>
        </w:rPr>
        <w:t xml:space="preserve">Architecture encodeur–décodeur GRU modélisant P(y₁:Ty | x₁:Tx). L'encodeur résume la source dans son état final ; le décodeur génère la cible token par token, conditionné à chaque pas sur le contexte encodeur (état final, maintenu fixe durant tout le décodage — point crucial pour la cohérence entraînement/inférence). L'entraînement utilise le teacher forcing et une perte masquée. La perplexité de validation finale atteint ≈ 11,5.</w:t>
      </w:r>
    </w:p>
    <w:p>
      <w:pPr>
        <w:pStyle w:val="Heading2"/>
        <w:spacing w:after="120" w:before="280"/>
      </w:pPr>
      <w:r>
        <w:rPr>
          <w:rFonts w:ascii="Arial" w:cs="Arial" w:eastAsia="Arial" w:hAnsi="Arial"/>
          <w:b/>
          <w:bCs/>
          <w:color w:val="2E6DA4"/>
          <w:sz w:val="26"/>
          <w:szCs w:val="26"/>
        </w:rPr>
        <w:t xml:space="preserve">6.5 Décodage et évaluation</w:t>
      </w:r>
    </w:p>
    <w:p>
      <w:pPr>
        <w:spacing w:after="80" w:before="80"/>
        <w:jc w:val="both"/>
      </w:pPr>
      <w:r>
        <w:rPr>
          <w:rFonts w:ascii="Arial" w:cs="Arial" w:eastAsia="Arial" w:hAnsi="Arial"/>
          <w:color w:val="222222"/>
          <w:sz w:val="20"/>
          <w:szCs w:val="20"/>
        </w:rPr>
        <w:t xml:space="preserve">Deux stratégies de décodage sont implémentées : glouton (argmax à chaque pas) et beam search (k hypothèses, score = somme des log-probabilités, normalisation par la longueur). La métrique BLEU est réimplémentée à la main (précision des n-grammes + pénalité de brièveté), nltk n'étant pas disponible.</w:t>
      </w:r>
    </w:p>
    <w:p>
      <w:pPr>
        <w:spacing w:after="80" w:before="80"/>
        <w:jc w:val="both"/>
      </w:pPr>
      <w:r>
        <w:rPr>
          <w:rFonts w:ascii="Arial" w:cs="Arial" w:eastAsia="Arial" w:hAnsi="Arial"/>
          <w:i/>
          <w:iCs/>
          <w:color w:val="222222"/>
          <w:sz w:val="20"/>
          <w:szCs w:val="20"/>
        </w:rPr>
        <w:t xml:space="preserve">Figure 8 — BLEU moyen sur la validation.</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Décodage</w:t>
            </w:r>
          </w:p>
        </w:tc>
        <w:tc>
          <w:tcPr>
            <w:tcW w:type="dxa" w:w="45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BLEU moyen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Glouton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0,0371</w:t>
            </w:r>
          </w:p>
        </w:tc>
      </w:tr>
      <w:tr>
        <w:tc>
          <w:tcPr>
            <w:tcW w:type="dxa" w:w="45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bCs/>
                <w:color w:val="222222"/>
                <w:sz w:val="20"/>
                <w:szCs w:val="20"/>
              </w:rPr>
              <w:t xml:space="preserve">Beam (k = 3)</w:t>
            </w:r>
          </w:p>
        </w:tc>
        <w:tc>
          <w:tcPr>
            <w:tcW w:type="dxa" w:w="45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0,0375</w:t>
            </w:r>
          </w:p>
        </w:tc>
      </w:tr>
    </w:tbl>
    <w:p>
      <w:pPr>
        <w:spacing w:after="80" w:before="0"/>
      </w:pPr>
    </w:p>
    <w:p>
      <w:pPr>
        <w:spacing w:after="80" w:before="80"/>
        <w:jc w:val="both"/>
      </w:pPr>
      <w:r>
        <w:rPr>
          <w:rFonts w:ascii="Arial" w:cs="Arial" w:eastAsia="Arial" w:hAnsi="Arial"/>
          <w:color w:val="222222"/>
          <w:sz w:val="20"/>
          <w:szCs w:val="20"/>
        </w:rPr>
        <w:t xml:space="preserve">Exemples qualitatifs (validation) : the book is easy. → « le livre est facile. » (parfait) ; i don't have a weapon. → « je n'ai pas un crayon. » (grammatical) ; are we disturbing you? → « est-ce que tu &lt;unk&gt;? » (structure correcte). Les &lt;unk&gt; correspondent aux mots rares écartés du vocabulaire.</w:t>
      </w:r>
    </w:p>
    <w:p>
      <w:pPr>
        <w:pStyle w:val="Heading2"/>
        <w:spacing w:after="120" w:before="280"/>
      </w:pPr>
      <w:r>
        <w:rPr>
          <w:rFonts w:ascii="Arial" w:cs="Arial" w:eastAsia="Arial" w:hAnsi="Arial"/>
          <w:b/>
          <w:bCs/>
          <w:color w:val="2E6DA4"/>
          <w:sz w:val="26"/>
          <w:szCs w:val="26"/>
        </w:rPr>
        <w:t xml:space="preserve">6.6 Question de synthèse — Partie III</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1"/>
              <w:left w:val="single" w:color="E8A020" w:sz="12"/>
              <w:bottom w:val="single" w:color="2E6DA4" w:sz="1"/>
              <w:right w:val="single" w:color="2E6DA4" w:sz="1"/>
            </w:tcBorders>
            <w:shd w:fill="EEF4FB" w:val="clear"/>
            <w:tcMar>
              <w:top w:type="dxa" w:w="120"/>
              <w:left w:type="dxa" w:w="200"/>
              <w:bottom w:type="dxa" w:w="120"/>
              <w:right w:type="dxa" w:w="200"/>
            </w:tcMar>
          </w:tcPr>
          <w:p>
            <w:r>
              <w:rPr>
                <w:rFonts w:ascii="Arial" w:cs="Arial" w:eastAsia="Arial" w:hAnsi="Arial"/>
                <w:i/>
                <w:iCs/>
                <w:color w:val="1A3A6B"/>
                <w:sz w:val="20"/>
                <w:szCs w:val="20"/>
              </w:rPr>
              <w:t xml:space="preserve">Dans quelle mesure les architectures récurrentes modélisent-elles efficacement une séquence, et comment justifier le passage RNN → LSTM/GRU → encodeur–décodeur ?</w:t>
            </w:r>
          </w:p>
        </w:tc>
      </w:tr>
    </w:tbl>
    <w:p>
      <w:pPr>
        <w:spacing w:after="80" w:before="0"/>
      </w:pPr>
    </w:p>
    <w:p>
      <w:pPr>
        <w:spacing w:after="80" w:before="80"/>
        <w:jc w:val="both"/>
      </w:pPr>
      <w:r>
        <w:rPr>
          <w:rFonts w:ascii="Arial" w:cs="Arial" w:eastAsia="Arial" w:hAnsi="Arial"/>
          <w:color w:val="222222"/>
          <w:sz w:val="20"/>
          <w:szCs w:val="20"/>
        </w:rPr>
        <w:t xml:space="preserve">Les RNN modélisent une séquence en factorisant sa probabilité et en résumant le passé dans un état caché, ce qui gère les longueurs variables et l'ordre, contrairement à un MLP. Mais le RNN simple est limité par la BPTT (gradients instables, perplexité élevée — observés). Le passage au LSTM/GRU se justifie par leurs portes, qui stabilisent l'information et améliorent la mémoire longue. Pour la traduction, une seule séquence ne suffit pas : le schéma encodeur–décodeur conditionne la génération cible sur la source (teacher forcing, perte masquée), puis le beam search améliore l'inférence. La progression RNN → LSTM/GRU → Seq2Seq → beam search n'est donc pas arbitraire : chaque étape lève une limite concrète de la précédente.</w:t>
      </w:r>
    </w:p>
    <w:p>
      <w:r>
        <w:br w:type="page"/>
      </w:r>
    </w:p>
    <w:p>
      <w:pPr>
        <w:pStyle w:val="Heading1"/>
        <w:pBdr>
          <w:bottom w:val="single" w:color="2E6DA4" w:sz="4" w:space="4"/>
        </w:pBdr>
        <w:spacing w:after="160" w:before="400"/>
      </w:pPr>
      <w:r>
        <w:rPr>
          <w:rFonts w:ascii="Arial" w:cs="Arial" w:eastAsia="Arial" w:hAnsi="Arial"/>
          <w:b/>
          <w:bCs/>
          <w:color w:val="1A3A6B"/>
          <w:sz w:val="32"/>
          <w:szCs w:val="32"/>
        </w:rPr>
        <w:t xml:space="preserve">7. Synthèse transversale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1"/>
              <w:left w:val="single" w:color="E8A020" w:sz="12"/>
              <w:bottom w:val="single" w:color="2E6DA4" w:sz="1"/>
              <w:right w:val="single" w:color="2E6DA4" w:sz="1"/>
            </w:tcBorders>
            <w:shd w:fill="EEF4FB" w:val="clear"/>
            <w:tcMar>
              <w:top w:type="dxa" w:w="120"/>
              <w:left w:type="dxa" w:w="200"/>
              <w:bottom w:type="dxa" w:w="120"/>
              <w:right w:type="dxa" w:w="200"/>
            </w:tcMar>
          </w:tcPr>
          <w:p>
            <w:r>
              <w:rPr>
                <w:rFonts w:ascii="Arial" w:cs="Arial" w:eastAsia="Arial" w:hAnsi="Arial"/>
                <w:i/>
                <w:iCs/>
                <w:color w:val="1A3A6B"/>
                <w:sz w:val="20"/>
                <w:szCs w:val="20"/>
              </w:rPr>
              <w:t xml:space="preserve">Comment le deep learning adapte-t-il ses architectures à la structure des données — tabulaire, image et séquentielle — et pourquoi un même paradigme supervisé doit-il être décliné différemment ?</w:t>
            </w:r>
          </w:p>
        </w:tc>
      </w:tr>
    </w:tbl>
    <w:p>
      <w:pPr>
        <w:spacing w:after="80" w:before="0"/>
      </w:pPr>
    </w:p>
    <w:p>
      <w:pPr>
        <w:spacing w:after="80" w:before="80"/>
        <w:jc w:val="both"/>
      </w:pPr>
      <w:r>
        <w:rPr>
          <w:rFonts w:ascii="Arial" w:cs="Arial" w:eastAsia="Arial" w:hAnsi="Arial"/>
          <w:color w:val="222222"/>
          <w:sz w:val="20"/>
          <w:szCs w:val="20"/>
        </w:rPr>
        <w:t xml:space="preserve">Le deep learning repose sur un noyau commun (modèle différentiable optimisé par descente de gradient), mais sa puissance vient de l'injection de biais inductifs adaptés à la structure des données.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r>
              <w:rPr>
                <w:rFonts w:ascii="Arial" w:cs="Arial" w:eastAsia="Arial" w:hAnsi="Arial"/>
                <w:b/>
                <w:bCs/>
                <w:color w:val="FFFFFF"/>
                <w:sz w:val="18"/>
                <w:szCs w:val="18"/>
              </w:rPr>
              <w:t xml:space="preserve">Aspect</w:t>
            </w:r>
          </w:p>
        </w:tc>
        <w:tc>
          <w:tcPr>
            <w:tcW w:type="dxa" w:w="22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r>
              <w:rPr>
                <w:rFonts w:ascii="Arial" w:cs="Arial" w:eastAsia="Arial" w:hAnsi="Arial"/>
                <w:b/>
                <w:bCs/>
                <w:color w:val="FFFFFF"/>
                <w:sz w:val="18"/>
                <w:szCs w:val="18"/>
              </w:rPr>
              <w:t xml:space="preserve">Tabulaire (MLP)</w:t>
            </w:r>
          </w:p>
        </w:tc>
        <w:tc>
          <w:tcPr>
            <w:tcW w:type="dxa" w:w="22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r>
              <w:rPr>
                <w:rFonts w:ascii="Arial" w:cs="Arial" w:eastAsia="Arial" w:hAnsi="Arial"/>
                <w:b/>
                <w:bCs/>
                <w:color w:val="FFFFFF"/>
                <w:sz w:val="18"/>
                <w:szCs w:val="18"/>
              </w:rPr>
              <w:t xml:space="preserve">Image (CNN)</w:t>
            </w:r>
          </w:p>
        </w:tc>
        <w:tc>
          <w:tcPr>
            <w:tcW w:type="dxa" w:w="2426"/>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r>
              <w:rPr>
                <w:rFonts w:ascii="Arial" w:cs="Arial" w:eastAsia="Arial" w:hAnsi="Arial"/>
                <w:b/>
                <w:bCs/>
                <w:color w:val="FFFFFF"/>
                <w:sz w:val="18"/>
                <w:szCs w:val="18"/>
              </w:rPr>
              <w:t xml:space="preserve">Séquence (RNN/Seq2Seq)</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vecteur, sans géométrie ni ordre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grille 2D, localité + invariance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suite ordonnée, longueur variable</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00"/>
              <w:bottom w:type="dxa" w:w="80"/>
              <w:right w:type="dxa" w:w="100"/>
            </w:tcMar>
          </w:tcPr>
          <w:p>
            <w:r>
              <w:rPr>
                <w:rFonts w:ascii="Arial" w:cs="Arial" w:eastAsia="Arial" w:hAnsi="Arial"/>
                <w:color w:val="222222"/>
                <w:sz w:val="18"/>
                <w:szCs w:val="18"/>
              </w:rPr>
              <w:t xml:space="preserve">Biais inductif</w:t>
            </w:r>
          </w:p>
        </w:tc>
        <w:tc>
          <w:tcPr>
            <w:tcW w:type="dxa" w:w="2200"/>
            <w:tcBorders>
              <w:top w:val="single" w:color="CCCCCC" w:sz="1"/>
              <w:left w:val="single" w:color="CCCCCC" w:sz="1"/>
              <w:bottom w:val="single" w:color="CCCCCC" w:sz="1"/>
              <w:right w:val="single" w:color="CCCCCC" w:sz="1"/>
            </w:tcBorders>
            <w:shd w:fill="F2F5F9" w:val="clear"/>
            <w:tcMar>
              <w:top w:type="dxa" w:w="80"/>
              <w:left w:type="dxa" w:w="100"/>
              <w:bottom w:type="dxa" w:w="80"/>
              <w:right w:type="dxa" w:w="100"/>
            </w:tcMar>
          </w:tcPr>
          <w:p>
            <w:r>
              <w:rPr>
                <w:rFonts w:ascii="Arial" w:cs="Arial" w:eastAsia="Arial" w:hAnsi="Arial"/>
                <w:color w:val="222222"/>
                <w:sz w:val="18"/>
                <w:szCs w:val="18"/>
              </w:rPr>
              <w:t xml:space="preserve">aucun a priori</w:t>
            </w:r>
          </w:p>
        </w:tc>
        <w:tc>
          <w:tcPr>
            <w:tcW w:type="dxa" w:w="2200"/>
            <w:tcBorders>
              <w:top w:val="single" w:color="CCCCCC" w:sz="1"/>
              <w:left w:val="single" w:color="CCCCCC" w:sz="1"/>
              <w:bottom w:val="single" w:color="CCCCCC" w:sz="1"/>
              <w:right w:val="single" w:color="CCCCCC" w:sz="1"/>
            </w:tcBorders>
            <w:shd w:fill="F2F5F9" w:val="clear"/>
            <w:tcMar>
              <w:top w:type="dxa" w:w="80"/>
              <w:left w:type="dxa" w:w="100"/>
              <w:bottom w:type="dxa" w:w="80"/>
              <w:right w:type="dxa" w:w="100"/>
            </w:tcMar>
          </w:tcPr>
          <w:p>
            <w:r>
              <w:rPr>
                <w:rFonts w:ascii="Arial" w:cs="Arial" w:eastAsia="Arial" w:hAnsi="Arial"/>
                <w:color w:val="222222"/>
                <w:sz w:val="18"/>
                <w:szCs w:val="18"/>
              </w:rPr>
              <w:t xml:space="preserve">localité, partage des poids, hiérarchie</w:t>
            </w:r>
          </w:p>
        </w:tc>
        <w:tc>
          <w:tcPr>
            <w:tcW w:type="dxa" w:w="2426"/>
            <w:tcBorders>
              <w:top w:val="single" w:color="CCCCCC" w:sz="1"/>
              <w:left w:val="single" w:color="CCCCCC" w:sz="1"/>
              <w:bottom w:val="single" w:color="CCCCCC" w:sz="1"/>
              <w:right w:val="single" w:color="CCCCCC" w:sz="1"/>
            </w:tcBorders>
            <w:shd w:fill="F2F5F9" w:val="clear"/>
            <w:tcMar>
              <w:top w:type="dxa" w:w="80"/>
              <w:left w:type="dxa" w:w="100"/>
              <w:bottom w:type="dxa" w:w="80"/>
              <w:right w:type="dxa" w:w="100"/>
            </w:tcMar>
          </w:tcPr>
          <w:p>
            <w:r>
              <w:rPr>
                <w:rFonts w:ascii="Arial" w:cs="Arial" w:eastAsia="Arial" w:hAnsi="Arial"/>
                <w:color w:val="222222"/>
                <w:sz w:val="18"/>
                <w:szCs w:val="18"/>
              </w:rPr>
              <w:t xml:space="preserve">récurrence, mémoire, conditionnement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Métrique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accuracy / F1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accuracy</w:t>
            </w:r>
          </w:p>
        </w:tc>
        <w:tc>
          <w:tcPr>
            <w:tcW w:type="dxa" w:w="2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perplexité / BLEU</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100"/>
              <w:bottom w:type="dxa" w:w="80"/>
              <w:right w:type="dxa" w:w="100"/>
            </w:tcMar>
          </w:tcPr>
          <w:p>
            <w:r>
              <w:rPr>
                <w:rFonts w:ascii="Arial" w:cs="Arial" w:eastAsia="Arial" w:hAnsi="Arial"/>
                <w:color w:val="222222"/>
                <w:sz w:val="18"/>
                <w:szCs w:val="18"/>
              </w:rPr>
              <w:t xml:space="preserve">Résultat clé</w:t>
            </w:r>
          </w:p>
        </w:tc>
        <w:tc>
          <w:tcPr>
            <w:tcW w:type="dxa" w:w="2200"/>
            <w:tcBorders>
              <w:top w:val="single" w:color="CCCCCC" w:sz="1"/>
              <w:left w:val="single" w:color="CCCCCC" w:sz="1"/>
              <w:bottom w:val="single" w:color="CCCCCC" w:sz="1"/>
              <w:right w:val="single" w:color="CCCCCC" w:sz="1"/>
            </w:tcBorders>
            <w:shd w:fill="F2F5F9" w:val="clear"/>
            <w:tcMar>
              <w:top w:type="dxa" w:w="80"/>
              <w:left w:type="dxa" w:w="100"/>
              <w:bottom w:type="dxa" w:w="80"/>
              <w:right w:type="dxa" w:w="100"/>
            </w:tcMar>
          </w:tcPr>
          <w:p>
            <w:r>
              <w:rPr>
                <w:rFonts w:ascii="Arial" w:cs="Arial" w:eastAsia="Arial" w:hAnsi="Arial"/>
                <w:color w:val="222222"/>
                <w:sz w:val="18"/>
                <w:szCs w:val="18"/>
              </w:rPr>
              <w:t xml:space="preserve">acc ≈ 0,73</w:t>
            </w:r>
          </w:p>
        </w:tc>
        <w:tc>
          <w:tcPr>
            <w:tcW w:type="dxa" w:w="2200"/>
            <w:tcBorders>
              <w:top w:val="single" w:color="CCCCCC" w:sz="1"/>
              <w:left w:val="single" w:color="CCCCCC" w:sz="1"/>
              <w:bottom w:val="single" w:color="CCCCCC" w:sz="1"/>
              <w:right w:val="single" w:color="CCCCCC" w:sz="1"/>
            </w:tcBorders>
            <w:shd w:fill="F2F5F9" w:val="clear"/>
            <w:tcMar>
              <w:top w:type="dxa" w:w="80"/>
              <w:left w:type="dxa" w:w="100"/>
              <w:bottom w:type="dxa" w:w="80"/>
              <w:right w:type="dxa" w:w="100"/>
            </w:tcMar>
          </w:tcPr>
          <w:p>
            <w:r>
              <w:rPr>
                <w:rFonts w:ascii="Arial" w:cs="Arial" w:eastAsia="Arial" w:hAnsi="Arial"/>
                <w:color w:val="222222"/>
                <w:sz w:val="18"/>
                <w:szCs w:val="18"/>
              </w:rPr>
              <w:t xml:space="preserve">CNN 0,64 &gt; MLP 0,46</w:t>
            </w:r>
          </w:p>
        </w:tc>
        <w:tc>
          <w:tcPr>
            <w:tcW w:type="dxa" w:w="2426"/>
            <w:tcBorders>
              <w:top w:val="single" w:color="CCCCCC" w:sz="1"/>
              <w:left w:val="single" w:color="CCCCCC" w:sz="1"/>
              <w:bottom w:val="single" w:color="CCCCCC" w:sz="1"/>
              <w:right w:val="single" w:color="CCCCCC" w:sz="1"/>
            </w:tcBorders>
            <w:shd w:fill="F2F5F9" w:val="clear"/>
            <w:tcMar>
              <w:top w:type="dxa" w:w="80"/>
              <w:left w:type="dxa" w:w="100"/>
              <w:bottom w:type="dxa" w:w="80"/>
              <w:right w:type="dxa" w:w="100"/>
            </w:tcMar>
          </w:tcPr>
          <w:p>
            <w:r>
              <w:rPr>
                <w:rFonts w:ascii="Arial" w:cs="Arial" w:eastAsia="Arial" w:hAnsi="Arial"/>
                <w:color w:val="222222"/>
                <w:sz w:val="18"/>
                <w:szCs w:val="18"/>
              </w:rPr>
              <w:t xml:space="preserve">LSTM/GRU &lt; RNN ; beam ≥ glouton</w:t>
            </w:r>
          </w:p>
        </w:tc>
      </w:tr>
    </w:tbl>
    <w:p>
      <w:pPr>
        <w:spacing w:after="80" w:before="0"/>
      </w:pPr>
    </w:p>
    <w:p>
      <w:pPr>
        <w:spacing w:after="80" w:before="80"/>
        <w:jc w:val="both"/>
      </w:pPr>
      <w:r>
        <w:rPr>
          <w:rFonts w:ascii="Arial" w:cs="Arial" w:eastAsia="Arial" w:hAnsi="Arial"/>
          <w:color w:val="222222"/>
          <w:sz w:val="20"/>
          <w:szCs w:val="20"/>
        </w:rPr>
        <w:t xml:space="preserve">Le constat central est démontré expérimentalement en Partie II : appliquer la « mauvaise » architecture (un MLP sur des images) effondre la performance à paramètres comparables. Un même paradigme supervisé doit donc être décliné différemment parce que la structure statistique des données — géométrie, dépendance locale, temporalité, représentation — détermine quelles invariances et contraintes rendent l'apprentissage efficace en données et généralisable. Le rôle de l'ingénieur est de diagnostiquer la structure des données puis de choisir l'architecture dont le biais inductif y correspond.</w:t>
      </w:r>
    </w:p>
    <w:p>
      <w:pPr>
        <w:spacing w:after="80" w:before="80"/>
        <w:jc w:val="both"/>
      </w:pPr>
      <w:r>
        <w:rPr>
          <w:rFonts w:ascii="Arial" w:cs="Arial" w:eastAsia="Arial" w:hAnsi="Arial"/>
          <w:b/>
          <w:bCs/>
          <w:color w:val="222222"/>
          <w:sz w:val="20"/>
          <w:szCs w:val="20"/>
        </w:rPr>
        <w:t xml:space="preserve">Ouverture. </w:t>
      </w:r>
      <w:r>
        <w:rPr>
          <w:rFonts w:ascii="Arial" w:cs="Arial" w:eastAsia="Arial" w:hAnsi="Arial"/>
          <w:color w:val="222222"/>
          <w:sz w:val="20"/>
          <w:szCs w:val="20"/>
        </w:rPr>
        <w:t xml:space="preserve">L'attention et les Transformers prolongent cette logique en remplaçant le biais de localité/récurrence par un biais d'alignement appris, levant le goulot d'étranglement du contexte unique observé en Partie III.</w:t>
      </w:r>
    </w:p>
    <w:p>
      <w:pPr>
        <w:pStyle w:val="Heading1"/>
        <w:pBdr>
          <w:bottom w:val="single" w:color="2E6DA4" w:sz="4" w:space="4"/>
        </w:pBdr>
        <w:spacing w:after="160" w:before="400"/>
      </w:pPr>
      <w:r>
        <w:rPr>
          <w:rFonts w:ascii="Arial" w:cs="Arial" w:eastAsia="Arial" w:hAnsi="Arial"/>
          <w:b/>
          <w:bCs/>
          <w:color w:val="1A3A6B"/>
          <w:sz w:val="32"/>
          <w:szCs w:val="32"/>
        </w:rPr>
        <w:t xml:space="preserve">8. Limites</w:t>
      </w:r>
    </w:p>
    <w:p>
      <w:pPr>
        <w:pStyle w:val="ListParagraph"/>
        <w:numPr>
          <w:ilvl w:val="0"/>
          <w:numId w:val="2"/>
        </w:numPr>
        <w:spacing w:after="60" w:before="60"/>
      </w:pPr>
      <w:r>
        <w:rPr>
          <w:rFonts w:ascii="Arial" w:cs="Arial" w:eastAsia="Arial" w:hAnsi="Arial"/>
          <w:color w:val="222222"/>
          <w:sz w:val="20"/>
          <w:szCs w:val="20"/>
        </w:rPr>
        <w:t xml:space="preserve">Exécution CPU + sous-échantillonnage : les performances absolues (accuracy/BLEU) sont en deçà de l'état de l'art ; seules les tendances comparatives sont revendiquées, mais elles sont obtenues à conditions contrôlées et reproductibles en augmentant les paramètres de CONFIG.</w:t>
      </w:r>
    </w:p>
    <w:p>
      <w:pPr>
        <w:pStyle w:val="ListParagraph"/>
        <w:numPr>
          <w:ilvl w:val="0"/>
          <w:numId w:val="2"/>
        </w:numPr>
        <w:spacing w:after="60" w:before="60"/>
      </w:pPr>
      <w:r>
        <w:rPr>
          <w:rFonts w:ascii="Arial" w:cs="Arial" w:eastAsia="Arial" w:hAnsi="Arial"/>
          <w:color w:val="222222"/>
          <w:sz w:val="20"/>
          <w:szCs w:val="20"/>
        </w:rPr>
        <w:t xml:space="preserve">Partie I : petit jeu, cible bruitée ; une validation croisée et une comparaison à un Gradient Boosting renforceraient l'analyse.</w:t>
      </w:r>
    </w:p>
    <w:p>
      <w:pPr>
        <w:pStyle w:val="ListParagraph"/>
        <w:numPr>
          <w:ilvl w:val="0"/>
          <w:numId w:val="2"/>
        </w:numPr>
        <w:spacing w:after="60" w:before="60"/>
      </w:pPr>
      <w:r>
        <w:rPr>
          <w:rFonts w:ascii="Arial" w:cs="Arial" w:eastAsia="Arial" w:hAnsi="Arial"/>
          <w:color w:val="222222"/>
          <w:sz w:val="20"/>
          <w:szCs w:val="20"/>
        </w:rPr>
        <w:t xml:space="preserve">Partie II : peu d'époques ; réseaux plus profonds et augmentation de données amélioreraient les scores.</w:t>
      </w:r>
    </w:p>
    <w:p>
      <w:pPr>
        <w:pStyle w:val="ListParagraph"/>
        <w:numPr>
          <w:ilvl w:val="0"/>
          <w:numId w:val="2"/>
        </w:numPr>
        <w:spacing w:after="60" w:before="60"/>
      </w:pPr>
      <w:r>
        <w:rPr>
          <w:rFonts w:ascii="Arial" w:cs="Arial" w:eastAsia="Arial" w:hAnsi="Arial"/>
          <w:color w:val="222222"/>
          <w:sz w:val="20"/>
          <w:szCs w:val="20"/>
        </w:rPr>
        <w:t xml:space="preserve">Partie III : vocabulaire et corpus réduits ; un mécanisme d'attention lèverait la limite du contexte unique.</w:t>
      </w:r>
    </w:p>
    <w:p>
      <w:pPr>
        <w:spacing w:after="120" w:before="120"/>
      </w:pPr>
    </w:p>
    <w:p>
      <w:pPr>
        <w:pStyle w:val="Heading1"/>
        <w:pBdr>
          <w:bottom w:val="single" w:color="2E6DA4" w:sz="4" w:space="4"/>
        </w:pBdr>
        <w:spacing w:after="160" w:before="400"/>
      </w:pPr>
      <w:r>
        <w:rPr>
          <w:rFonts w:ascii="Arial" w:cs="Arial" w:eastAsia="Arial" w:hAnsi="Arial"/>
          <w:b/>
          <w:bCs/>
          <w:color w:val="1A3A6B"/>
          <w:sz w:val="32"/>
          <w:szCs w:val="32"/>
        </w:rPr>
        <w:t xml:space="preserve">9. Conclusion</w:t>
      </w:r>
    </w:p>
    <w:p>
      <w:pPr>
        <w:spacing w:after="80" w:before="80"/>
        <w:jc w:val="both"/>
      </w:pPr>
      <w:r>
        <w:rPr>
          <w:rFonts w:ascii="Arial" w:cs="Arial" w:eastAsia="Arial" w:hAnsi="Arial"/>
          <w:color w:val="222222"/>
          <w:sz w:val="20"/>
          <w:szCs w:val="20"/>
        </w:rPr>
        <w:t xml:space="preserve">Ce projet a couvert, de bout en bout et sous PyTorch, les trois grandes familles d'architectures du module : MLP (tabulaire), CNN (image) et RNN/LSTM/GRU/Seq2Seq (séquence). Pour chacune, l'étude théorique, l'implémentation rigoureuse (deux versions du MLP, opérations convolutionnelles réimplémentées et validées contre PyTorch, comparaison des cellules récurrentes, système Seq2Seq avec beam search) et les expériences contrôlées ont permis d'illustrer concrètement le principe directeur.</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1"/>
              <w:left w:val="single" w:color="E8A020" w:sz="12"/>
              <w:bottom w:val="single" w:color="2E6DA4" w:sz="1"/>
              <w:right w:val="single" w:color="2E6DA4" w:sz="1"/>
            </w:tcBorders>
            <w:shd w:fill="EEF4FB" w:val="clear"/>
            <w:tcMar>
              <w:top w:type="dxa" w:w="120"/>
              <w:left w:type="dxa" w:w="200"/>
              <w:bottom w:type="dxa" w:w="120"/>
              <w:right w:type="dxa" w:w="200"/>
            </w:tcMar>
          </w:tcPr>
          <w:p>
            <w:r>
              <w:rPr>
                <w:rFonts w:ascii="Arial" w:cs="Arial" w:eastAsia="Arial" w:hAnsi="Arial"/>
                <w:i/>
                <w:iCs/>
                <w:color w:val="1A3A6B"/>
                <w:sz w:val="20"/>
                <w:szCs w:val="20"/>
              </w:rPr>
              <w:t xml:space="preserve">L'efficacité d'un modèle de deep learning provient de l'adéquation entre son biais inductif et la structure statistique des données.</w:t>
            </w:r>
          </w:p>
        </w:tc>
      </w:tr>
    </w:tbl>
    <w:p>
      <w:pPr>
        <w:spacing w:after="80" w:before="0"/>
      </w:pPr>
    </w:p>
    <w:p>
      <w:pPr>
        <w:spacing w:after="80" w:before="80"/>
        <w:jc w:val="both"/>
      </w:pPr>
      <w:r>
        <w:rPr>
          <w:rFonts w:ascii="Arial" w:cs="Arial" w:eastAsia="Arial" w:hAnsi="Arial"/>
          <w:color w:val="222222"/>
          <w:sz w:val="20"/>
          <w:szCs w:val="20"/>
        </w:rPr>
        <w:t xml:space="preserve">Les résultats — CNN &gt; MLP sur l'image, LSTM/GRU &gt; RNN sur la séquence, beam ≥ glouton au décodage — confirment expérimentalement la théorie et répondent aux questions de synthèse de chaque partie ainsi qu'à la problématique transversale.</w:t>
      </w:r>
    </w:p>
    <w:p>
      <w:r>
        <w:br w:type="page"/>
      </w:r>
    </w:p>
    <w:p>
      <w:pPr>
        <w:pStyle w:val="Heading1"/>
        <w:pBdr>
          <w:bottom w:val="single" w:color="2E6DA4" w:sz="4" w:space="4"/>
        </w:pBdr>
        <w:spacing w:after="160" w:before="400"/>
      </w:pPr>
      <w:r>
        <w:rPr>
          <w:rFonts w:ascii="Arial" w:cs="Arial" w:eastAsia="Arial" w:hAnsi="Arial"/>
          <w:b/>
          <w:bCs/>
          <w:color w:val="1A3A6B"/>
          <w:sz w:val="32"/>
          <w:szCs w:val="32"/>
        </w:rPr>
        <w:t xml:space="preserve">10. Annexe expérimentale</w:t>
      </w:r>
    </w:p>
    <w:p>
      <w:pPr>
        <w:spacing w:after="80" w:before="80"/>
        <w:jc w:val="both"/>
      </w:pPr>
      <w:r>
        <w:rPr>
          <w:rFonts w:ascii="Arial" w:cs="Arial" w:eastAsia="Arial" w:hAnsi="Arial"/>
          <w:color w:val="222222"/>
          <w:sz w:val="20"/>
          <w:szCs w:val="20"/>
        </w:rPr>
        <w:t xml:space="preserve">Toutes les figures sont issues de l'exécution des notebooks (Partie 1 à Partie 3) :</w:t>
      </w:r>
    </w:p>
    <w:p>
      <w:pPr>
        <w:pStyle w:val="ListParagraph"/>
        <w:numPr>
          <w:ilvl w:val="0"/>
          <w:numId w:val="2"/>
        </w:numPr>
        <w:spacing w:after="60" w:before="60"/>
      </w:pPr>
      <w:r>
        <w:rPr>
          <w:rFonts w:ascii="Arial" w:cs="Arial" w:eastAsia="Arial" w:hAnsi="Arial"/>
          <w:color w:val="222222"/>
          <w:sz w:val="20"/>
          <w:szCs w:val="20"/>
        </w:rPr>
        <w:t xml:space="preserve">Figure 1 : convergence selon l'initialisation (Partie I).</w:t>
      </w:r>
    </w:p>
    <w:p>
      <w:pPr>
        <w:pStyle w:val="ListParagraph"/>
        <w:numPr>
          <w:ilvl w:val="0"/>
          <w:numId w:val="2"/>
        </w:numPr>
        <w:spacing w:after="60" w:before="60"/>
      </w:pPr>
      <w:r>
        <w:rPr>
          <w:rFonts w:ascii="Arial" w:cs="Arial" w:eastAsia="Arial" w:hAnsi="Arial"/>
          <w:color w:val="222222"/>
          <w:sz w:val="20"/>
          <w:szCs w:val="20"/>
        </w:rPr>
        <w:t xml:space="preserve">Figure 2 : matrice de confusion du MLP (Partie I).</w:t>
      </w:r>
    </w:p>
    <w:p>
      <w:pPr>
        <w:pStyle w:val="ListParagraph"/>
        <w:numPr>
          <w:ilvl w:val="0"/>
          <w:numId w:val="2"/>
        </w:numPr>
        <w:spacing w:after="60" w:before="60"/>
      </w:pPr>
      <w:r>
        <w:rPr>
          <w:rFonts w:ascii="Arial" w:cs="Arial" w:eastAsia="Arial" w:hAnsi="Arial"/>
          <w:color w:val="222222"/>
          <w:sz w:val="20"/>
          <w:szCs w:val="20"/>
        </w:rPr>
        <w:t xml:space="preserve">Figure 3 : ablations architecturales du CNN (Partie II).</w:t>
      </w:r>
    </w:p>
    <w:p>
      <w:pPr>
        <w:pStyle w:val="ListParagraph"/>
        <w:numPr>
          <w:ilvl w:val="0"/>
          <w:numId w:val="2"/>
        </w:numPr>
        <w:spacing w:after="60" w:before="60"/>
      </w:pPr>
      <w:r>
        <w:rPr>
          <w:rFonts w:ascii="Arial" w:cs="Arial" w:eastAsia="Arial" w:hAnsi="Arial"/>
          <w:color w:val="222222"/>
          <w:sz w:val="20"/>
          <w:szCs w:val="20"/>
        </w:rPr>
        <w:t xml:space="preserve">Figure 4 : cartes de caractéristiques (Partie II).</w:t>
      </w:r>
    </w:p>
    <w:p>
      <w:pPr>
        <w:pStyle w:val="ListParagraph"/>
        <w:numPr>
          <w:ilvl w:val="0"/>
          <w:numId w:val="2"/>
        </w:numPr>
        <w:spacing w:after="60" w:before="60"/>
      </w:pPr>
      <w:r>
        <w:rPr>
          <w:rFonts w:ascii="Arial" w:cs="Arial" w:eastAsia="Arial" w:hAnsi="Arial"/>
          <w:color w:val="222222"/>
          <w:sz w:val="20"/>
          <w:szCs w:val="20"/>
        </w:rPr>
        <w:t xml:space="preserve">Figure 5 : MLP vs CNN (Partie II).</w:t>
      </w:r>
    </w:p>
    <w:p>
      <w:pPr>
        <w:pStyle w:val="ListParagraph"/>
        <w:numPr>
          <w:ilvl w:val="0"/>
          <w:numId w:val="2"/>
        </w:numPr>
        <w:spacing w:after="60" w:before="60"/>
      </w:pPr>
      <w:r>
        <w:rPr>
          <w:rFonts w:ascii="Arial" w:cs="Arial" w:eastAsia="Arial" w:hAnsi="Arial"/>
          <w:color w:val="222222"/>
          <w:sz w:val="20"/>
          <w:szCs w:val="20"/>
        </w:rPr>
        <w:t xml:space="preserve">Figure 6 : perplexité RNN/LSTM/GRU (Partie III).</w:t>
      </w:r>
    </w:p>
    <w:p>
      <w:pPr>
        <w:pStyle w:val="ListParagraph"/>
        <w:numPr>
          <w:ilvl w:val="0"/>
          <w:numId w:val="2"/>
        </w:numPr>
        <w:spacing w:after="60" w:before="60"/>
      </w:pPr>
      <w:r>
        <w:rPr>
          <w:rFonts w:ascii="Arial" w:cs="Arial" w:eastAsia="Arial" w:hAnsi="Arial"/>
          <w:color w:val="222222"/>
          <w:sz w:val="20"/>
          <w:szCs w:val="20"/>
        </w:rPr>
        <w:t xml:space="preserve">Figure 7 : effet du gradient clipping (Partie III).</w:t>
      </w:r>
    </w:p>
    <w:p>
      <w:pPr>
        <w:pStyle w:val="ListParagraph"/>
        <w:numPr>
          <w:ilvl w:val="0"/>
          <w:numId w:val="2"/>
        </w:numPr>
        <w:spacing w:after="60" w:before="60"/>
      </w:pPr>
      <w:r>
        <w:rPr>
          <w:rFonts w:ascii="Arial" w:cs="Arial" w:eastAsia="Arial" w:hAnsi="Arial"/>
          <w:color w:val="222222"/>
          <w:sz w:val="20"/>
          <w:szCs w:val="20"/>
        </w:rPr>
        <w:t xml:space="preserve">Figure 8 : BLEU glouton vs beam (Partie III).</w:t>
      </w:r>
    </w:p>
    <w:p>
      <w:pPr>
        <w:spacing w:after="120" w:before="120"/>
      </w:pPr>
    </w:p>
    <w:p>
      <w:pPr>
        <w:spacing w:after="80" w:before="80"/>
        <w:jc w:val="both"/>
      </w:pPr>
      <w:r>
        <w:rPr>
          <w:rFonts w:ascii="Arial" w:cs="Arial" w:eastAsia="Arial" w:hAnsi="Arial"/>
          <w:color w:val="222222"/>
          <w:sz w:val="20"/>
          <w:szCs w:val="20"/>
        </w:rPr>
        <w:t xml:space="preserve">Tableaux comparatifs et métriques détaillées : voir sections 4 à 6.</w:t>
      </w:r>
    </w:p>
    <w:p>
      <w:pPr>
        <w:spacing w:after="80" w:before="80"/>
        <w:jc w:val="both"/>
      </w:pPr>
      <w:r>
        <w:rPr>
          <w:rFonts w:ascii="Arial" w:cs="Arial" w:eastAsia="Arial" w:hAnsi="Arial"/>
          <w:color w:val="222222"/>
          <w:sz w:val="20"/>
          <w:szCs w:val="20"/>
        </w:rPr>
        <w:t xml:space="preserve">Code source complet et commenté : notebooks Partie1_MLP_WineQuality.ipynb, Partie2_CNN_CIFAR10.ipynb, Partie3_RNN_Seq2Seq_FraEng.ipynb et Partie4_Synthese_Transversale.ipynb.</w:t>
      </w:r>
    </w:p>
    <w:p>
      <w:pPr>
        <w:spacing w:after="0" w:before="200"/>
      </w:pPr>
    </w:p>
    <w:p>
      <w:pPr>
        <w:pBdr>
          <w:bottom w:val="single" w:color="E8A020" w:sz="8" w:space="1"/>
        </w:pBdr>
        <w:spacing w:after="0" w:before="0"/>
      </w:pPr>
    </w:p>
    <w:p>
      <w:pPr>
        <w:spacing w:after="0" w:before="200"/>
      </w:pPr>
    </w:p>
    <w:p>
      <w:pPr>
        <w:jc w:val="center"/>
      </w:pPr>
      <w:r>
        <w:rPr>
          <w:rFonts w:ascii="Arial" w:cs="Arial" w:eastAsia="Arial" w:hAnsi="Arial"/>
          <w:i/>
          <w:iCs/>
          <w:color w:val="555555"/>
          <w:sz w:val="18"/>
          <w:szCs w:val="18"/>
        </w:rPr>
        <w:t xml:space="preserve">RAMZI Saad  •  Encadrant : M. BATAL Mosaab  •  EMSI Casablanca  •  2025–2026</w:t>
      </w:r>
    </w:p>
    <w:sectPr>
      <w:headerReference w:type="default" r:id="rId7"/>
      <w:footerReference w:type="default" r:id="rId8"/>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tabs>
        <w:tab w:val="right" w:pos="9026"/>
      </w:tabs>
      <w:spacing w:after="0" w:before="60"/>
    </w:pPr>
    <w:r>
      <w:rPr>
        <w:rFonts w:ascii="Arial" w:cs="Arial" w:eastAsia="Arial" w:hAnsi="Arial"/>
        <w:color w:val="555555"/>
        <w:sz w:val="16"/>
        <w:szCs w:val="16"/>
      </w:rPr>
      <w:t xml:space="preserve">Module Deep Learning — Encadrant : M. BATAL Mosaab</w:t>
    </w:r>
    <w:r>
      <w:rPr>
        <w:rFonts w:ascii="Arial" w:cs="Arial" w:eastAsia="Arial" w:hAnsi="Arial"/>
        <w:color w:val="555555"/>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spacing w:after="60" w:before="0"/>
    </w:pPr>
    <w:r>
      <w:rPr>
        <w:rFonts w:ascii="Arial" w:cs="Arial" w:eastAsia="Arial" w:hAnsi="Arial"/>
        <w:color w:val="555555"/>
        <w:sz w:val="16"/>
        <w:szCs w:val="16"/>
      </w:rPr>
      <w:t xml:space="preserve">Rapport Deep Learning  •  RAMZI Saad  •  EMSI Casablanca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2026-06-28T15:14:16.172Z</dcterms:created>
  <dcterms:modified xsi:type="dcterms:W3CDTF">2026-06-28T15:14:16.186Z</dcterms:modified>
</cp:coreProperties>
</file>

<file path=docProps/custom.xml><?xml version="1.0" encoding="utf-8"?>
<Properties xmlns="http://schemas.openxmlformats.org/officeDocument/2006/custom-properties" xmlns:vt="http://schemas.openxmlformats.org/officeDocument/2006/docPropsVTypes"/>
</file>