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Display" w:hAnsi="Aptos Display"/>
          <w:b/>
          <w:color w:val="143456"/>
          <w:sz w:val="54"/>
        </w:rPr>
        <w:t>PRODUCT REQUIREMENTS</w:t>
        <w:br/>
        <w:t>DOCUMENT</w:t>
      </w:r>
    </w:p>
    <w:p>
      <w:r>
        <w:rPr>
          <w:color w:val="195F82"/>
          <w:sz w:val="38"/>
        </w:rPr>
        <w:t>Stock Observability — Prometheus Alert Rules</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3456"/>
          </w:tcPr>
          <w:p>
            <w:pPr>
              <w:spacing w:after="20"/>
            </w:pPr>
            <w:r/>
            <w:r>
              <w:rPr>
                <w:rFonts w:ascii="Aptos" w:hAnsi="Aptos"/>
                <w:b/>
                <w:color w:val="FFFFFF"/>
                <w:sz w:val="17"/>
              </w:rPr>
              <w:t>Document field</w:t>
            </w:r>
          </w:p>
        </w:tc>
        <w:tc>
          <w:tcPr>
            <w:tcW w:type="dxa" w:w="4968"/>
            <w:vAlign w:val="center"/>
            <w:shd w:fill="143456"/>
          </w:tcPr>
          <w:p>
            <w:pPr>
              <w:spacing w:after="20"/>
            </w:pPr>
            <w:r/>
            <w:r>
              <w:rPr>
                <w:rFonts w:ascii="Aptos" w:hAnsi="Aptos"/>
                <w:b/>
                <w:color w:val="FFFFFF"/>
                <w:sz w:val="17"/>
              </w:rPr>
              <w:t>Value</w:t>
            </w:r>
          </w:p>
        </w:tc>
      </w:tr>
      <w:tr>
        <w:tc>
          <w:tcPr>
            <w:tcW w:type="dxa" w:w="4968"/>
            <w:vAlign w:val="center"/>
          </w:tcPr>
          <w:p>
            <w:pPr>
              <w:spacing w:after="20"/>
            </w:pPr>
            <w:r/>
            <w:r>
              <w:rPr>
                <w:rFonts w:ascii="Aptos" w:hAnsi="Aptos"/>
                <w:b w:val="0"/>
                <w:sz w:val="16"/>
              </w:rPr>
              <w:t>Product</w:t>
            </w:r>
          </w:p>
        </w:tc>
        <w:tc>
          <w:tcPr>
            <w:tcW w:type="dxa" w:w="4968"/>
            <w:vAlign w:val="center"/>
          </w:tcPr>
          <w:p>
            <w:pPr>
              <w:spacing w:after="20"/>
            </w:pPr>
            <w:r/>
            <w:r>
              <w:rPr>
                <w:rFonts w:ascii="Aptos" w:hAnsi="Aptos"/>
                <w:b w:val="0"/>
                <w:sz w:val="16"/>
              </w:rPr>
              <w:t>Stock Observability MVP</w:t>
            </w:r>
          </w:p>
        </w:tc>
      </w:tr>
      <w:tr>
        <w:tc>
          <w:tcPr>
            <w:tcW w:type="dxa" w:w="4968"/>
            <w:vAlign w:val="center"/>
          </w:tcPr>
          <w:p>
            <w:pPr>
              <w:spacing w:after="20"/>
            </w:pPr>
            <w:r/>
            <w:r>
              <w:rPr>
                <w:rFonts w:ascii="Aptos" w:hAnsi="Aptos"/>
                <w:b w:val="0"/>
                <w:sz w:val="16"/>
              </w:rPr>
              <w:t>Feature</w:t>
            </w:r>
          </w:p>
        </w:tc>
        <w:tc>
          <w:tcPr>
            <w:tcW w:type="dxa" w:w="4968"/>
            <w:vAlign w:val="center"/>
          </w:tcPr>
          <w:p>
            <w:pPr>
              <w:spacing w:after="20"/>
            </w:pPr>
            <w:r/>
            <w:r>
              <w:rPr>
                <w:rFonts w:ascii="Aptos" w:hAnsi="Aptos"/>
                <w:b w:val="0"/>
                <w:sz w:val="16"/>
              </w:rPr>
              <w:t>Prometheus recording and alerting rules</w:t>
            </w:r>
          </w:p>
        </w:tc>
      </w:tr>
      <w:tr>
        <w:tc>
          <w:tcPr>
            <w:tcW w:type="dxa" w:w="4968"/>
            <w:vAlign w:val="center"/>
          </w:tcPr>
          <w:p>
            <w:pPr>
              <w:spacing w:after="20"/>
            </w:pPr>
            <w:r/>
            <w:r>
              <w:rPr>
                <w:rFonts w:ascii="Aptos" w:hAnsi="Aptos"/>
                <w:b w:val="0"/>
                <w:sz w:val="16"/>
              </w:rPr>
              <w:t>Status</w:t>
            </w:r>
          </w:p>
        </w:tc>
        <w:tc>
          <w:tcPr>
            <w:tcW w:type="dxa" w:w="4968"/>
            <w:vAlign w:val="center"/>
          </w:tcPr>
          <w:p>
            <w:pPr>
              <w:spacing w:after="20"/>
            </w:pPr>
            <w:r/>
            <w:r>
              <w:rPr>
                <w:rFonts w:ascii="Aptos" w:hAnsi="Aptos"/>
                <w:b w:val="0"/>
                <w:sz w:val="16"/>
              </w:rPr>
              <w:t>Draft for product and technical review</w:t>
            </w:r>
          </w:p>
        </w:tc>
      </w:tr>
      <w:tr>
        <w:tc>
          <w:tcPr>
            <w:tcW w:type="dxa" w:w="4968"/>
            <w:vAlign w:val="center"/>
          </w:tcPr>
          <w:p>
            <w:pPr>
              <w:spacing w:after="20"/>
            </w:pPr>
            <w:r/>
            <w:r>
              <w:rPr>
                <w:rFonts w:ascii="Aptos" w:hAnsi="Aptos"/>
                <w:b w:val="0"/>
                <w:sz w:val="16"/>
              </w:rPr>
              <w:t>Version</w:t>
            </w:r>
          </w:p>
        </w:tc>
        <w:tc>
          <w:tcPr>
            <w:tcW w:type="dxa" w:w="4968"/>
            <w:vAlign w:val="center"/>
          </w:tcPr>
          <w:p>
            <w:pPr>
              <w:spacing w:after="20"/>
            </w:pPr>
            <w:r/>
            <w:r>
              <w:rPr>
                <w:rFonts w:ascii="Aptos" w:hAnsi="Aptos"/>
                <w:b w:val="0"/>
                <w:sz w:val="16"/>
              </w:rPr>
              <w:t>0.1</w:t>
            </w:r>
          </w:p>
        </w:tc>
      </w:tr>
      <w:tr>
        <w:tc>
          <w:tcPr>
            <w:tcW w:type="dxa" w:w="4968"/>
            <w:vAlign w:val="center"/>
          </w:tcPr>
          <w:p>
            <w:pPr>
              <w:spacing w:after="20"/>
            </w:pPr>
            <w:r/>
            <w:r>
              <w:rPr>
                <w:rFonts w:ascii="Aptos" w:hAnsi="Aptos"/>
                <w:b w:val="0"/>
                <w:sz w:val="16"/>
              </w:rPr>
              <w:t>Source</w:t>
            </w:r>
          </w:p>
        </w:tc>
        <w:tc>
          <w:tcPr>
            <w:tcW w:type="dxa" w:w="4968"/>
            <w:vAlign w:val="center"/>
          </w:tcPr>
          <w:p>
            <w:pPr>
              <w:spacing w:after="20"/>
            </w:pPr>
            <w:r/>
            <w:r>
              <w:rPr>
                <w:rFonts w:ascii="Aptos" w:hAnsi="Aptos"/>
                <w:b w:val="0"/>
                <w:sz w:val="16"/>
              </w:rPr>
              <w:t>Uploaded stock_observability_prometheus_rules package</w:t>
            </w:r>
          </w:p>
        </w:tc>
      </w:tr>
      <w:tr>
        <w:tc>
          <w:tcPr>
            <w:tcW w:type="dxa" w:w="4968"/>
            <w:vAlign w:val="center"/>
          </w:tcPr>
          <w:p>
            <w:pPr>
              <w:spacing w:after="20"/>
            </w:pPr>
            <w:r/>
            <w:r>
              <w:rPr>
                <w:rFonts w:ascii="Aptos" w:hAnsi="Aptos"/>
                <w:b w:val="0"/>
                <w:sz w:val="16"/>
              </w:rPr>
              <w:t>Target stack</w:t>
            </w:r>
          </w:p>
        </w:tc>
        <w:tc>
          <w:tcPr>
            <w:tcW w:type="dxa" w:w="4968"/>
            <w:vAlign w:val="center"/>
          </w:tcPr>
          <w:p>
            <w:pPr>
              <w:spacing w:after="20"/>
            </w:pPr>
            <w:r/>
            <w:r>
              <w:rPr>
                <w:rFonts w:ascii="Aptos" w:hAnsi="Aptos"/>
                <w:b w:val="0"/>
                <w:sz w:val="16"/>
              </w:rPr>
              <w:t>stock_exporter, Prometheus, Alertmanager, Grafana, stock_home</w:t>
            </w:r>
          </w:p>
        </w:tc>
      </w:tr>
    </w:tbl>
    <w:p>
      <w:pPr>
        <w:spacing w:after="20"/>
      </w:pPr>
    </w:p>
    <w:p>
      <w:pPr>
        <w:spacing w:before="240"/>
      </w:pPr>
      <w:r>
        <w:rPr>
          <w:b/>
          <w:sz w:val="24"/>
        </w:rPr>
        <w:t>Purpose</w:t>
      </w:r>
    </w:p>
    <w:p>
      <w:r>
        <w:t>Define the product outcomes, scope, functional requirements, alert semantics, acceptance criteria, operational lifecycle, and release gates for a first version of stock-market observability rules. The rules identify observable market and data conditions; they are not trading signals, price predictions, or investment advice.</w:t>
      </w:r>
    </w:p>
    <w:p>
      <w:r>
        <w:br w:type="page"/>
      </w:r>
    </w:p>
    <w:p>
      <w:pPr>
        <w:pStyle w:val="Heading1"/>
      </w:pPr>
      <w:r>
        <w:t>1. Executive summary</w:t>
      </w:r>
    </w:p>
    <w:p>
      <w:r>
        <w:t>Stock Observability needs a consistent, testable alerting layer that tells users when market data is unavailable or stale, when quote quality is suspect, and when configured price, volume, liquidity, or risk conditions occur. This MVP defines 15 alerts backed by a verified metric contract, documented clearance behavior, narrowly scoped Alertmanager silences, Grafana visibility, and automated rule tests.</w:t>
      </w:r>
    </w:p>
    <w:p>
      <w:r>
        <w:t>The uploaded package is a proposal, not proof that all metric names or derived calculations already exist. The team must reconcile the proposed contract with real stock_exporter output before implementing or enabling the rules.</w:t>
      </w:r>
    </w:p>
    <w:p>
      <w:pPr>
        <w:pStyle w:val="Heading1"/>
      </w:pPr>
      <w:r>
        <w:t>2. Problem statement</w:t>
      </w:r>
    </w:p>
    <w:p>
      <w:r>
        <w:t>Without explicit metric contracts and alert lifecycle behavior, operators may miss feed failures, mistake missing data for healthy conditions, receive noisy notifications outside market hours, or struggle to understand why an alert fired or cleared. A shared rule set and repeatable tests are required to make alert behavior explainable and safe to operate.</w:t>
      </w:r>
    </w:p>
    <w:p>
      <w:pPr>
        <w:pStyle w:val="Heading1"/>
      </w:pPr>
      <w:r>
        <w:t>3. Goals and success measures</w:t>
      </w:r>
    </w:p>
    <w:p>
      <w:pPr>
        <w:pStyle w:val="ListBullet"/>
        <w:spacing w:after="40"/>
      </w:pPr>
      <w:r>
        <w:t>Detect collection and data-quality failures, including disconnected feeds, stale ticks, missing/invalid prices, and failed scrapes.</w:t>
      </w:r>
    </w:p>
    <w:p>
      <w:pPr>
        <w:pStyle w:val="ListBullet"/>
        <w:spacing w:after="40"/>
      </w:pPr>
      <w:r>
        <w:t>Surface configured market observations for price movement, circuit proximity, VWAP divergence, opening gaps, relative volume, spreads, order-book imbalance, volatility, drawdown, and combined price/volume surges.</w:t>
      </w:r>
    </w:p>
    <w:p>
      <w:pPr>
        <w:pStyle w:val="ListBullet"/>
        <w:spacing w:after="40"/>
      </w:pPr>
      <w:r>
        <w:t>Make every alert’s trigger, labels, annotations, duration, clearance predicate, silence scope, and runbook explicit.</w:t>
      </w:r>
    </w:p>
    <w:p>
      <w:pPr>
        <w:pStyle w:val="ListBullet"/>
        <w:spacing w:after="40"/>
      </w:pPr>
      <w:r>
        <w:t>Prevent missing or stale data from being treated as evidence that a market condition has recovered.</w:t>
      </w:r>
    </w:p>
    <w:p>
      <w:pPr>
        <w:pStyle w:val="ListBullet"/>
        <w:spacing w:after="40"/>
      </w:pPr>
      <w:r>
        <w:t>Block release when rule syntax, deterministic tests, metric assumptions, or notification lifecycle checks fail.</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3456"/>
          </w:tcPr>
          <w:p>
            <w:pPr>
              <w:spacing w:after="20"/>
            </w:pPr>
            <w:r/>
            <w:r>
              <w:rPr>
                <w:rFonts w:ascii="Aptos" w:hAnsi="Aptos"/>
                <w:b/>
                <w:color w:val="FFFFFF"/>
                <w:sz w:val="17"/>
              </w:rPr>
              <w:t>Measure</w:t>
            </w:r>
          </w:p>
        </w:tc>
        <w:tc>
          <w:tcPr>
            <w:tcW w:type="dxa" w:w="4968"/>
            <w:vAlign w:val="center"/>
            <w:shd w:fill="143456"/>
          </w:tcPr>
          <w:p>
            <w:pPr>
              <w:spacing w:after="20"/>
            </w:pPr>
            <w:r/>
            <w:r>
              <w:rPr>
                <w:rFonts w:ascii="Aptos" w:hAnsi="Aptos"/>
                <w:b/>
                <w:color w:val="FFFFFF"/>
                <w:sz w:val="17"/>
              </w:rPr>
              <w:t>MVP target</w:t>
            </w:r>
          </w:p>
        </w:tc>
      </w:tr>
      <w:tr>
        <w:tc>
          <w:tcPr>
            <w:tcW w:type="dxa" w:w="4968"/>
            <w:vAlign w:val="center"/>
          </w:tcPr>
          <w:p>
            <w:pPr>
              <w:spacing w:after="20"/>
            </w:pPr>
            <w:r/>
            <w:r>
              <w:rPr>
                <w:rFonts w:ascii="Aptos" w:hAnsi="Aptos"/>
                <w:b w:val="0"/>
                <w:sz w:val="16"/>
              </w:rPr>
              <w:t>Rule coverage</w:t>
            </w:r>
          </w:p>
        </w:tc>
        <w:tc>
          <w:tcPr>
            <w:tcW w:type="dxa" w:w="4968"/>
            <w:vAlign w:val="center"/>
          </w:tcPr>
          <w:p>
            <w:pPr>
              <w:spacing w:after="20"/>
            </w:pPr>
            <w:r/>
            <w:r>
              <w:rPr>
                <w:rFonts w:ascii="Aptos" w:hAnsi="Aptos"/>
                <w:b w:val="0"/>
                <w:sz w:val="16"/>
              </w:rPr>
              <w:t>All 15 alert rules defined, version-controlled, and individually tested</w:t>
            </w:r>
          </w:p>
        </w:tc>
      </w:tr>
      <w:tr>
        <w:tc>
          <w:tcPr>
            <w:tcW w:type="dxa" w:w="4968"/>
            <w:vAlign w:val="center"/>
          </w:tcPr>
          <w:p>
            <w:pPr>
              <w:spacing w:after="20"/>
            </w:pPr>
            <w:r/>
            <w:r>
              <w:rPr>
                <w:rFonts w:ascii="Aptos" w:hAnsi="Aptos"/>
                <w:b w:val="0"/>
                <w:sz w:val="16"/>
              </w:rPr>
              <w:t>Lifecycle coverage</w:t>
            </w:r>
          </w:p>
        </w:tc>
        <w:tc>
          <w:tcPr>
            <w:tcW w:type="dxa" w:w="4968"/>
            <w:vAlign w:val="center"/>
          </w:tcPr>
          <w:p>
            <w:pPr>
              <w:spacing w:after="20"/>
            </w:pPr>
            <w:r/>
            <w:r>
              <w:rPr>
                <w:rFonts w:ascii="Aptos" w:hAnsi="Aptos"/>
                <w:b w:val="0"/>
                <w:sz w:val="16"/>
              </w:rPr>
              <w:t>Firing, recovery, flap, missing-series, and relevant session cases tested for every rule</w:t>
            </w:r>
          </w:p>
        </w:tc>
      </w:tr>
      <w:tr>
        <w:tc>
          <w:tcPr>
            <w:tcW w:type="dxa" w:w="4968"/>
            <w:vAlign w:val="center"/>
          </w:tcPr>
          <w:p>
            <w:pPr>
              <w:spacing w:after="20"/>
            </w:pPr>
            <w:r/>
            <w:r>
              <w:rPr>
                <w:rFonts w:ascii="Aptos" w:hAnsi="Aptos"/>
                <w:b w:val="0"/>
                <w:sz w:val="16"/>
              </w:rPr>
              <w:t>Rule validation</w:t>
            </w:r>
          </w:p>
        </w:tc>
        <w:tc>
          <w:tcPr>
            <w:tcW w:type="dxa" w:w="4968"/>
            <w:vAlign w:val="center"/>
          </w:tcPr>
          <w:p>
            <w:pPr>
              <w:spacing w:after="20"/>
            </w:pPr>
            <w:r/>
            <w:r>
              <w:rPr>
                <w:rFonts w:ascii="Aptos" w:hAnsi="Aptos"/>
                <w:b w:val="0"/>
                <w:sz w:val="16"/>
              </w:rPr>
              <w:t>CI passes promtool rule validation and rule tests</w:t>
            </w:r>
          </w:p>
        </w:tc>
      </w:tr>
      <w:tr>
        <w:tc>
          <w:tcPr>
            <w:tcW w:type="dxa" w:w="4968"/>
            <w:vAlign w:val="center"/>
          </w:tcPr>
          <w:p>
            <w:pPr>
              <w:spacing w:after="20"/>
            </w:pPr>
            <w:r/>
            <w:r>
              <w:rPr>
                <w:rFonts w:ascii="Aptos" w:hAnsi="Aptos"/>
                <w:b w:val="0"/>
                <w:sz w:val="16"/>
              </w:rPr>
              <w:t>Metric contract</w:t>
            </w:r>
          </w:p>
        </w:tc>
        <w:tc>
          <w:tcPr>
            <w:tcW w:type="dxa" w:w="4968"/>
            <w:vAlign w:val="center"/>
          </w:tcPr>
          <w:p>
            <w:pPr>
              <w:spacing w:after="20"/>
            </w:pPr>
            <w:r/>
            <w:r>
              <w:rPr>
                <w:rFonts w:ascii="Aptos" w:hAnsi="Aptos"/>
                <w:b w:val="0"/>
                <w:sz w:val="16"/>
              </w:rPr>
              <w:t>All used metrics have verified names, labels, units, freshness, and methodology</w:t>
            </w:r>
          </w:p>
        </w:tc>
      </w:tr>
      <w:tr>
        <w:tc>
          <w:tcPr>
            <w:tcW w:type="dxa" w:w="4968"/>
            <w:vAlign w:val="center"/>
          </w:tcPr>
          <w:p>
            <w:pPr>
              <w:spacing w:after="20"/>
            </w:pPr>
            <w:r/>
            <w:r>
              <w:rPr>
                <w:rFonts w:ascii="Aptos" w:hAnsi="Aptos"/>
                <w:b w:val="0"/>
                <w:sz w:val="16"/>
              </w:rPr>
              <w:t>Operational readiness</w:t>
            </w:r>
          </w:p>
        </w:tc>
        <w:tc>
          <w:tcPr>
            <w:tcW w:type="dxa" w:w="4968"/>
            <w:vAlign w:val="center"/>
          </w:tcPr>
          <w:p>
            <w:pPr>
              <w:spacing w:after="20"/>
            </w:pPr>
            <w:r/>
            <w:r>
              <w:rPr>
                <w:rFonts w:ascii="Aptos" w:hAnsi="Aptos"/>
                <w:b w:val="0"/>
                <w:sz w:val="16"/>
              </w:rPr>
              <w:t>Each rule has a runbook and tested routing/silence behavior</w:t>
            </w:r>
          </w:p>
        </w:tc>
      </w:tr>
    </w:tbl>
    <w:p>
      <w:pPr>
        <w:spacing w:after="20"/>
      </w:pPr>
    </w:p>
    <w:p>
      <w:pPr>
        <w:pStyle w:val="Heading1"/>
      </w:pPr>
      <w:r>
        <w:t>4. Users and jobs to be done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3456"/>
          </w:tcPr>
          <w:p>
            <w:pPr>
              <w:spacing w:after="20"/>
            </w:pPr>
            <w:r/>
            <w:r>
              <w:rPr>
                <w:rFonts w:ascii="Aptos" w:hAnsi="Aptos"/>
                <w:b/>
                <w:color w:val="FFFFFF"/>
                <w:sz w:val="17"/>
              </w:rPr>
              <w:t>Persona</w:t>
            </w:r>
          </w:p>
        </w:tc>
        <w:tc>
          <w:tcPr>
            <w:tcW w:type="dxa" w:w="4968"/>
            <w:vAlign w:val="center"/>
            <w:shd w:fill="143456"/>
          </w:tcPr>
          <w:p>
            <w:pPr>
              <w:spacing w:after="20"/>
            </w:pPr>
            <w:r/>
            <w:r>
              <w:rPr>
                <w:rFonts w:ascii="Aptos" w:hAnsi="Aptos"/>
                <w:b/>
                <w:color w:val="FFFFFF"/>
                <w:sz w:val="17"/>
              </w:rPr>
              <w:t>Need</w:t>
            </w:r>
          </w:p>
        </w:tc>
      </w:tr>
      <w:tr>
        <w:tc>
          <w:tcPr>
            <w:tcW w:type="dxa" w:w="4968"/>
            <w:vAlign w:val="center"/>
          </w:tcPr>
          <w:p>
            <w:pPr>
              <w:spacing w:after="20"/>
            </w:pPr>
            <w:r/>
            <w:r>
              <w:rPr>
                <w:rFonts w:ascii="Aptos" w:hAnsi="Aptos"/>
                <w:b w:val="0"/>
                <w:sz w:val="16"/>
              </w:rPr>
              <w:t>Platform / SRE operator</w:t>
            </w:r>
          </w:p>
        </w:tc>
        <w:tc>
          <w:tcPr>
            <w:tcW w:type="dxa" w:w="4968"/>
            <w:vAlign w:val="center"/>
          </w:tcPr>
          <w:p>
            <w:pPr>
              <w:spacing w:after="20"/>
            </w:pPr>
            <w:r/>
            <w:r>
              <w:rPr>
                <w:rFonts w:ascii="Aptos" w:hAnsi="Aptos"/>
                <w:b w:val="0"/>
                <w:sz w:val="16"/>
              </w:rPr>
              <w:t>Know when exporter, scrape, or feed health is degraded and diagnose it quickly.</w:t>
            </w:r>
          </w:p>
        </w:tc>
      </w:tr>
      <w:tr>
        <w:tc>
          <w:tcPr>
            <w:tcW w:type="dxa" w:w="4968"/>
            <w:vAlign w:val="center"/>
          </w:tcPr>
          <w:p>
            <w:pPr>
              <w:spacing w:after="20"/>
            </w:pPr>
            <w:r/>
            <w:r>
              <w:rPr>
                <w:rFonts w:ascii="Aptos" w:hAnsi="Aptos"/>
                <w:b w:val="0"/>
                <w:sz w:val="16"/>
              </w:rPr>
              <w:t>Market-data engineer</w:t>
            </w:r>
          </w:p>
        </w:tc>
        <w:tc>
          <w:tcPr>
            <w:tcW w:type="dxa" w:w="4968"/>
            <w:vAlign w:val="center"/>
          </w:tcPr>
          <w:p>
            <w:pPr>
              <w:spacing w:after="20"/>
            </w:pPr>
            <w:r/>
            <w:r>
              <w:rPr>
                <w:rFonts w:ascii="Aptos" w:hAnsi="Aptos"/>
                <w:b w:val="0"/>
                <w:sz w:val="16"/>
              </w:rPr>
              <w:t>Verify freshness, completeness, quote validity, metric semantics, and derived calculations.</w:t>
            </w:r>
          </w:p>
        </w:tc>
      </w:tr>
      <w:tr>
        <w:tc>
          <w:tcPr>
            <w:tcW w:type="dxa" w:w="4968"/>
            <w:vAlign w:val="center"/>
          </w:tcPr>
          <w:p>
            <w:pPr>
              <w:spacing w:after="20"/>
            </w:pPr>
            <w:r/>
            <w:r>
              <w:rPr>
                <w:rFonts w:ascii="Aptos" w:hAnsi="Aptos"/>
                <w:b w:val="0"/>
                <w:sz w:val="16"/>
              </w:rPr>
              <w:t>Stock Observability user</w:t>
            </w:r>
          </w:p>
        </w:tc>
        <w:tc>
          <w:tcPr>
            <w:tcW w:type="dxa" w:w="4968"/>
            <w:vAlign w:val="center"/>
          </w:tcPr>
          <w:p>
            <w:pPr>
              <w:spacing w:after="20"/>
            </w:pPr>
            <w:r/>
            <w:r>
              <w:rPr>
                <w:rFonts w:ascii="Aptos" w:hAnsi="Aptos"/>
                <w:b w:val="0"/>
                <w:sz w:val="16"/>
              </w:rPr>
              <w:t>See which symbol is affected, what condition occurred, and whether the alert is active or suppressed.</w:t>
            </w:r>
          </w:p>
        </w:tc>
      </w:tr>
      <w:tr>
        <w:tc>
          <w:tcPr>
            <w:tcW w:type="dxa" w:w="4968"/>
            <w:vAlign w:val="center"/>
          </w:tcPr>
          <w:p>
            <w:pPr>
              <w:spacing w:after="20"/>
            </w:pPr>
            <w:r/>
            <w:r>
              <w:rPr>
                <w:rFonts w:ascii="Aptos" w:hAnsi="Aptos"/>
                <w:b w:val="0"/>
                <w:sz w:val="16"/>
              </w:rPr>
              <w:t>Service owner / reviewer</w:t>
            </w:r>
          </w:p>
        </w:tc>
        <w:tc>
          <w:tcPr>
            <w:tcW w:type="dxa" w:w="4968"/>
            <w:vAlign w:val="center"/>
          </w:tcPr>
          <w:p>
            <w:pPr>
              <w:spacing w:after="20"/>
            </w:pPr>
            <w:r/>
            <w:r>
              <w:rPr>
                <w:rFonts w:ascii="Aptos" w:hAnsi="Aptos"/>
                <w:b w:val="0"/>
                <w:sz w:val="16"/>
              </w:rPr>
              <w:t>Approve changes using auditable rules, deterministic tests, and release gates.</w:t>
            </w:r>
          </w:p>
        </w:tc>
      </w:tr>
    </w:tbl>
    <w:p>
      <w:pPr>
        <w:spacing w:after="20"/>
      </w:pPr>
    </w:p>
    <w:p>
      <w:pPr>
        <w:pStyle w:val="Heading1"/>
      </w:pPr>
      <w:r>
        <w:t>5. Scope</w:t>
      </w:r>
    </w:p>
    <w:p>
      <w:pPr>
        <w:pStyle w:val="Heading2"/>
      </w:pPr>
      <w:r>
        <w:t>5.1 In scope</w:t>
      </w:r>
    </w:p>
    <w:p>
      <w:pPr>
        <w:pStyle w:val="ListBullet"/>
        <w:spacing w:after="40"/>
      </w:pPr>
      <w:r>
        <w:t>15 Prometheus alerts SO-101 through SO-115 and required recording/derived metrics.</w:t>
      </w:r>
    </w:p>
    <w:p>
      <w:pPr>
        <w:pStyle w:val="ListBullet"/>
        <w:spacing w:after="40"/>
      </w:pPr>
      <w:r>
        <w:t>Metric contract for raw and derived metrics, including label schema and units.</w:t>
      </w:r>
    </w:p>
    <w:p>
      <w:pPr>
        <w:pStyle w:val="ListBullet"/>
        <w:spacing w:after="40"/>
      </w:pPr>
      <w:r>
        <w:t>Alert labels, annotations, threshold defaults, evaluation/for durations, and clearance semantics.</w:t>
      </w:r>
    </w:p>
    <w:p>
      <w:pPr>
        <w:pStyle w:val="ListBullet"/>
        <w:spacing w:after="40"/>
      </w:pPr>
      <w:r>
        <w:t>Alertmanager routing, grouping, silence constraints, expiry, and resolved notification behavior.</w:t>
      </w:r>
    </w:p>
    <w:p>
      <w:pPr>
        <w:pStyle w:val="ListBullet"/>
        <w:spacing w:after="40"/>
      </w:pPr>
      <w:r>
        <w:t>Grafana presentation of alert state, affected symbol, observed value, and rule/runbook reference.</w:t>
      </w:r>
    </w:p>
    <w:p>
      <w:pPr>
        <w:pStyle w:val="ListBullet"/>
        <w:spacing w:after="40"/>
      </w:pPr>
      <w:r>
        <w:t>Unit, integration, and end-to-end tests, CI gates, and staging smoke testing.</w:t>
      </w:r>
    </w:p>
    <w:p>
      <w:pPr>
        <w:pStyle w:val="Heading2"/>
      </w:pPr>
      <w:r>
        <w:t>5.2 Out of scope</w:t>
      </w:r>
    </w:p>
    <w:p>
      <w:pPr>
        <w:pStyle w:val="ListBullet"/>
        <w:spacing w:after="40"/>
      </w:pPr>
      <w:r>
        <w:t>Trade execution, buy/sell recommendations, portfolio actions, or claims of predictive accuracy.</w:t>
      </w:r>
    </w:p>
    <w:p>
      <w:pPr>
        <w:pStyle w:val="ListBullet"/>
        <w:spacing w:after="40"/>
      </w:pPr>
      <w:r>
        <w:t>Guaranteeing market outcomes or defining universal financial thresholds.</w:t>
      </w:r>
    </w:p>
    <w:p>
      <w:pPr>
        <w:pStyle w:val="ListBullet"/>
        <w:spacing w:after="40"/>
      </w:pPr>
      <w:r>
        <w:t>Replacing authoritative exchange calendars, market-data provider contracts, or exporter validation.</w:t>
      </w:r>
    </w:p>
    <w:p>
      <w:pPr>
        <w:pStyle w:val="ListBullet"/>
        <w:spacing w:after="40"/>
      </w:pPr>
      <w:r>
        <w:t>Building a general-purpose alert authoring platform or broad incident-management product.</w:t>
      </w:r>
    </w:p>
    <w:p>
      <w:pPr>
        <w:pStyle w:val="Heading1"/>
      </w:pPr>
      <w:r>
        <w:t>6. Product requirements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shd w:fill="143456"/>
          </w:tcPr>
          <w:p>
            <w:pPr>
              <w:spacing w:after="20"/>
            </w:pPr>
            <w:r/>
            <w:r>
              <w:rPr>
                <w:rFonts w:ascii="Aptos" w:hAnsi="Aptos"/>
                <w:b/>
                <w:color w:val="FFFFFF"/>
                <w:sz w:val="17"/>
              </w:rPr>
              <w:t>ID</w:t>
            </w:r>
          </w:p>
        </w:tc>
        <w:tc>
          <w:tcPr>
            <w:tcW w:type="dxa" w:w="2484"/>
            <w:vAlign w:val="center"/>
            <w:shd w:fill="143456"/>
          </w:tcPr>
          <w:p>
            <w:pPr>
              <w:spacing w:after="20"/>
            </w:pPr>
            <w:r/>
            <w:r>
              <w:rPr>
                <w:rFonts w:ascii="Aptos" w:hAnsi="Aptos"/>
                <w:b/>
                <w:color w:val="FFFFFF"/>
                <w:sz w:val="17"/>
              </w:rPr>
              <w:t>Requirement</w:t>
            </w:r>
          </w:p>
        </w:tc>
        <w:tc>
          <w:tcPr>
            <w:tcW w:type="dxa" w:w="2484"/>
            <w:vAlign w:val="center"/>
            <w:shd w:fill="143456"/>
          </w:tcPr>
          <w:p>
            <w:pPr>
              <w:spacing w:after="20"/>
            </w:pPr>
            <w:r/>
            <w:r>
              <w:rPr>
                <w:rFonts w:ascii="Aptos" w:hAnsi="Aptos"/>
                <w:b/>
                <w:color w:val="FFFFFF"/>
                <w:sz w:val="17"/>
              </w:rPr>
              <w:t>Acceptance summary</w:t>
            </w:r>
          </w:p>
        </w:tc>
        <w:tc>
          <w:tcPr>
            <w:tcW w:type="dxa" w:w="2484"/>
            <w:vAlign w:val="center"/>
            <w:shd w:fill="143456"/>
          </w:tcPr>
          <w:p>
            <w:pPr>
              <w:spacing w:after="20"/>
            </w:pPr>
            <w:r/>
            <w:r>
              <w:rPr>
                <w:rFonts w:ascii="Aptos" w:hAnsi="Aptos"/>
                <w:b/>
                <w:color w:val="FFFFFF"/>
                <w:sz w:val="17"/>
              </w:rPr>
              <w:t>Priority</w:t>
            </w:r>
          </w:p>
        </w:tc>
      </w:tr>
      <w:tr>
        <w:tc>
          <w:tcPr>
            <w:tcW w:type="dxa" w:w="2484"/>
            <w:vAlign w:val="center"/>
          </w:tcPr>
          <w:p>
            <w:pPr>
              <w:spacing w:after="20"/>
            </w:pPr>
            <w:r/>
            <w:r>
              <w:rPr>
                <w:rFonts w:ascii="Aptos" w:hAnsi="Aptos"/>
                <w:b w:val="0"/>
                <w:sz w:val="16"/>
              </w:rPr>
              <w:t>PR-01</w:t>
            </w:r>
          </w:p>
        </w:tc>
        <w:tc>
          <w:tcPr>
            <w:tcW w:type="dxa" w:w="2484"/>
            <w:vAlign w:val="center"/>
          </w:tcPr>
          <w:p>
            <w:pPr>
              <w:spacing w:after="20"/>
            </w:pPr>
            <w:r/>
            <w:r>
              <w:rPr>
                <w:rFonts w:ascii="Aptos" w:hAnsi="Aptos"/>
                <w:b w:val="0"/>
                <w:sz w:val="16"/>
              </w:rPr>
              <w:t>Metric contract</w:t>
            </w:r>
          </w:p>
        </w:tc>
        <w:tc>
          <w:tcPr>
            <w:tcW w:type="dxa" w:w="2484"/>
            <w:vAlign w:val="center"/>
          </w:tcPr>
          <w:p>
            <w:pPr>
              <w:spacing w:after="20"/>
            </w:pPr>
            <w:r/>
            <w:r>
              <w:rPr>
                <w:rFonts w:ascii="Aptos" w:hAnsi="Aptos"/>
                <w:b w:val="0"/>
                <w:sz w:val="16"/>
              </w:rPr>
              <w:t>Document and verify every raw and derived metric used by a rule, including type, labels, units, freshness, reset/session semantics, and missing-data behavior.</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PR-02</w:t>
            </w:r>
          </w:p>
        </w:tc>
        <w:tc>
          <w:tcPr>
            <w:tcW w:type="dxa" w:w="2484"/>
            <w:vAlign w:val="center"/>
          </w:tcPr>
          <w:p>
            <w:pPr>
              <w:spacing w:after="20"/>
            </w:pPr>
            <w:r/>
            <w:r>
              <w:rPr>
                <w:rFonts w:ascii="Aptos" w:hAnsi="Aptos"/>
                <w:b w:val="0"/>
                <w:sz w:val="16"/>
              </w:rPr>
              <w:t>Exporter health</w:t>
            </w:r>
          </w:p>
        </w:tc>
        <w:tc>
          <w:tcPr>
            <w:tcW w:type="dxa" w:w="2484"/>
            <w:vAlign w:val="center"/>
          </w:tcPr>
          <w:p>
            <w:pPr>
              <w:spacing w:after="20"/>
            </w:pPr>
            <w:r/>
            <w:r>
              <w:rPr>
                <w:rFonts w:ascii="Aptos" w:hAnsi="Aptos"/>
                <w:b w:val="0"/>
                <w:sz w:val="16"/>
              </w:rPr>
              <w:t>Expose reliable connection and scrape/collection health signals so feed and collector failures can be distinguished.</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PR-03</w:t>
            </w:r>
          </w:p>
        </w:tc>
        <w:tc>
          <w:tcPr>
            <w:tcW w:type="dxa" w:w="2484"/>
            <w:vAlign w:val="center"/>
          </w:tcPr>
          <w:p>
            <w:pPr>
              <w:spacing w:after="20"/>
            </w:pPr>
            <w:r/>
            <w:r>
              <w:rPr>
                <w:rFonts w:ascii="Aptos" w:hAnsi="Aptos"/>
                <w:b w:val="0"/>
                <w:sz w:val="16"/>
              </w:rPr>
              <w:t>Data freshness</w:t>
            </w:r>
          </w:p>
        </w:tc>
        <w:tc>
          <w:tcPr>
            <w:tcW w:type="dxa" w:w="2484"/>
            <w:vAlign w:val="center"/>
          </w:tcPr>
          <w:p>
            <w:pPr>
              <w:spacing w:after="20"/>
            </w:pPr>
            <w:r/>
            <w:r>
              <w:rPr>
                <w:rFonts w:ascii="Aptos" w:hAnsi="Aptos"/>
                <w:b w:val="0"/>
                <w:sz w:val="16"/>
              </w:rPr>
              <w:t>Detect stale ticks only when the configured exchange/instrument session is expected to be active.</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PR-04</w:t>
            </w:r>
          </w:p>
        </w:tc>
        <w:tc>
          <w:tcPr>
            <w:tcW w:type="dxa" w:w="2484"/>
            <w:vAlign w:val="center"/>
          </w:tcPr>
          <w:p>
            <w:pPr>
              <w:spacing w:after="20"/>
            </w:pPr>
            <w:r/>
            <w:r>
              <w:rPr>
                <w:rFonts w:ascii="Aptos" w:hAnsi="Aptos"/>
                <w:b w:val="0"/>
                <w:sz w:val="16"/>
              </w:rPr>
              <w:t>Metric validity and completeness</w:t>
            </w:r>
          </w:p>
        </w:tc>
        <w:tc>
          <w:tcPr>
            <w:tcW w:type="dxa" w:w="2484"/>
            <w:vAlign w:val="center"/>
          </w:tcPr>
          <w:p>
            <w:pPr>
              <w:spacing w:after="20"/>
            </w:pPr>
            <w:r/>
            <w:r>
              <w:rPr>
                <w:rFonts w:ascii="Aptos" w:hAnsi="Aptos"/>
                <w:b w:val="0"/>
                <w:sz w:val="16"/>
              </w:rPr>
              <w:t>Detect absent or invalid required prices and compare observed symbols against an explicit expected-symbol inventory.</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PR-05</w:t>
            </w:r>
          </w:p>
        </w:tc>
        <w:tc>
          <w:tcPr>
            <w:tcW w:type="dxa" w:w="2484"/>
            <w:vAlign w:val="center"/>
          </w:tcPr>
          <w:p>
            <w:pPr>
              <w:spacing w:after="20"/>
            </w:pPr>
            <w:r/>
            <w:r>
              <w:rPr>
                <w:rFonts w:ascii="Aptos" w:hAnsi="Aptos"/>
                <w:b w:val="0"/>
                <w:sz w:val="16"/>
              </w:rPr>
              <w:t>Market condition alerts</w:t>
            </w:r>
          </w:p>
        </w:tc>
        <w:tc>
          <w:tcPr>
            <w:tcW w:type="dxa" w:w="2484"/>
            <w:vAlign w:val="center"/>
          </w:tcPr>
          <w:p>
            <w:pPr>
              <w:spacing w:after="20"/>
            </w:pPr>
            <w:r/>
            <w:r>
              <w:rPr>
                <w:rFonts w:ascii="Aptos" w:hAnsi="Aptos"/>
                <w:b w:val="0"/>
                <w:sz w:val="16"/>
              </w:rPr>
              <w:t>Evaluate the 11 configured price, volume, liquidity, and risk conditions listed in the alert catalog.</w:t>
            </w:r>
          </w:p>
        </w:tc>
        <w:tc>
          <w:tcPr>
            <w:tcW w:type="dxa" w:w="2484"/>
            <w:vAlign w:val="center"/>
          </w:tcPr>
          <w:p>
            <w:pPr>
              <w:spacing w:after="20"/>
            </w:pPr>
            <w:r/>
            <w:r>
              <w:rPr>
                <w:rFonts w:ascii="Aptos" w:hAnsi="Aptos"/>
                <w:b w:val="0"/>
                <w:sz w:val="16"/>
              </w:rPr>
              <w:t>P1</w:t>
            </w:r>
          </w:p>
        </w:tc>
      </w:tr>
      <w:tr>
        <w:tc>
          <w:tcPr>
            <w:tcW w:type="dxa" w:w="2484"/>
            <w:vAlign w:val="center"/>
          </w:tcPr>
          <w:p>
            <w:pPr>
              <w:spacing w:after="20"/>
            </w:pPr>
            <w:r/>
            <w:r>
              <w:rPr>
                <w:rFonts w:ascii="Aptos" w:hAnsi="Aptos"/>
                <w:b w:val="0"/>
                <w:sz w:val="16"/>
              </w:rPr>
              <w:t>PR-06</w:t>
            </w:r>
          </w:p>
        </w:tc>
        <w:tc>
          <w:tcPr>
            <w:tcW w:type="dxa" w:w="2484"/>
            <w:vAlign w:val="center"/>
          </w:tcPr>
          <w:p>
            <w:pPr>
              <w:spacing w:after="20"/>
            </w:pPr>
            <w:r/>
            <w:r>
              <w:rPr>
                <w:rFonts w:ascii="Aptos" w:hAnsi="Aptos"/>
                <w:b w:val="0"/>
                <w:sz w:val="16"/>
              </w:rPr>
              <w:t>Stable alert identity</w:t>
            </w:r>
          </w:p>
        </w:tc>
        <w:tc>
          <w:tcPr>
            <w:tcW w:type="dxa" w:w="2484"/>
            <w:vAlign w:val="center"/>
          </w:tcPr>
          <w:p>
            <w:pPr>
              <w:spacing w:after="20"/>
            </w:pPr>
            <w:r/>
            <w:r>
              <w:rPr>
                <w:rFonts w:ascii="Aptos" w:hAnsi="Aptos"/>
                <w:b w:val="0"/>
                <w:sz w:val="16"/>
              </w:rPr>
              <w:t>Use bounded labels such as alertname, severity, category, exchange, symbol, and team; keep volatile values in annotations.</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PR-07</w:t>
            </w:r>
          </w:p>
        </w:tc>
        <w:tc>
          <w:tcPr>
            <w:tcW w:type="dxa" w:w="2484"/>
            <w:vAlign w:val="center"/>
          </w:tcPr>
          <w:p>
            <w:pPr>
              <w:spacing w:after="20"/>
            </w:pPr>
            <w:r/>
            <w:r>
              <w:rPr>
                <w:rFonts w:ascii="Aptos" w:hAnsi="Aptos"/>
                <w:b w:val="0"/>
                <w:sz w:val="16"/>
              </w:rPr>
              <w:t>Actionable context</w:t>
            </w:r>
          </w:p>
        </w:tc>
        <w:tc>
          <w:tcPr>
            <w:tcW w:type="dxa" w:w="2484"/>
            <w:vAlign w:val="center"/>
          </w:tcPr>
          <w:p>
            <w:pPr>
              <w:spacing w:after="20"/>
            </w:pPr>
            <w:r/>
            <w:r>
              <w:rPr>
                <w:rFonts w:ascii="Aptos" w:hAnsi="Aptos"/>
                <w:b w:val="0"/>
                <w:sz w:val="16"/>
              </w:rPr>
              <w:t>Each alert must provide a concise summary, description, observed value/threshold where applicable, and runbook reference.</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PR-08</w:t>
            </w:r>
          </w:p>
        </w:tc>
        <w:tc>
          <w:tcPr>
            <w:tcW w:type="dxa" w:w="2484"/>
            <w:vAlign w:val="center"/>
          </w:tcPr>
          <w:p>
            <w:pPr>
              <w:spacing w:after="20"/>
            </w:pPr>
            <w:r/>
            <w:r>
              <w:rPr>
                <w:rFonts w:ascii="Aptos" w:hAnsi="Aptos"/>
                <w:b w:val="0"/>
                <w:sz w:val="16"/>
              </w:rPr>
              <w:t>Explicit recovery</w:t>
            </w:r>
          </w:p>
        </w:tc>
        <w:tc>
          <w:tcPr>
            <w:tcW w:type="dxa" w:w="2484"/>
            <w:vAlign w:val="center"/>
          </w:tcPr>
          <w:p>
            <w:pPr>
              <w:spacing w:after="20"/>
            </w:pPr>
            <w:r/>
            <w:r>
              <w:rPr>
                <w:rFonts w:ascii="Aptos" w:hAnsi="Aptos"/>
                <w:b w:val="0"/>
                <w:sz w:val="16"/>
              </w:rPr>
              <w:t>Document and test a clearance predicate and recovery behavior for every alert; configure keep_firing_for intentionally if used.</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PR-09</w:t>
            </w:r>
          </w:p>
        </w:tc>
        <w:tc>
          <w:tcPr>
            <w:tcW w:type="dxa" w:w="2484"/>
            <w:vAlign w:val="center"/>
          </w:tcPr>
          <w:p>
            <w:pPr>
              <w:spacing w:after="20"/>
            </w:pPr>
            <w:r/>
            <w:r>
              <w:rPr>
                <w:rFonts w:ascii="Aptos" w:hAnsi="Aptos"/>
                <w:b w:val="0"/>
                <w:sz w:val="16"/>
              </w:rPr>
              <w:t>Silence semantics</w:t>
            </w:r>
          </w:p>
        </w:tc>
        <w:tc>
          <w:tcPr>
            <w:tcW w:type="dxa" w:w="2484"/>
            <w:vAlign w:val="center"/>
          </w:tcPr>
          <w:p>
            <w:pPr>
              <w:spacing w:after="20"/>
            </w:pPr>
            <w:r/>
            <w:r>
              <w:rPr>
                <w:rFonts w:ascii="Aptos" w:hAnsi="Aptos"/>
                <w:b w:val="0"/>
                <w:sz w:val="16"/>
              </w:rPr>
              <w:t>A silence suppresses notifications only and must not resolve or delete the underlying Prometheus alert.</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PR-10</w:t>
            </w:r>
          </w:p>
        </w:tc>
        <w:tc>
          <w:tcPr>
            <w:tcW w:type="dxa" w:w="2484"/>
            <w:vAlign w:val="center"/>
          </w:tcPr>
          <w:p>
            <w:pPr>
              <w:spacing w:after="20"/>
            </w:pPr>
            <w:r/>
            <w:r>
              <w:rPr>
                <w:rFonts w:ascii="Aptos" w:hAnsi="Aptos"/>
                <w:b w:val="0"/>
                <w:sz w:val="16"/>
              </w:rPr>
              <w:t>Missing-data safety</w:t>
            </w:r>
          </w:p>
        </w:tc>
        <w:tc>
          <w:tcPr>
            <w:tcW w:type="dxa" w:w="2484"/>
            <w:vAlign w:val="center"/>
          </w:tcPr>
          <w:p>
            <w:pPr>
              <w:spacing w:after="20"/>
            </w:pPr>
            <w:r/>
            <w:r>
              <w:rPr>
                <w:rFonts w:ascii="Aptos" w:hAnsi="Aptos"/>
                <w:b w:val="0"/>
                <w:sz w:val="16"/>
              </w:rPr>
              <w:t>Missing series or stale values must not silently imply healthy/recovered state; expose unknown/stale state where relevant.</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PR-11</w:t>
            </w:r>
          </w:p>
        </w:tc>
        <w:tc>
          <w:tcPr>
            <w:tcW w:type="dxa" w:w="2484"/>
            <w:vAlign w:val="center"/>
          </w:tcPr>
          <w:p>
            <w:pPr>
              <w:spacing w:after="20"/>
            </w:pPr>
            <w:r/>
            <w:r>
              <w:rPr>
                <w:rFonts w:ascii="Aptos" w:hAnsi="Aptos"/>
                <w:b w:val="0"/>
                <w:sz w:val="16"/>
              </w:rPr>
              <w:t>Session awareness</w:t>
            </w:r>
          </w:p>
        </w:tc>
        <w:tc>
          <w:tcPr>
            <w:tcW w:type="dxa" w:w="2484"/>
            <w:vAlign w:val="center"/>
          </w:tcPr>
          <w:p>
            <w:pPr>
              <w:spacing w:after="20"/>
            </w:pPr>
            <w:r/>
            <w:r>
              <w:rPr>
                <w:rFonts w:ascii="Aptos" w:hAnsi="Aptos"/>
                <w:b w:val="0"/>
                <w:sz w:val="16"/>
              </w:rPr>
              <w:t>Use a documented active-session signal/calendar for rules that depend on trading hours; avoid false alerts when markets are closed.</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PR-12</w:t>
            </w:r>
          </w:p>
        </w:tc>
        <w:tc>
          <w:tcPr>
            <w:tcW w:type="dxa" w:w="2484"/>
            <w:vAlign w:val="center"/>
          </w:tcPr>
          <w:p>
            <w:pPr>
              <w:spacing w:after="20"/>
            </w:pPr>
            <w:r/>
            <w:r>
              <w:rPr>
                <w:rFonts w:ascii="Aptos" w:hAnsi="Aptos"/>
                <w:b w:val="0"/>
                <w:sz w:val="16"/>
              </w:rPr>
              <w:t>Testability</w:t>
            </w:r>
          </w:p>
        </w:tc>
        <w:tc>
          <w:tcPr>
            <w:tcW w:type="dxa" w:w="2484"/>
            <w:vAlign w:val="center"/>
          </w:tcPr>
          <w:p>
            <w:pPr>
              <w:spacing w:after="20"/>
            </w:pPr>
            <w:r/>
            <w:r>
              <w:rPr>
                <w:rFonts w:ascii="Aptos" w:hAnsi="Aptos"/>
                <w:b w:val="0"/>
                <w:sz w:val="16"/>
              </w:rPr>
              <w:t>Provide deterministic promtool tests for trigger, non-trigger, boundaries, recovery, flapping, missing data, labels, and session behavior as applicable.</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PR-13</w:t>
            </w:r>
          </w:p>
        </w:tc>
        <w:tc>
          <w:tcPr>
            <w:tcW w:type="dxa" w:w="2484"/>
            <w:vAlign w:val="center"/>
          </w:tcPr>
          <w:p>
            <w:pPr>
              <w:spacing w:after="20"/>
            </w:pPr>
            <w:r/>
            <w:r>
              <w:rPr>
                <w:rFonts w:ascii="Aptos" w:hAnsi="Aptos"/>
                <w:b w:val="0"/>
                <w:sz w:val="16"/>
              </w:rPr>
              <w:t>Integration behavior</w:t>
            </w:r>
          </w:p>
        </w:tc>
        <w:tc>
          <w:tcPr>
            <w:tcW w:type="dxa" w:w="2484"/>
            <w:vAlign w:val="center"/>
          </w:tcPr>
          <w:p>
            <w:pPr>
              <w:spacing w:after="20"/>
            </w:pPr>
            <w:r/>
            <w:r>
              <w:rPr>
                <w:rFonts w:ascii="Aptos" w:hAnsi="Aptos"/>
                <w:b w:val="0"/>
                <w:sz w:val="16"/>
              </w:rPr>
              <w:t>Test Alertmanager grouping, routing, silence matching/expiry, receiver failure, and resolved notifications using a test receiver.</w:t>
            </w:r>
          </w:p>
        </w:tc>
        <w:tc>
          <w:tcPr>
            <w:tcW w:type="dxa" w:w="2484"/>
            <w:vAlign w:val="center"/>
          </w:tcPr>
          <w:p>
            <w:pPr>
              <w:spacing w:after="20"/>
            </w:pPr>
            <w:r/>
            <w:r>
              <w:rPr>
                <w:rFonts w:ascii="Aptos" w:hAnsi="Aptos"/>
                <w:b w:val="0"/>
                <w:sz w:val="16"/>
              </w:rPr>
              <w:t>P0</w:t>
            </w:r>
          </w:p>
        </w:tc>
      </w:tr>
      <w:tr>
        <w:tc>
          <w:tcPr>
            <w:tcW w:type="dxa" w:w="2484"/>
            <w:vAlign w:val="center"/>
          </w:tcPr>
          <w:p>
            <w:pPr>
              <w:spacing w:after="20"/>
            </w:pPr>
            <w:r/>
            <w:r>
              <w:rPr>
                <w:rFonts w:ascii="Aptos" w:hAnsi="Aptos"/>
                <w:b w:val="0"/>
                <w:sz w:val="16"/>
              </w:rPr>
              <w:t>PR-14</w:t>
            </w:r>
          </w:p>
        </w:tc>
        <w:tc>
          <w:tcPr>
            <w:tcW w:type="dxa" w:w="2484"/>
            <w:vAlign w:val="center"/>
          </w:tcPr>
          <w:p>
            <w:pPr>
              <w:spacing w:after="20"/>
            </w:pPr>
            <w:r/>
            <w:r>
              <w:rPr>
                <w:rFonts w:ascii="Aptos" w:hAnsi="Aptos"/>
                <w:b w:val="0"/>
                <w:sz w:val="16"/>
              </w:rPr>
              <w:t>Visualization</w:t>
            </w:r>
          </w:p>
        </w:tc>
        <w:tc>
          <w:tcPr>
            <w:tcW w:type="dxa" w:w="2484"/>
            <w:vAlign w:val="center"/>
          </w:tcPr>
          <w:p>
            <w:pPr>
              <w:spacing w:after="20"/>
            </w:pPr>
            <w:r/>
            <w:r>
              <w:rPr>
                <w:rFonts w:ascii="Aptos" w:hAnsi="Aptos"/>
                <w:b w:val="0"/>
                <w:sz w:val="16"/>
              </w:rPr>
              <w:t>Show active state and silence state separately, with symbol, observed value, lifecycle timestamps, and documentation.</w:t>
            </w:r>
          </w:p>
        </w:tc>
        <w:tc>
          <w:tcPr>
            <w:tcW w:type="dxa" w:w="2484"/>
            <w:vAlign w:val="center"/>
          </w:tcPr>
          <w:p>
            <w:pPr>
              <w:spacing w:after="20"/>
            </w:pPr>
            <w:r/>
            <w:r>
              <w:rPr>
                <w:rFonts w:ascii="Aptos" w:hAnsi="Aptos"/>
                <w:b w:val="0"/>
                <w:sz w:val="16"/>
              </w:rPr>
              <w:t>P1</w:t>
            </w:r>
          </w:p>
        </w:tc>
      </w:tr>
      <w:tr>
        <w:tc>
          <w:tcPr>
            <w:tcW w:type="dxa" w:w="2484"/>
            <w:vAlign w:val="center"/>
          </w:tcPr>
          <w:p>
            <w:pPr>
              <w:spacing w:after="20"/>
            </w:pPr>
            <w:r/>
            <w:r>
              <w:rPr>
                <w:rFonts w:ascii="Aptos" w:hAnsi="Aptos"/>
                <w:b w:val="0"/>
                <w:sz w:val="16"/>
              </w:rPr>
              <w:t>PR-15</w:t>
            </w:r>
          </w:p>
        </w:tc>
        <w:tc>
          <w:tcPr>
            <w:tcW w:type="dxa" w:w="2484"/>
            <w:vAlign w:val="center"/>
          </w:tcPr>
          <w:p>
            <w:pPr>
              <w:spacing w:after="20"/>
            </w:pPr>
            <w:r/>
            <w:r>
              <w:rPr>
                <w:rFonts w:ascii="Aptos" w:hAnsi="Aptos"/>
                <w:b w:val="0"/>
                <w:sz w:val="16"/>
              </w:rPr>
              <w:t>Release gate</w:t>
            </w:r>
          </w:p>
        </w:tc>
        <w:tc>
          <w:tcPr>
            <w:tcW w:type="dxa" w:w="2484"/>
            <w:vAlign w:val="center"/>
          </w:tcPr>
          <w:p>
            <w:pPr>
              <w:spacing w:after="20"/>
            </w:pPr>
            <w:r/>
            <w:r>
              <w:rPr>
                <w:rFonts w:ascii="Aptos" w:hAnsi="Aptos"/>
                <w:b w:val="0"/>
                <w:sz w:val="16"/>
              </w:rPr>
              <w:t>CI must reject invalid rules, failed tests, undocumented methodology, missing runbooks, and incorrect silence or recovery behavior.</w:t>
            </w:r>
          </w:p>
        </w:tc>
        <w:tc>
          <w:tcPr>
            <w:tcW w:type="dxa" w:w="2484"/>
            <w:vAlign w:val="center"/>
          </w:tcPr>
          <w:p>
            <w:pPr>
              <w:spacing w:after="20"/>
            </w:pPr>
            <w:r/>
            <w:r>
              <w:rPr>
                <w:rFonts w:ascii="Aptos" w:hAnsi="Aptos"/>
                <w:b w:val="0"/>
                <w:sz w:val="16"/>
              </w:rPr>
              <w:t>P0</w:t>
            </w:r>
          </w:p>
        </w:tc>
      </w:tr>
    </w:tbl>
    <w:p>
      <w:pPr>
        <w:spacing w:after="20"/>
      </w:pPr>
    </w:p>
    <w:p>
      <w:pPr>
        <w:pStyle w:val="Heading1"/>
      </w:pPr>
      <w:r>
        <w:t>7. Alert catalog</w:t>
      </w:r>
    </w:p>
    <w:p>
      <w:r>
        <w:t>The following catalog defines the alert families in the supplied package. Exact PromQL, threshold defaults, durations, and per-rule clearance predicates remain governed by the source rule specifications and must be reviewed against real metric behavior before rollout.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3456"/>
          </w:tcPr>
          <w:p>
            <w:pPr>
              <w:spacing w:after="20"/>
            </w:pPr>
            <w:r/>
            <w:r>
              <w:rPr>
                <w:rFonts w:ascii="Aptos" w:hAnsi="Aptos"/>
                <w:b/>
                <w:color w:val="FFFFFF"/>
                <w:sz w:val="17"/>
              </w:rPr>
              <w:t>ID</w:t>
            </w:r>
          </w:p>
        </w:tc>
        <w:tc>
          <w:tcPr>
            <w:tcW w:type="dxa" w:w="3312"/>
            <w:vAlign w:val="center"/>
            <w:shd w:fill="143456"/>
          </w:tcPr>
          <w:p>
            <w:pPr>
              <w:spacing w:after="20"/>
            </w:pPr>
            <w:r/>
            <w:r>
              <w:rPr>
                <w:rFonts w:ascii="Aptos" w:hAnsi="Aptos"/>
                <w:b/>
                <w:color w:val="FFFFFF"/>
                <w:sz w:val="17"/>
              </w:rPr>
              <w:t>Alert</w:t>
            </w:r>
          </w:p>
        </w:tc>
        <w:tc>
          <w:tcPr>
            <w:tcW w:type="dxa" w:w="3312"/>
            <w:vAlign w:val="center"/>
            <w:shd w:fill="143456"/>
          </w:tcPr>
          <w:p>
            <w:pPr>
              <w:spacing w:after="20"/>
            </w:pPr>
            <w:r/>
            <w:r>
              <w:rPr>
                <w:rFonts w:ascii="Aptos" w:hAnsi="Aptos"/>
                <w:b/>
                <w:color w:val="FFFFFF"/>
                <w:sz w:val="17"/>
              </w:rPr>
              <w:t>Category / expected outcome</w:t>
            </w:r>
          </w:p>
        </w:tc>
      </w:tr>
      <w:tr>
        <w:tc>
          <w:tcPr>
            <w:tcW w:type="dxa" w:w="3312"/>
            <w:vAlign w:val="center"/>
          </w:tcPr>
          <w:p>
            <w:pPr>
              <w:spacing w:after="20"/>
            </w:pPr>
            <w:r/>
            <w:r>
              <w:rPr>
                <w:rFonts w:ascii="Aptos" w:hAnsi="Aptos"/>
                <w:b w:val="0"/>
                <w:sz w:val="16"/>
              </w:rPr>
              <w:t>SO-101</w:t>
            </w:r>
          </w:p>
        </w:tc>
        <w:tc>
          <w:tcPr>
            <w:tcW w:type="dxa" w:w="3312"/>
            <w:vAlign w:val="center"/>
          </w:tcPr>
          <w:p>
            <w:pPr>
              <w:spacing w:after="20"/>
            </w:pPr>
            <w:r/>
            <w:r>
              <w:rPr>
                <w:rFonts w:ascii="Aptos" w:hAnsi="Aptos"/>
                <w:b w:val="0"/>
                <w:sz w:val="16"/>
              </w:rPr>
              <w:t>Stock exporter WebSocket disconnected</w:t>
            </w:r>
          </w:p>
        </w:tc>
        <w:tc>
          <w:tcPr>
            <w:tcW w:type="dxa" w:w="3312"/>
            <w:vAlign w:val="center"/>
          </w:tcPr>
          <w:p>
            <w:pPr>
              <w:spacing w:after="20"/>
            </w:pPr>
            <w:r/>
            <w:r>
              <w:rPr>
                <w:rFonts w:ascii="Aptos" w:hAnsi="Aptos"/>
                <w:b w:val="0"/>
                <w:sz w:val="16"/>
              </w:rPr>
              <w:t>Data quality / feed connectivity</w:t>
            </w:r>
          </w:p>
        </w:tc>
      </w:tr>
      <w:tr>
        <w:tc>
          <w:tcPr>
            <w:tcW w:type="dxa" w:w="3312"/>
            <w:vAlign w:val="center"/>
          </w:tcPr>
          <w:p>
            <w:pPr>
              <w:spacing w:after="20"/>
            </w:pPr>
            <w:r/>
            <w:r>
              <w:rPr>
                <w:rFonts w:ascii="Aptos" w:hAnsi="Aptos"/>
                <w:b w:val="0"/>
                <w:sz w:val="16"/>
              </w:rPr>
              <w:t>SO-102</w:t>
            </w:r>
          </w:p>
        </w:tc>
        <w:tc>
          <w:tcPr>
            <w:tcW w:type="dxa" w:w="3312"/>
            <w:vAlign w:val="center"/>
          </w:tcPr>
          <w:p>
            <w:pPr>
              <w:spacing w:after="20"/>
            </w:pPr>
            <w:r/>
            <w:r>
              <w:rPr>
                <w:rFonts w:ascii="Aptos" w:hAnsi="Aptos"/>
                <w:b w:val="0"/>
                <w:sz w:val="16"/>
              </w:rPr>
              <w:t>Stock tick data stale</w:t>
            </w:r>
          </w:p>
        </w:tc>
        <w:tc>
          <w:tcPr>
            <w:tcW w:type="dxa" w:w="3312"/>
            <w:vAlign w:val="center"/>
          </w:tcPr>
          <w:p>
            <w:pPr>
              <w:spacing w:after="20"/>
            </w:pPr>
            <w:r/>
            <w:r>
              <w:rPr>
                <w:rFonts w:ascii="Aptos" w:hAnsi="Aptos"/>
                <w:b w:val="0"/>
                <w:sz w:val="16"/>
              </w:rPr>
              <w:t>Data quality / freshness; session-aware</w:t>
            </w:r>
          </w:p>
        </w:tc>
      </w:tr>
      <w:tr>
        <w:tc>
          <w:tcPr>
            <w:tcW w:type="dxa" w:w="3312"/>
            <w:vAlign w:val="center"/>
          </w:tcPr>
          <w:p>
            <w:pPr>
              <w:spacing w:after="20"/>
            </w:pPr>
            <w:r/>
            <w:r>
              <w:rPr>
                <w:rFonts w:ascii="Aptos" w:hAnsi="Aptos"/>
                <w:b w:val="0"/>
                <w:sz w:val="16"/>
              </w:rPr>
              <w:t>SO-103</w:t>
            </w:r>
          </w:p>
        </w:tc>
        <w:tc>
          <w:tcPr>
            <w:tcW w:type="dxa" w:w="3312"/>
            <w:vAlign w:val="center"/>
          </w:tcPr>
          <w:p>
            <w:pPr>
              <w:spacing w:after="20"/>
            </w:pPr>
            <w:r/>
            <w:r>
              <w:rPr>
                <w:rFonts w:ascii="Aptos" w:hAnsi="Aptos"/>
                <w:b w:val="0"/>
                <w:sz w:val="16"/>
              </w:rPr>
              <w:t>Required price metric missing or invalid</w:t>
            </w:r>
          </w:p>
        </w:tc>
        <w:tc>
          <w:tcPr>
            <w:tcW w:type="dxa" w:w="3312"/>
            <w:vAlign w:val="center"/>
          </w:tcPr>
          <w:p>
            <w:pPr>
              <w:spacing w:after="20"/>
            </w:pPr>
            <w:r/>
            <w:r>
              <w:rPr>
                <w:rFonts w:ascii="Aptos" w:hAnsi="Aptos"/>
                <w:b w:val="0"/>
                <w:sz w:val="16"/>
              </w:rPr>
              <w:t>Data quality / metric validity and completeness</w:t>
            </w:r>
          </w:p>
        </w:tc>
      </w:tr>
      <w:tr>
        <w:tc>
          <w:tcPr>
            <w:tcW w:type="dxa" w:w="3312"/>
            <w:vAlign w:val="center"/>
          </w:tcPr>
          <w:p>
            <w:pPr>
              <w:spacing w:after="20"/>
            </w:pPr>
            <w:r/>
            <w:r>
              <w:rPr>
                <w:rFonts w:ascii="Aptos" w:hAnsi="Aptos"/>
                <w:b w:val="0"/>
                <w:sz w:val="16"/>
              </w:rPr>
              <w:t>SO-104</w:t>
            </w:r>
          </w:p>
        </w:tc>
        <w:tc>
          <w:tcPr>
            <w:tcW w:type="dxa" w:w="3312"/>
            <w:vAlign w:val="center"/>
          </w:tcPr>
          <w:p>
            <w:pPr>
              <w:spacing w:after="20"/>
            </w:pPr>
            <w:r/>
            <w:r>
              <w:rPr>
                <w:rFonts w:ascii="Aptos" w:hAnsi="Aptos"/>
                <w:b w:val="0"/>
                <w:sz w:val="16"/>
              </w:rPr>
              <w:t>Exporter scrape or collection failing</w:t>
            </w:r>
          </w:p>
        </w:tc>
        <w:tc>
          <w:tcPr>
            <w:tcW w:type="dxa" w:w="3312"/>
            <w:vAlign w:val="center"/>
          </w:tcPr>
          <w:p>
            <w:pPr>
              <w:spacing w:after="20"/>
            </w:pPr>
            <w:r/>
            <w:r>
              <w:rPr>
                <w:rFonts w:ascii="Aptos" w:hAnsi="Aptos"/>
                <w:b w:val="0"/>
                <w:sz w:val="16"/>
              </w:rPr>
              <w:t>Data quality / collection health</w:t>
            </w:r>
          </w:p>
        </w:tc>
      </w:tr>
      <w:tr>
        <w:tc>
          <w:tcPr>
            <w:tcW w:type="dxa" w:w="3312"/>
            <w:vAlign w:val="center"/>
          </w:tcPr>
          <w:p>
            <w:pPr>
              <w:spacing w:after="20"/>
            </w:pPr>
            <w:r/>
            <w:r>
              <w:rPr>
                <w:rFonts w:ascii="Aptos" w:hAnsi="Aptos"/>
                <w:b w:val="0"/>
                <w:sz w:val="16"/>
              </w:rPr>
              <w:t>SO-105</w:t>
            </w:r>
          </w:p>
        </w:tc>
        <w:tc>
          <w:tcPr>
            <w:tcW w:type="dxa" w:w="3312"/>
            <w:vAlign w:val="center"/>
          </w:tcPr>
          <w:p>
            <w:pPr>
              <w:spacing w:after="20"/>
            </w:pPr>
            <w:r/>
            <w:r>
              <w:rPr>
                <w:rFonts w:ascii="Aptos" w:hAnsi="Aptos"/>
                <w:b w:val="0"/>
                <w:sz w:val="16"/>
              </w:rPr>
              <w:t>Significant five-minute price movement</w:t>
            </w:r>
          </w:p>
        </w:tc>
        <w:tc>
          <w:tcPr>
            <w:tcW w:type="dxa" w:w="3312"/>
            <w:vAlign w:val="center"/>
          </w:tcPr>
          <w:p>
            <w:pPr>
              <w:spacing w:after="20"/>
            </w:pPr>
            <w:r/>
            <w:r>
              <w:rPr>
                <w:rFonts w:ascii="Aptos" w:hAnsi="Aptos"/>
                <w:b w:val="0"/>
                <w:sz w:val="16"/>
              </w:rPr>
              <w:t>Market movement / configured return threshold</w:t>
            </w:r>
          </w:p>
        </w:tc>
      </w:tr>
      <w:tr>
        <w:tc>
          <w:tcPr>
            <w:tcW w:type="dxa" w:w="3312"/>
            <w:vAlign w:val="center"/>
          </w:tcPr>
          <w:p>
            <w:pPr>
              <w:spacing w:after="20"/>
            </w:pPr>
            <w:r/>
            <w:r>
              <w:rPr>
                <w:rFonts w:ascii="Aptos" w:hAnsi="Aptos"/>
                <w:b w:val="0"/>
                <w:sz w:val="16"/>
              </w:rPr>
              <w:t>SO-106</w:t>
            </w:r>
          </w:p>
        </w:tc>
        <w:tc>
          <w:tcPr>
            <w:tcW w:type="dxa" w:w="3312"/>
            <w:vAlign w:val="center"/>
          </w:tcPr>
          <w:p>
            <w:pPr>
              <w:spacing w:after="20"/>
            </w:pPr>
            <w:r/>
            <w:r>
              <w:rPr>
                <w:rFonts w:ascii="Aptos" w:hAnsi="Aptos"/>
                <w:b w:val="0"/>
                <w:sz w:val="16"/>
              </w:rPr>
              <w:t>Price approaching upper circuit limit</w:t>
            </w:r>
          </w:p>
        </w:tc>
        <w:tc>
          <w:tcPr>
            <w:tcW w:type="dxa" w:w="3312"/>
            <w:vAlign w:val="center"/>
          </w:tcPr>
          <w:p>
            <w:pPr>
              <w:spacing w:after="20"/>
            </w:pPr>
            <w:r/>
            <w:r>
              <w:rPr>
                <w:rFonts w:ascii="Aptos" w:hAnsi="Aptos"/>
                <w:b w:val="0"/>
                <w:sz w:val="16"/>
              </w:rPr>
              <w:t>Market movement / valid upper circuit only</w:t>
            </w:r>
          </w:p>
        </w:tc>
      </w:tr>
      <w:tr>
        <w:tc>
          <w:tcPr>
            <w:tcW w:type="dxa" w:w="3312"/>
            <w:vAlign w:val="center"/>
          </w:tcPr>
          <w:p>
            <w:pPr>
              <w:spacing w:after="20"/>
            </w:pPr>
            <w:r/>
            <w:r>
              <w:rPr>
                <w:rFonts w:ascii="Aptos" w:hAnsi="Aptos"/>
                <w:b w:val="0"/>
                <w:sz w:val="16"/>
              </w:rPr>
              <w:t>SO-107</w:t>
            </w:r>
          </w:p>
        </w:tc>
        <w:tc>
          <w:tcPr>
            <w:tcW w:type="dxa" w:w="3312"/>
            <w:vAlign w:val="center"/>
          </w:tcPr>
          <w:p>
            <w:pPr>
              <w:spacing w:after="20"/>
            </w:pPr>
            <w:r/>
            <w:r>
              <w:rPr>
                <w:rFonts w:ascii="Aptos" w:hAnsi="Aptos"/>
                <w:b w:val="0"/>
                <w:sz w:val="16"/>
              </w:rPr>
              <w:t>Price approaching lower circuit limit</w:t>
            </w:r>
          </w:p>
        </w:tc>
        <w:tc>
          <w:tcPr>
            <w:tcW w:type="dxa" w:w="3312"/>
            <w:vAlign w:val="center"/>
          </w:tcPr>
          <w:p>
            <w:pPr>
              <w:spacing w:after="20"/>
            </w:pPr>
            <w:r/>
            <w:r>
              <w:rPr>
                <w:rFonts w:ascii="Aptos" w:hAnsi="Aptos"/>
                <w:b w:val="0"/>
                <w:sz w:val="16"/>
              </w:rPr>
              <w:t>Market movement / valid lower circuit only</w:t>
            </w:r>
          </w:p>
        </w:tc>
      </w:tr>
      <w:tr>
        <w:tc>
          <w:tcPr>
            <w:tcW w:type="dxa" w:w="3312"/>
            <w:vAlign w:val="center"/>
          </w:tcPr>
          <w:p>
            <w:pPr>
              <w:spacing w:after="20"/>
            </w:pPr>
            <w:r/>
            <w:r>
              <w:rPr>
                <w:rFonts w:ascii="Aptos" w:hAnsi="Aptos"/>
                <w:b w:val="0"/>
                <w:sz w:val="16"/>
              </w:rPr>
              <w:t>SO-108</w:t>
            </w:r>
          </w:p>
        </w:tc>
        <w:tc>
          <w:tcPr>
            <w:tcW w:type="dxa" w:w="3312"/>
            <w:vAlign w:val="center"/>
          </w:tcPr>
          <w:p>
            <w:pPr>
              <w:spacing w:after="20"/>
            </w:pPr>
            <w:r/>
            <w:r>
              <w:rPr>
                <w:rFonts w:ascii="Aptos" w:hAnsi="Aptos"/>
                <w:b w:val="0"/>
                <w:sz w:val="16"/>
              </w:rPr>
              <w:t>Price diverges from VWAP</w:t>
            </w:r>
          </w:p>
        </w:tc>
        <w:tc>
          <w:tcPr>
            <w:tcW w:type="dxa" w:w="3312"/>
            <w:vAlign w:val="center"/>
          </w:tcPr>
          <w:p>
            <w:pPr>
              <w:spacing w:after="20"/>
            </w:pPr>
            <w:r/>
            <w:r>
              <w:rPr>
                <w:rFonts w:ascii="Aptos" w:hAnsi="Aptos"/>
                <w:b w:val="0"/>
                <w:sz w:val="16"/>
              </w:rPr>
              <w:t>Market movement / session VWAP methodology required</w:t>
            </w:r>
          </w:p>
        </w:tc>
      </w:tr>
      <w:tr>
        <w:tc>
          <w:tcPr>
            <w:tcW w:type="dxa" w:w="3312"/>
            <w:vAlign w:val="center"/>
          </w:tcPr>
          <w:p>
            <w:pPr>
              <w:spacing w:after="20"/>
            </w:pPr>
            <w:r/>
            <w:r>
              <w:rPr>
                <w:rFonts w:ascii="Aptos" w:hAnsi="Aptos"/>
                <w:b w:val="0"/>
                <w:sz w:val="16"/>
              </w:rPr>
              <w:t>SO-109</w:t>
            </w:r>
          </w:p>
        </w:tc>
        <w:tc>
          <w:tcPr>
            <w:tcW w:type="dxa" w:w="3312"/>
            <w:vAlign w:val="center"/>
          </w:tcPr>
          <w:p>
            <w:pPr>
              <w:spacing w:after="20"/>
            </w:pPr>
            <w:r/>
            <w:r>
              <w:rPr>
                <w:rFonts w:ascii="Aptos" w:hAnsi="Aptos"/>
                <w:b w:val="0"/>
                <w:sz w:val="16"/>
              </w:rPr>
              <w:t>Opening gap from previous close</w:t>
            </w:r>
          </w:p>
        </w:tc>
        <w:tc>
          <w:tcPr>
            <w:tcW w:type="dxa" w:w="3312"/>
            <w:vAlign w:val="center"/>
          </w:tcPr>
          <w:p>
            <w:pPr>
              <w:spacing w:after="20"/>
            </w:pPr>
            <w:r/>
            <w:r>
              <w:rPr>
                <w:rFonts w:ascii="Aptos" w:hAnsi="Aptos"/>
                <w:b w:val="0"/>
                <w:sz w:val="16"/>
              </w:rPr>
              <w:t>Market movement / event-style window</w:t>
            </w:r>
          </w:p>
        </w:tc>
      </w:tr>
      <w:tr>
        <w:tc>
          <w:tcPr>
            <w:tcW w:type="dxa" w:w="3312"/>
            <w:vAlign w:val="center"/>
          </w:tcPr>
          <w:p>
            <w:pPr>
              <w:spacing w:after="20"/>
            </w:pPr>
            <w:r/>
            <w:r>
              <w:rPr>
                <w:rFonts w:ascii="Aptos" w:hAnsi="Aptos"/>
                <w:b w:val="0"/>
                <w:sz w:val="16"/>
              </w:rPr>
              <w:t>SO-110</w:t>
            </w:r>
          </w:p>
        </w:tc>
        <w:tc>
          <w:tcPr>
            <w:tcW w:type="dxa" w:w="3312"/>
            <w:vAlign w:val="center"/>
          </w:tcPr>
          <w:p>
            <w:pPr>
              <w:spacing w:after="20"/>
            </w:pPr>
            <w:r/>
            <w:r>
              <w:rPr>
                <w:rFonts w:ascii="Aptos" w:hAnsi="Aptos"/>
                <w:b w:val="0"/>
                <w:sz w:val="16"/>
              </w:rPr>
              <w:t>Unusual relative volume</w:t>
            </w:r>
          </w:p>
        </w:tc>
        <w:tc>
          <w:tcPr>
            <w:tcW w:type="dxa" w:w="3312"/>
            <w:vAlign w:val="center"/>
          </w:tcPr>
          <w:p>
            <w:pPr>
              <w:spacing w:after="20"/>
            </w:pPr>
            <w:r/>
            <w:r>
              <w:rPr>
                <w:rFonts w:ascii="Aptos" w:hAnsi="Aptos"/>
                <w:b w:val="0"/>
                <w:sz w:val="16"/>
              </w:rPr>
              <w:t>Volume / comparable interval baseline required</w:t>
            </w:r>
          </w:p>
        </w:tc>
      </w:tr>
      <w:tr>
        <w:tc>
          <w:tcPr>
            <w:tcW w:type="dxa" w:w="3312"/>
            <w:vAlign w:val="center"/>
          </w:tcPr>
          <w:p>
            <w:pPr>
              <w:spacing w:after="20"/>
            </w:pPr>
            <w:r/>
            <w:r>
              <w:rPr>
                <w:rFonts w:ascii="Aptos" w:hAnsi="Aptos"/>
                <w:b w:val="0"/>
                <w:sz w:val="16"/>
              </w:rPr>
              <w:t>SO-111</w:t>
            </w:r>
          </w:p>
        </w:tc>
        <w:tc>
          <w:tcPr>
            <w:tcW w:type="dxa" w:w="3312"/>
            <w:vAlign w:val="center"/>
          </w:tcPr>
          <w:p>
            <w:pPr>
              <w:spacing w:after="20"/>
            </w:pPr>
            <w:r/>
            <w:r>
              <w:rPr>
                <w:rFonts w:ascii="Aptos" w:hAnsi="Aptos"/>
                <w:b w:val="0"/>
                <w:sz w:val="16"/>
              </w:rPr>
              <w:t>Abnormally wide bid-ask spread</w:t>
            </w:r>
          </w:p>
        </w:tc>
        <w:tc>
          <w:tcPr>
            <w:tcW w:type="dxa" w:w="3312"/>
            <w:vAlign w:val="center"/>
          </w:tcPr>
          <w:p>
            <w:pPr>
              <w:spacing w:after="20"/>
            </w:pPr>
            <w:r/>
            <w:r>
              <w:rPr>
                <w:rFonts w:ascii="Aptos" w:hAnsi="Aptos"/>
                <w:b w:val="0"/>
                <w:sz w:val="16"/>
              </w:rPr>
              <w:t>Liquidity / invalid or crossed quotes handled as data quality</w:t>
            </w:r>
          </w:p>
        </w:tc>
      </w:tr>
      <w:tr>
        <w:tc>
          <w:tcPr>
            <w:tcW w:type="dxa" w:w="3312"/>
            <w:vAlign w:val="center"/>
          </w:tcPr>
          <w:p>
            <w:pPr>
              <w:spacing w:after="20"/>
            </w:pPr>
            <w:r/>
            <w:r>
              <w:rPr>
                <w:rFonts w:ascii="Aptos" w:hAnsi="Aptos"/>
                <w:b w:val="0"/>
                <w:sz w:val="16"/>
              </w:rPr>
              <w:t>SO-112</w:t>
            </w:r>
          </w:p>
        </w:tc>
        <w:tc>
          <w:tcPr>
            <w:tcW w:type="dxa" w:w="3312"/>
            <w:vAlign w:val="center"/>
          </w:tcPr>
          <w:p>
            <w:pPr>
              <w:spacing w:after="20"/>
            </w:pPr>
            <w:r/>
            <w:r>
              <w:rPr>
                <w:rFonts w:ascii="Aptos" w:hAnsi="Aptos"/>
                <w:b w:val="0"/>
                <w:sz w:val="16"/>
              </w:rPr>
              <w:t>Order-book imbalance</w:t>
            </w:r>
          </w:p>
        </w:tc>
        <w:tc>
          <w:tcPr>
            <w:tcW w:type="dxa" w:w="3312"/>
            <w:vAlign w:val="center"/>
          </w:tcPr>
          <w:p>
            <w:pPr>
              <w:spacing w:after="20"/>
            </w:pPr>
            <w:r/>
            <w:r>
              <w:rPr>
                <w:rFonts w:ascii="Aptos" w:hAnsi="Aptos"/>
                <w:b w:val="0"/>
                <w:sz w:val="16"/>
              </w:rPr>
              <w:t>Liquidity / bid/ask quantity ratio or imbalance definition</w:t>
            </w:r>
          </w:p>
        </w:tc>
      </w:tr>
      <w:tr>
        <w:tc>
          <w:tcPr>
            <w:tcW w:type="dxa" w:w="3312"/>
            <w:vAlign w:val="center"/>
          </w:tcPr>
          <w:p>
            <w:pPr>
              <w:spacing w:after="20"/>
            </w:pPr>
            <w:r/>
            <w:r>
              <w:rPr>
                <w:rFonts w:ascii="Aptos" w:hAnsi="Aptos"/>
                <w:b w:val="0"/>
                <w:sz w:val="16"/>
              </w:rPr>
              <w:t>SO-113</w:t>
            </w:r>
          </w:p>
        </w:tc>
        <w:tc>
          <w:tcPr>
            <w:tcW w:type="dxa" w:w="3312"/>
            <w:vAlign w:val="center"/>
          </w:tcPr>
          <w:p>
            <w:pPr>
              <w:spacing w:after="20"/>
            </w:pPr>
            <w:r/>
            <w:r>
              <w:rPr>
                <w:rFonts w:ascii="Aptos" w:hAnsi="Aptos"/>
                <w:b w:val="0"/>
                <w:sz w:val="16"/>
              </w:rPr>
              <w:t>Sustained realized volatility elevated</w:t>
            </w:r>
          </w:p>
        </w:tc>
        <w:tc>
          <w:tcPr>
            <w:tcW w:type="dxa" w:w="3312"/>
            <w:vAlign w:val="center"/>
          </w:tcPr>
          <w:p>
            <w:pPr>
              <w:spacing w:after="20"/>
            </w:pPr>
            <w:r/>
            <w:r>
              <w:rPr>
                <w:rFonts w:ascii="Aptos" w:hAnsi="Aptos"/>
                <w:b w:val="0"/>
                <w:sz w:val="16"/>
              </w:rPr>
              <w:t>Risk / methodology and units must be fixed</w:t>
            </w:r>
          </w:p>
        </w:tc>
      </w:tr>
      <w:tr>
        <w:tc>
          <w:tcPr>
            <w:tcW w:type="dxa" w:w="3312"/>
            <w:vAlign w:val="center"/>
          </w:tcPr>
          <w:p>
            <w:pPr>
              <w:spacing w:after="20"/>
            </w:pPr>
            <w:r/>
            <w:r>
              <w:rPr>
                <w:rFonts w:ascii="Aptos" w:hAnsi="Aptos"/>
                <w:b w:val="0"/>
                <w:sz w:val="16"/>
              </w:rPr>
              <w:t>SO-114</w:t>
            </w:r>
          </w:p>
        </w:tc>
        <w:tc>
          <w:tcPr>
            <w:tcW w:type="dxa" w:w="3312"/>
            <w:vAlign w:val="center"/>
          </w:tcPr>
          <w:p>
            <w:pPr>
              <w:spacing w:after="20"/>
            </w:pPr>
            <w:r/>
            <w:r>
              <w:rPr>
                <w:rFonts w:ascii="Aptos" w:hAnsi="Aptos"/>
                <w:b w:val="0"/>
                <w:sz w:val="16"/>
              </w:rPr>
              <w:t>Significant intraday drawdown</w:t>
            </w:r>
          </w:p>
        </w:tc>
        <w:tc>
          <w:tcPr>
            <w:tcW w:type="dxa" w:w="3312"/>
            <w:vAlign w:val="center"/>
          </w:tcPr>
          <w:p>
            <w:pPr>
              <w:spacing w:after="20"/>
            </w:pPr>
            <w:r/>
            <w:r>
              <w:rPr>
                <w:rFonts w:ascii="Aptos" w:hAnsi="Aptos"/>
                <w:b w:val="0"/>
                <w:sz w:val="16"/>
              </w:rPr>
              <w:t>Risk / intraday high resets at session start</w:t>
            </w:r>
          </w:p>
        </w:tc>
      </w:tr>
      <w:tr>
        <w:tc>
          <w:tcPr>
            <w:tcW w:type="dxa" w:w="3312"/>
            <w:vAlign w:val="center"/>
          </w:tcPr>
          <w:p>
            <w:pPr>
              <w:spacing w:after="20"/>
            </w:pPr>
            <w:r/>
            <w:r>
              <w:rPr>
                <w:rFonts w:ascii="Aptos" w:hAnsi="Aptos"/>
                <w:b w:val="0"/>
                <w:sz w:val="16"/>
              </w:rPr>
              <w:t>SO-115</w:t>
            </w:r>
          </w:p>
        </w:tc>
        <w:tc>
          <w:tcPr>
            <w:tcW w:type="dxa" w:w="3312"/>
            <w:vAlign w:val="center"/>
          </w:tcPr>
          <w:p>
            <w:pPr>
              <w:spacing w:after="20"/>
            </w:pPr>
            <w:r/>
            <w:r>
              <w:rPr>
                <w:rFonts w:ascii="Aptos" w:hAnsi="Aptos"/>
                <w:b w:val="0"/>
                <w:sz w:val="16"/>
              </w:rPr>
              <w:t>Price and volume surge together</w:t>
            </w:r>
          </w:p>
        </w:tc>
        <w:tc>
          <w:tcPr>
            <w:tcW w:type="dxa" w:w="3312"/>
            <w:vAlign w:val="center"/>
          </w:tcPr>
          <w:p>
            <w:pPr>
              <w:spacing w:after="20"/>
            </w:pPr>
            <w:r/>
            <w:r>
              <w:rPr>
                <w:rFonts w:ascii="Aptos" w:hAnsi="Aptos"/>
                <w:b w:val="0"/>
                <w:sz w:val="16"/>
              </w:rPr>
              <w:t>Combined movement and volume / label-matched joins</w:t>
            </w:r>
          </w:p>
        </w:tc>
      </w:tr>
    </w:tbl>
    <w:p>
      <w:pPr>
        <w:spacing w:after="20"/>
      </w:pPr>
    </w:p>
    <w:p>
      <w:pPr>
        <w:pStyle w:val="Heading1"/>
      </w:pPr>
      <w:r>
        <w:t>8. Metric and data requirements</w:t>
      </w:r>
    </w:p>
    <w:p>
      <w:r>
        <w:t>Proposed raw metric contract (verify names and semantics against exporter output):</w:t>
      </w:r>
    </w:p>
    <w:p>
      <w:pPr>
        <w:pStyle w:val="ListBullet"/>
        <w:spacing w:after="40"/>
      </w:pPr>
      <w:r>
        <w:t>`nse_stock_ltp`: latest traded price; positive for a valid quote.</w:t>
      </w:r>
    </w:p>
    <w:p>
      <w:pPr>
        <w:pStyle w:val="ListBullet"/>
        <w:spacing w:after="40"/>
      </w:pPr>
      <w:r>
        <w:t>`nse_stock_volume_total`: cumulative or provider-defined volume; reset/session semantics must be confirmed.</w:t>
      </w:r>
    </w:p>
    <w:p>
      <w:pPr>
        <w:pStyle w:val="ListBullet"/>
        <w:spacing w:after="40"/>
      </w:pPr>
      <w:r>
        <w:t>`nse_stock_close` and `nse_stock_open`: previous close and current session open.</w:t>
      </w:r>
    </w:p>
    <w:p>
      <w:pPr>
        <w:pStyle w:val="ListBullet"/>
        <w:spacing w:after="40"/>
      </w:pPr>
      <w:r>
        <w:t>`nse_stock_last_tick_timestamp`: Unix timestamp in seconds for the last valid tick.</w:t>
      </w:r>
    </w:p>
    <w:p>
      <w:pPr>
        <w:pStyle w:val="ListBullet"/>
        <w:spacing w:after="40"/>
      </w:pPr>
      <w:r>
        <w:t>`stock_exporter_websocket_connected` and `stock_exporter_scrape_success`: health gauges with 1/0 semantics.</w:t>
      </w:r>
    </w:p>
    <w:p>
      <w:pPr>
        <w:pStyle w:val="ListBullet"/>
        <w:spacing w:after="40"/>
      </w:pPr>
      <w:r>
        <w:t>`nse_stock_upper_circuit` and `nse_stock_lower_circuit`: current valid limits when available.</w:t>
      </w:r>
    </w:p>
    <w:p>
      <w:pPr>
        <w:pStyle w:val="ListBullet"/>
        <w:spacing w:after="40"/>
      </w:pPr>
      <w:r>
        <w:t>`nse_stock_bid_price`, `nse_stock_ask_price`, `nse_stock_bid_quantity`, `nse_stock_ask_quantity`: quote and displayed depth inputs.</w:t>
      </w:r>
    </w:p>
    <w:p>
      <w:pPr>
        <w:pStyle w:val="ListBullet"/>
        <w:spacing w:after="40"/>
      </w:pPr>
      <w:r>
        <w:t>`stock_expected_symbol_info`: inventory of instruments expected to be monitored.</w:t>
      </w:r>
    </w:p>
    <w:p>
      <w:r>
        <w:t>Derived metrics required by the alert set:</w:t>
      </w:r>
    </w:p>
    <w:p>
      <w:pPr>
        <w:pStyle w:val="ListBullet"/>
        <w:spacing w:after="40"/>
      </w:pPr>
      <w:r>
        <w:t>`stock_return_5m`: fractional return with documented sampling and session-boundary handling.</w:t>
      </w:r>
    </w:p>
    <w:p>
      <w:pPr>
        <w:pStyle w:val="ListBullet"/>
        <w:spacing w:after="40"/>
      </w:pPr>
      <w:r>
        <w:t>`stock_relative_volume`: current interval volume divided by a comparable, preferably time-of-day-matched baseline.</w:t>
      </w:r>
    </w:p>
    <w:p>
      <w:pPr>
        <w:pStyle w:val="ListBullet"/>
        <w:spacing w:after="40"/>
      </w:pPr>
      <w:r>
        <w:t>`stock_vwap`: session VWAP with explicit reset and missing-trade policy.</w:t>
      </w:r>
    </w:p>
    <w:p>
      <w:pPr>
        <w:pStyle w:val="ListBullet"/>
        <w:spacing w:after="40"/>
      </w:pPr>
      <w:r>
        <w:t>`stock_realized_volatility_5m`: documented estimator, units, and annualization policy.</w:t>
      </w:r>
    </w:p>
    <w:p>
      <w:pPr>
        <w:pStyle w:val="ListBullet"/>
        <w:spacing w:after="40"/>
      </w:pPr>
      <w:r>
        <w:t>`stock_intraday_drawdown`: current price divided by running intraday high, minus one; high resets at session start.</w:t>
      </w:r>
    </w:p>
    <w:p>
      <w:pPr>
        <w:pStyle w:val="ListBullet"/>
        <w:spacing w:after="40"/>
      </w:pPr>
      <w:r>
        <w:t>`stock_market_session_active`: authoritative/configured session state.</w:t>
      </w:r>
    </w:p>
    <w:p>
      <w:r>
        <w:t>Use `symbol` as the stable instrument label and `exchange` where needed. Avoid unbounded labels such as raw news text, request IDs, or timestamps. Do not encode missing data as zero unless zero is a valid business value. Validate NaN, infinity, impossible timestamps, negative values, and invalid quotes as early as practical.</w:t>
      </w:r>
    </w:p>
    <w:p>
      <w:pPr>
        <w:pStyle w:val="Heading1"/>
      </w:pPr>
      <w:r>
        <w:t>9. Alert lifecycle, silencing, and notification behavior</w:t>
      </w:r>
    </w:p>
    <w:p>
      <w:pPr>
        <w:pStyle w:val="ListBullet"/>
        <w:spacing w:after="40"/>
      </w:pPr>
      <w:r>
        <w:t>Firing: the expression is true for the configured `for` duration.</w:t>
      </w:r>
    </w:p>
    <w:p>
      <w:pPr>
        <w:pStyle w:val="ListBullet"/>
        <w:spacing w:after="40"/>
      </w:pPr>
      <w:r>
        <w:t>Clearance/resolution: the expression no longer matches, subject to any intentionally configured `keep_firing_for` policy.</w:t>
      </w:r>
    </w:p>
    <w:p>
      <w:pPr>
        <w:pStyle w:val="ListBullet"/>
        <w:spacing w:after="40"/>
      </w:pPr>
      <w:r>
        <w:t>Silence: Alertmanager suppresses matching notifications during a time window; it does not change the underlying alert state.</w:t>
      </w:r>
    </w:p>
    <w:p>
      <w:pPr>
        <w:pStyle w:val="ListBullet"/>
        <w:spacing w:after="40"/>
      </w:pPr>
      <w:r>
        <w:t>Every manual silence requires a comment and expiry and should match as narrowly as practical (for example, symbol plus alert name).</w:t>
      </w:r>
    </w:p>
    <w:p>
      <w:pPr>
        <w:pStyle w:val="ListBullet"/>
        <w:spacing w:after="40"/>
      </w:pPr>
      <w:r>
        <w:t>Do not create permanent broad silences for feed-health or data-quality alerts.</w:t>
      </w:r>
    </w:p>
    <w:p>
      <w:pPr>
        <w:pStyle w:val="ListBullet"/>
        <w:spacing w:after="40"/>
      </w:pPr>
      <w:r>
        <w:t>A missing metric while an alert is firing must not be treated as proof of recovery; dedicated feed/missing-data monitoring and UI state are required.</w:t>
      </w:r>
    </w:p>
    <w:p>
      <w:pPr>
        <w:pStyle w:val="ListBullet"/>
        <w:spacing w:after="40"/>
      </w:pPr>
      <w:r>
        <w:t>Resolved notification behavior, grouping, repeat intervals, and receiver failures must be tested independently of promtool rule tests.</w:t>
      </w:r>
    </w:p>
    <w:p>
      <w:pPr>
        <w:pStyle w:val="Heading1"/>
      </w:pPr>
      <w:r>
        <w:t>10. UX and observability requirements</w:t>
      </w:r>
    </w:p>
    <w:p>
      <w:pPr>
        <w:pStyle w:val="ListBullet"/>
        <w:spacing w:after="40"/>
      </w:pPr>
      <w:r>
        <w:t>Alert list/detail must identify alert name, severity, category, exchange, symbol, state, first-fired time, and latest observed value when available.</w:t>
      </w:r>
    </w:p>
    <w:p>
      <w:pPr>
        <w:pStyle w:val="ListBullet"/>
        <w:spacing w:after="40"/>
      </w:pPr>
      <w:r>
        <w:t>Show firing/pending/resolved state separately from notification-suppressed/silenced state.</w:t>
      </w:r>
    </w:p>
    <w:p>
      <w:pPr>
        <w:pStyle w:val="ListBullet"/>
        <w:spacing w:after="40"/>
      </w:pPr>
      <w:r>
        <w:t>Make stale or unknown data distinguishable from a healthy state.</w:t>
      </w:r>
    </w:p>
    <w:p>
      <w:pPr>
        <w:pStyle w:val="ListBullet"/>
        <w:spacing w:after="40"/>
      </w:pPr>
      <w:r>
        <w:t>Link each alert to a runbook that explains meaning, trigger, limitations, clearance, and troubleshooting.</w:t>
      </w:r>
    </w:p>
    <w:p>
      <w:pPr>
        <w:pStyle w:val="ListBullet"/>
        <w:spacing w:after="40"/>
      </w:pPr>
      <w:r>
        <w:t>Avoid wording that implies a guaranteed prediction, trade instruction, or investment recommendation.</w:t>
      </w:r>
    </w:p>
    <w:p>
      <w:pPr>
        <w:pStyle w:val="Heading1"/>
      </w:pPr>
      <w:r>
        <w:t>11. Non-functional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3456"/>
          </w:tcPr>
          <w:p>
            <w:pPr>
              <w:spacing w:after="20"/>
            </w:pPr>
            <w:r/>
            <w:r>
              <w:rPr>
                <w:rFonts w:ascii="Aptos" w:hAnsi="Aptos"/>
                <w:b/>
                <w:color w:val="FFFFFF"/>
                <w:sz w:val="17"/>
              </w:rPr>
              <w:t>Area</w:t>
            </w:r>
          </w:p>
        </w:tc>
        <w:tc>
          <w:tcPr>
            <w:tcW w:type="dxa" w:w="4968"/>
            <w:vAlign w:val="center"/>
            <w:shd w:fill="143456"/>
          </w:tcPr>
          <w:p>
            <w:pPr>
              <w:spacing w:after="20"/>
            </w:pPr>
            <w:r/>
            <w:r>
              <w:rPr>
                <w:rFonts w:ascii="Aptos" w:hAnsi="Aptos"/>
                <w:b/>
                <w:color w:val="FFFFFF"/>
                <w:sz w:val="17"/>
              </w:rPr>
              <w:t>Requirement</w:t>
            </w:r>
          </w:p>
        </w:tc>
      </w:tr>
      <w:tr>
        <w:tc>
          <w:tcPr>
            <w:tcW w:type="dxa" w:w="4968"/>
            <w:vAlign w:val="center"/>
          </w:tcPr>
          <w:p>
            <w:pPr>
              <w:spacing w:after="20"/>
            </w:pPr>
            <w:r/>
            <w:r>
              <w:rPr>
                <w:rFonts w:ascii="Aptos" w:hAnsi="Aptos"/>
                <w:b w:val="0"/>
                <w:sz w:val="16"/>
              </w:rPr>
              <w:t>Correctness</w:t>
            </w:r>
          </w:p>
        </w:tc>
        <w:tc>
          <w:tcPr>
            <w:tcW w:type="dxa" w:w="4968"/>
            <w:vAlign w:val="center"/>
          </w:tcPr>
          <w:p>
            <w:pPr>
              <w:spacing w:after="20"/>
            </w:pPr>
            <w:r/>
            <w:r>
              <w:rPr>
                <w:rFonts w:ascii="Aptos" w:hAnsi="Aptos"/>
                <w:b w:val="0"/>
                <w:sz w:val="16"/>
              </w:rPr>
              <w:t>PromQL semantics, labels, joins, units, and thresholds are reviewed and covered by deterministic tests.</w:t>
            </w:r>
          </w:p>
        </w:tc>
      </w:tr>
      <w:tr>
        <w:tc>
          <w:tcPr>
            <w:tcW w:type="dxa" w:w="4968"/>
            <w:vAlign w:val="center"/>
          </w:tcPr>
          <w:p>
            <w:pPr>
              <w:spacing w:after="20"/>
            </w:pPr>
            <w:r/>
            <w:r>
              <w:rPr>
                <w:rFonts w:ascii="Aptos" w:hAnsi="Aptos"/>
                <w:b w:val="0"/>
                <w:sz w:val="16"/>
              </w:rPr>
              <w:t>Reliability</w:t>
            </w:r>
          </w:p>
        </w:tc>
        <w:tc>
          <w:tcPr>
            <w:tcW w:type="dxa" w:w="4968"/>
            <w:vAlign w:val="center"/>
          </w:tcPr>
          <w:p>
            <w:pPr>
              <w:spacing w:after="20"/>
            </w:pPr>
            <w:r/>
            <w:r>
              <w:rPr>
                <w:rFonts w:ascii="Aptos" w:hAnsi="Aptos"/>
                <w:b w:val="0"/>
                <w:sz w:val="16"/>
              </w:rPr>
              <w:t>Missing data and exporter failure are observable and do not silently appear healthy.</w:t>
            </w:r>
          </w:p>
        </w:tc>
      </w:tr>
      <w:tr>
        <w:tc>
          <w:tcPr>
            <w:tcW w:type="dxa" w:w="4968"/>
            <w:vAlign w:val="center"/>
          </w:tcPr>
          <w:p>
            <w:pPr>
              <w:spacing w:after="20"/>
            </w:pPr>
            <w:r/>
            <w:r>
              <w:rPr>
                <w:rFonts w:ascii="Aptos" w:hAnsi="Aptos"/>
                <w:b w:val="0"/>
                <w:sz w:val="16"/>
              </w:rPr>
              <w:t>Performance</w:t>
            </w:r>
          </w:p>
        </w:tc>
        <w:tc>
          <w:tcPr>
            <w:tcW w:type="dxa" w:w="4968"/>
            <w:vAlign w:val="center"/>
          </w:tcPr>
          <w:p>
            <w:pPr>
              <w:spacing w:after="20"/>
            </w:pPr>
            <w:r/>
            <w:r>
              <w:rPr>
                <w:rFonts w:ascii="Aptos" w:hAnsi="Aptos"/>
                <w:b w:val="0"/>
                <w:sz w:val="16"/>
              </w:rPr>
              <w:t>Rule evaluation interval and query cost are suitable for the deployed Prometheus and symbol cardinality; validate in staging.</w:t>
            </w:r>
          </w:p>
        </w:tc>
      </w:tr>
      <w:tr>
        <w:tc>
          <w:tcPr>
            <w:tcW w:type="dxa" w:w="4968"/>
            <w:vAlign w:val="center"/>
          </w:tcPr>
          <w:p>
            <w:pPr>
              <w:spacing w:after="20"/>
            </w:pPr>
            <w:r/>
            <w:r>
              <w:rPr>
                <w:rFonts w:ascii="Aptos" w:hAnsi="Aptos"/>
                <w:b w:val="0"/>
                <w:sz w:val="16"/>
              </w:rPr>
              <w:t>Maintainability</w:t>
            </w:r>
          </w:p>
        </w:tc>
        <w:tc>
          <w:tcPr>
            <w:tcW w:type="dxa" w:w="4968"/>
            <w:vAlign w:val="center"/>
          </w:tcPr>
          <w:p>
            <w:pPr>
              <w:spacing w:after="20"/>
            </w:pPr>
            <w:r/>
            <w:r>
              <w:rPr>
                <w:rFonts w:ascii="Aptos" w:hAnsi="Aptos"/>
                <w:b w:val="0"/>
                <w:sz w:val="16"/>
              </w:rPr>
              <w:t>Rules and tests are version-controlled, named consistently, documented, and reviewed with changes.</w:t>
            </w:r>
          </w:p>
        </w:tc>
      </w:tr>
      <w:tr>
        <w:tc>
          <w:tcPr>
            <w:tcW w:type="dxa" w:w="4968"/>
            <w:vAlign w:val="center"/>
          </w:tcPr>
          <w:p>
            <w:pPr>
              <w:spacing w:after="20"/>
            </w:pPr>
            <w:r/>
            <w:r>
              <w:rPr>
                <w:rFonts w:ascii="Aptos" w:hAnsi="Aptos"/>
                <w:b w:val="0"/>
                <w:sz w:val="16"/>
              </w:rPr>
              <w:t>Cardinality</w:t>
            </w:r>
          </w:p>
        </w:tc>
        <w:tc>
          <w:tcPr>
            <w:tcW w:type="dxa" w:w="4968"/>
            <w:vAlign w:val="center"/>
          </w:tcPr>
          <w:p>
            <w:pPr>
              <w:spacing w:after="20"/>
            </w:pPr>
            <w:r/>
            <w:r>
              <w:rPr>
                <w:rFonts w:ascii="Aptos" w:hAnsi="Aptos"/>
                <w:b w:val="0"/>
                <w:sz w:val="16"/>
              </w:rPr>
              <w:t>Labels remain bounded and avoid per-event/per-timestamp dimensions.</w:t>
            </w:r>
          </w:p>
        </w:tc>
      </w:tr>
      <w:tr>
        <w:tc>
          <w:tcPr>
            <w:tcW w:type="dxa" w:w="4968"/>
            <w:vAlign w:val="center"/>
          </w:tcPr>
          <w:p>
            <w:pPr>
              <w:spacing w:after="20"/>
            </w:pPr>
            <w:r/>
            <w:r>
              <w:rPr>
                <w:rFonts w:ascii="Aptos" w:hAnsi="Aptos"/>
                <w:b w:val="0"/>
                <w:sz w:val="16"/>
              </w:rPr>
              <w:t>Configurability</w:t>
            </w:r>
          </w:p>
        </w:tc>
        <w:tc>
          <w:tcPr>
            <w:tcW w:type="dxa" w:w="4968"/>
            <w:vAlign w:val="center"/>
          </w:tcPr>
          <w:p>
            <w:pPr>
              <w:spacing w:after="20"/>
            </w:pPr>
            <w:r/>
            <w:r>
              <w:rPr>
                <w:rFonts w:ascii="Aptos" w:hAnsi="Aptos"/>
                <w:b w:val="0"/>
                <w:sz w:val="16"/>
              </w:rPr>
              <w:t>Thresholds and durations are configurable or centrally documented as defaults.</w:t>
            </w:r>
          </w:p>
        </w:tc>
      </w:tr>
      <w:tr>
        <w:tc>
          <w:tcPr>
            <w:tcW w:type="dxa" w:w="4968"/>
            <w:vAlign w:val="center"/>
          </w:tcPr>
          <w:p>
            <w:pPr>
              <w:spacing w:after="20"/>
            </w:pPr>
            <w:r/>
            <w:r>
              <w:rPr>
                <w:rFonts w:ascii="Aptos" w:hAnsi="Aptos"/>
                <w:b w:val="0"/>
                <w:sz w:val="16"/>
              </w:rPr>
              <w:t>Compatibility</w:t>
            </w:r>
          </w:p>
        </w:tc>
        <w:tc>
          <w:tcPr>
            <w:tcW w:type="dxa" w:w="4968"/>
            <w:vAlign w:val="center"/>
          </w:tcPr>
          <w:p>
            <w:pPr>
              <w:spacing w:after="20"/>
            </w:pPr>
            <w:r/>
            <w:r>
              <w:rPr>
                <w:rFonts w:ascii="Aptos" w:hAnsi="Aptos"/>
                <w:b w:val="0"/>
                <w:sz w:val="16"/>
              </w:rPr>
              <w:t>Pin promtool in CI to the same Prometheus version family as the deployment.</w:t>
            </w:r>
          </w:p>
        </w:tc>
      </w:tr>
      <w:tr>
        <w:tc>
          <w:tcPr>
            <w:tcW w:type="dxa" w:w="4968"/>
            <w:vAlign w:val="center"/>
          </w:tcPr>
          <w:p>
            <w:pPr>
              <w:spacing w:after="20"/>
            </w:pPr>
            <w:r/>
            <w:r>
              <w:rPr>
                <w:rFonts w:ascii="Aptos" w:hAnsi="Aptos"/>
                <w:b w:val="0"/>
                <w:sz w:val="16"/>
              </w:rPr>
              <w:t>Security / operations</w:t>
            </w:r>
          </w:p>
        </w:tc>
        <w:tc>
          <w:tcPr>
            <w:tcW w:type="dxa" w:w="4968"/>
            <w:vAlign w:val="center"/>
          </w:tcPr>
          <w:p>
            <w:pPr>
              <w:spacing w:after="20"/>
            </w:pPr>
            <w:r/>
            <w:r>
              <w:rPr>
                <w:rFonts w:ascii="Aptos" w:hAnsi="Aptos"/>
                <w:b w:val="0"/>
                <w:sz w:val="16"/>
              </w:rPr>
              <w:t>Notification endpoints and credentials follow existing secret-management standards; test receiver failures.</w:t>
            </w:r>
          </w:p>
        </w:tc>
      </w:tr>
    </w:tbl>
    <w:p>
      <w:pPr>
        <w:spacing w:after="20"/>
      </w:pPr>
    </w:p>
    <w:p>
      <w:pPr>
        <w:pStyle w:val="Heading1"/>
      </w:pPr>
      <w:r>
        <w:t>12. Acceptance criteria</w:t>
      </w:r>
    </w:p>
    <w:p>
      <w:pPr>
        <w:pStyle w:val="ListBullet"/>
        <w:spacing w:after="40"/>
      </w:pPr>
      <w:r>
        <w:t>All 15 alert rules are committed and validated by `promtool check rules`.</w:t>
      </w:r>
    </w:p>
    <w:p>
      <w:pPr>
        <w:pStyle w:val="ListBullet"/>
        <w:spacing w:after="40"/>
      </w:pPr>
      <w:r>
        <w:t>PromQL tests cover positive, negative, and threshold-boundary behavior for each rule.</w:t>
      </w:r>
    </w:p>
    <w:p>
      <w:pPr>
        <w:pStyle w:val="ListBullet"/>
        <w:spacing w:after="40"/>
      </w:pPr>
      <w:r>
        <w:t>Every alert has documented clearance behavior and tested recovery timing.</w:t>
      </w:r>
    </w:p>
    <w:p>
      <w:pPr>
        <w:pStyle w:val="ListBullet"/>
        <w:spacing w:after="40"/>
      </w:pPr>
      <w:r>
        <w:t>Missing-series, stale-data, exporter-down, and partial-symbol-coverage scenarios are tested.</w:t>
      </w:r>
    </w:p>
    <w:p>
      <w:pPr>
        <w:pStyle w:val="ListBullet"/>
        <w:spacing w:after="40"/>
      </w:pPr>
      <w:r>
        <w:t>Session-aware rules do not fire merely because the exchange is closed.</w:t>
      </w:r>
    </w:p>
    <w:p>
      <w:pPr>
        <w:pStyle w:val="ListBullet"/>
        <w:spacing w:after="40"/>
      </w:pPr>
      <w:r>
        <w:t>Alertmanager integration tests prove silence suppresses notifications without resolving the alert.</w:t>
      </w:r>
    </w:p>
    <w:p>
      <w:pPr>
        <w:pStyle w:val="ListBullet"/>
        <w:spacing w:after="40"/>
      </w:pPr>
      <w:r>
        <w:t>Silence expiry, grouping, resolved notifications, and receiver failures are exercised.</w:t>
      </w:r>
    </w:p>
    <w:p>
      <w:pPr>
        <w:pStyle w:val="ListBullet"/>
        <w:spacing w:after="40"/>
      </w:pPr>
      <w:r>
        <w:t>Grafana displays affected symbol, alert state, silence state, observed value, and runbook link.</w:t>
      </w:r>
    </w:p>
    <w:p>
      <w:pPr>
        <w:pStyle w:val="ListBullet"/>
        <w:spacing w:after="40"/>
      </w:pPr>
      <w:r>
        <w:t>Every rule has a runbook and documented metric methodology.</w:t>
      </w:r>
    </w:p>
    <w:p>
      <w:pPr>
        <w:pStyle w:val="ListBullet"/>
        <w:spacing w:after="40"/>
      </w:pPr>
      <w:r>
        <w:t>CI blocks release when rule validation, test, label/annotation, documentation, or integration gates fail.</w:t>
      </w:r>
    </w:p>
    <w:p>
      <w:pPr>
        <w:pStyle w:val="Heading1"/>
      </w:pPr>
      <w:r>
        <w:t>13. Test plan and CI gates</w:t>
      </w:r>
    </w:p>
    <w:p>
      <w:r>
        <w:t>Required test layers:</w:t>
      </w:r>
    </w:p>
    <w:p>
      <w:pPr>
        <w:pStyle w:val="ListNumber"/>
        <w:spacing w:after="40"/>
      </w:pPr>
      <w:r>
        <w:t>Metric-contract tests: names, labels, units, freshness, and derived-metric semantics.</w:t>
      </w:r>
    </w:p>
    <w:p>
      <w:pPr>
        <w:pStyle w:val="ListNumber"/>
        <w:spacing w:after="40"/>
      </w:pPr>
      <w:r>
        <w:t>PromQL expression tests using synthetic samples.</w:t>
      </w:r>
    </w:p>
    <w:p>
      <w:pPr>
        <w:pStyle w:val="ListNumber"/>
        <w:spacing w:after="40"/>
      </w:pPr>
      <w:r>
        <w:t>Alert lifecycle tests covering pending → firing → resolved, `for`, and `keep_firing_for`.</w:t>
      </w:r>
    </w:p>
    <w:p>
      <w:pPr>
        <w:pStyle w:val="ListNumber"/>
        <w:spacing w:after="40"/>
      </w:pPr>
      <w:r>
        <w:t>Missing-data tests for absent series, stale values, target down, and partial symbol coverage.</w:t>
      </w:r>
    </w:p>
    <w:p>
      <w:pPr>
        <w:pStyle w:val="ListNumber"/>
        <w:spacing w:after="40"/>
      </w:pPr>
      <w:r>
        <w:t>Alertmanager integration tests for delivery, silences, expiry, grouping, and resolved notifications.</w:t>
      </w:r>
    </w:p>
    <w:p>
      <w:pPr>
        <w:pStyle w:val="ListNumber"/>
        <w:spacing w:after="40"/>
      </w:pPr>
      <w:r>
        <w:t>End-to-end test from controlled feed condition through Prometheus into UI and notification receiver.</w:t>
      </w:r>
    </w:p>
    <w:p>
      <w:r>
        <w:t>Suggested CI sequence:</w:t>
      </w:r>
    </w:p>
    <w:p>
      <w:pPr>
        <w:pStyle w:val="ListNumber"/>
        <w:spacing w:after="40"/>
      </w:pPr>
      <w:r>
        <w:t>Lint YAML.</w:t>
      </w:r>
    </w:p>
    <w:p>
      <w:pPr>
        <w:pStyle w:val="ListNumber"/>
        <w:spacing w:after="40"/>
      </w:pPr>
      <w:r>
        <w:t>Run `promtool check rules prometheus/rules/*.yml`.</w:t>
      </w:r>
    </w:p>
    <w:p>
      <w:pPr>
        <w:pStyle w:val="ListNumber"/>
        <w:spacing w:after="40"/>
      </w:pPr>
      <w:r>
        <w:t>Run `promtool test rules prometheus/tests/stock_alerts_test.yml`.</w:t>
      </w:r>
    </w:p>
    <w:p>
      <w:pPr>
        <w:pStyle w:val="ListNumber"/>
        <w:spacing w:after="40"/>
      </w:pPr>
      <w:r>
        <w:t>Validate metric-contract fixtures and derived-metric unit tests.</w:t>
      </w:r>
    </w:p>
    <w:p>
      <w:pPr>
        <w:pStyle w:val="ListNumber"/>
        <w:spacing w:after="40"/>
      </w:pPr>
      <w:r>
        <w:t>Run Alertmanager routing/silence integration tests.</w:t>
      </w:r>
    </w:p>
    <w:p>
      <w:pPr>
        <w:pStyle w:val="ListNumber"/>
        <w:spacing w:after="40"/>
      </w:pPr>
      <w:r>
        <w:t>Check required labels, annotations, and runbook links.</w:t>
      </w:r>
    </w:p>
    <w:p>
      <w:pPr>
        <w:pStyle w:val="ListNumber"/>
        <w:spacing w:after="40"/>
      </w:pPr>
      <w:r>
        <w:t>Package the rule files and execute a staging smoke test.</w:t>
      </w:r>
    </w:p>
    <w:p>
      <w:pPr>
        <w:pStyle w:val="Heading1"/>
      </w:pPr>
      <w:r>
        <w:t>14. Dependencies, risks, and decisions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3456"/>
          </w:tcPr>
          <w:p>
            <w:pPr>
              <w:spacing w:after="20"/>
            </w:pPr>
            <w:r/>
            <w:r>
              <w:rPr>
                <w:rFonts w:ascii="Aptos" w:hAnsi="Aptos"/>
                <w:b/>
                <w:color w:val="FFFFFF"/>
                <w:sz w:val="17"/>
              </w:rPr>
              <w:t>Item</w:t>
            </w:r>
          </w:p>
        </w:tc>
        <w:tc>
          <w:tcPr>
            <w:tcW w:type="dxa" w:w="3312"/>
            <w:vAlign w:val="center"/>
            <w:shd w:fill="143456"/>
          </w:tcPr>
          <w:p>
            <w:pPr>
              <w:spacing w:after="20"/>
            </w:pPr>
            <w:r/>
            <w:r>
              <w:rPr>
                <w:rFonts w:ascii="Aptos" w:hAnsi="Aptos"/>
                <w:b/>
                <w:color w:val="FFFFFF"/>
                <w:sz w:val="17"/>
              </w:rPr>
              <w:t>Risk / decision needed</w:t>
            </w:r>
          </w:p>
        </w:tc>
        <w:tc>
          <w:tcPr>
            <w:tcW w:type="dxa" w:w="3312"/>
            <w:vAlign w:val="center"/>
            <w:shd w:fill="143456"/>
          </w:tcPr>
          <w:p>
            <w:pPr>
              <w:spacing w:after="20"/>
            </w:pPr>
            <w:r/>
            <w:r>
              <w:rPr>
                <w:rFonts w:ascii="Aptos" w:hAnsi="Aptos"/>
                <w:b/>
                <w:color w:val="FFFFFF"/>
                <w:sz w:val="17"/>
              </w:rPr>
              <w:t>Owner (proposed)</w:t>
            </w:r>
          </w:p>
        </w:tc>
      </w:tr>
      <w:tr>
        <w:tc>
          <w:tcPr>
            <w:tcW w:type="dxa" w:w="3312"/>
            <w:vAlign w:val="center"/>
          </w:tcPr>
          <w:p>
            <w:pPr>
              <w:spacing w:after="20"/>
            </w:pPr>
            <w:r/>
            <w:r>
              <w:rPr>
                <w:rFonts w:ascii="Aptos" w:hAnsi="Aptos"/>
                <w:b w:val="0"/>
                <w:sz w:val="16"/>
              </w:rPr>
              <w:t>Metric compatibility</w:t>
            </w:r>
          </w:p>
        </w:tc>
        <w:tc>
          <w:tcPr>
            <w:tcW w:type="dxa" w:w="3312"/>
            <w:vAlign w:val="center"/>
          </w:tcPr>
          <w:p>
            <w:pPr>
              <w:spacing w:after="20"/>
            </w:pPr>
            <w:r/>
            <w:r>
              <w:rPr>
                <w:rFonts w:ascii="Aptos" w:hAnsi="Aptos"/>
                <w:b w:val="0"/>
                <w:sz w:val="16"/>
              </w:rPr>
              <w:t>Metric names in the package are proposed; compare against actual exporter output.</w:t>
            </w:r>
          </w:p>
        </w:tc>
        <w:tc>
          <w:tcPr>
            <w:tcW w:type="dxa" w:w="3312"/>
            <w:vAlign w:val="center"/>
          </w:tcPr>
          <w:p>
            <w:pPr>
              <w:spacing w:after="20"/>
            </w:pPr>
            <w:r/>
            <w:r>
              <w:rPr>
                <w:rFonts w:ascii="Aptos" w:hAnsi="Aptos"/>
                <w:b w:val="0"/>
                <w:sz w:val="16"/>
              </w:rPr>
              <w:t>Market-data / exporter owner</w:t>
            </w:r>
          </w:p>
        </w:tc>
      </w:tr>
      <w:tr>
        <w:tc>
          <w:tcPr>
            <w:tcW w:type="dxa" w:w="3312"/>
            <w:vAlign w:val="center"/>
          </w:tcPr>
          <w:p>
            <w:pPr>
              <w:spacing w:after="20"/>
            </w:pPr>
            <w:r/>
            <w:r>
              <w:rPr>
                <w:rFonts w:ascii="Aptos" w:hAnsi="Aptos"/>
                <w:b w:val="0"/>
                <w:sz w:val="16"/>
              </w:rPr>
              <w:t>Derived metrics</w:t>
            </w:r>
          </w:p>
        </w:tc>
        <w:tc>
          <w:tcPr>
            <w:tcW w:type="dxa" w:w="3312"/>
            <w:vAlign w:val="center"/>
          </w:tcPr>
          <w:p>
            <w:pPr>
              <w:spacing w:after="20"/>
            </w:pPr>
            <w:r/>
            <w:r>
              <w:rPr>
                <w:rFonts w:ascii="Aptos" w:hAnsi="Aptos"/>
                <w:b w:val="0"/>
                <w:sz w:val="16"/>
              </w:rPr>
              <w:t>Return, relative volume, VWAP, realized volatility, drawdown, and expected-symbol inventory require implementation and tests.</w:t>
            </w:r>
          </w:p>
        </w:tc>
        <w:tc>
          <w:tcPr>
            <w:tcW w:type="dxa" w:w="3312"/>
            <w:vAlign w:val="center"/>
          </w:tcPr>
          <w:p>
            <w:pPr>
              <w:spacing w:after="20"/>
            </w:pPr>
            <w:r/>
            <w:r>
              <w:rPr>
                <w:rFonts w:ascii="Aptos" w:hAnsi="Aptos"/>
                <w:b w:val="0"/>
                <w:sz w:val="16"/>
              </w:rPr>
              <w:t>Data engineering</w:t>
            </w:r>
          </w:p>
        </w:tc>
      </w:tr>
      <w:tr>
        <w:tc>
          <w:tcPr>
            <w:tcW w:type="dxa" w:w="3312"/>
            <w:vAlign w:val="center"/>
          </w:tcPr>
          <w:p>
            <w:pPr>
              <w:spacing w:after="20"/>
            </w:pPr>
            <w:r/>
            <w:r>
              <w:rPr>
                <w:rFonts w:ascii="Aptos" w:hAnsi="Aptos"/>
                <w:b w:val="0"/>
                <w:sz w:val="16"/>
              </w:rPr>
              <w:t>Market sessions</w:t>
            </w:r>
          </w:p>
        </w:tc>
        <w:tc>
          <w:tcPr>
            <w:tcW w:type="dxa" w:w="3312"/>
            <w:vAlign w:val="center"/>
          </w:tcPr>
          <w:p>
            <w:pPr>
              <w:spacing w:after="20"/>
            </w:pPr>
            <w:r/>
            <w:r>
              <w:rPr>
                <w:rFonts w:ascii="Aptos" w:hAnsi="Aptos"/>
                <w:b w:val="0"/>
                <w:sz w:val="16"/>
              </w:rPr>
              <w:t>Select authoritative calendar/session source and define holiday, half-day, and instrument exceptions.</w:t>
            </w:r>
          </w:p>
        </w:tc>
        <w:tc>
          <w:tcPr>
            <w:tcW w:type="dxa" w:w="3312"/>
            <w:vAlign w:val="center"/>
          </w:tcPr>
          <w:p>
            <w:pPr>
              <w:spacing w:after="20"/>
            </w:pPr>
            <w:r/>
            <w:r>
              <w:rPr>
                <w:rFonts w:ascii="Aptos" w:hAnsi="Aptos"/>
                <w:b w:val="0"/>
                <w:sz w:val="16"/>
              </w:rPr>
              <w:t>Product + market-data owner</w:t>
            </w:r>
          </w:p>
        </w:tc>
      </w:tr>
      <w:tr>
        <w:tc>
          <w:tcPr>
            <w:tcW w:type="dxa" w:w="3312"/>
            <w:vAlign w:val="center"/>
          </w:tcPr>
          <w:p>
            <w:pPr>
              <w:spacing w:after="20"/>
            </w:pPr>
            <w:r/>
            <w:r>
              <w:rPr>
                <w:rFonts w:ascii="Aptos" w:hAnsi="Aptos"/>
                <w:b w:val="0"/>
                <w:sz w:val="16"/>
              </w:rPr>
              <w:t>Threshold calibration</w:t>
            </w:r>
          </w:p>
        </w:tc>
        <w:tc>
          <w:tcPr>
            <w:tcW w:type="dxa" w:w="3312"/>
            <w:vAlign w:val="center"/>
          </w:tcPr>
          <w:p>
            <w:pPr>
              <w:spacing w:after="20"/>
            </w:pPr>
            <w:r/>
            <w:r>
              <w:rPr>
                <w:rFonts w:ascii="Aptos" w:hAnsi="Aptos"/>
                <w:b w:val="0"/>
                <w:sz w:val="16"/>
              </w:rPr>
              <w:t>Initial values are defaults, not universal thresholds; validate with historical data and liquidity profile.</w:t>
            </w:r>
          </w:p>
        </w:tc>
        <w:tc>
          <w:tcPr>
            <w:tcW w:type="dxa" w:w="3312"/>
            <w:vAlign w:val="center"/>
          </w:tcPr>
          <w:p>
            <w:pPr>
              <w:spacing w:after="20"/>
            </w:pPr>
            <w:r/>
            <w:r>
              <w:rPr>
                <w:rFonts w:ascii="Aptos" w:hAnsi="Aptos"/>
                <w:b w:val="0"/>
                <w:sz w:val="16"/>
              </w:rPr>
              <w:t>Product + domain reviewer</w:t>
            </w:r>
          </w:p>
        </w:tc>
      </w:tr>
      <w:tr>
        <w:tc>
          <w:tcPr>
            <w:tcW w:type="dxa" w:w="3312"/>
            <w:vAlign w:val="center"/>
          </w:tcPr>
          <w:p>
            <w:pPr>
              <w:spacing w:after="20"/>
            </w:pPr>
            <w:r/>
            <w:r>
              <w:rPr>
                <w:rFonts w:ascii="Aptos" w:hAnsi="Aptos"/>
                <w:b w:val="0"/>
                <w:sz w:val="16"/>
              </w:rPr>
              <w:t>Alert noise</w:t>
            </w:r>
          </w:p>
        </w:tc>
        <w:tc>
          <w:tcPr>
            <w:tcW w:type="dxa" w:w="3312"/>
            <w:vAlign w:val="center"/>
          </w:tcPr>
          <w:p>
            <w:pPr>
              <w:spacing w:after="20"/>
            </w:pPr>
            <w:r/>
            <w:r>
              <w:rPr>
                <w:rFonts w:ascii="Aptos" w:hAnsi="Aptos"/>
                <w:b w:val="0"/>
                <w:sz w:val="16"/>
              </w:rPr>
              <w:t>Tune `for`, thresholds, grouping, and notification routes using staging/replay before production.</w:t>
            </w:r>
          </w:p>
        </w:tc>
        <w:tc>
          <w:tcPr>
            <w:tcW w:type="dxa" w:w="3312"/>
            <w:vAlign w:val="center"/>
          </w:tcPr>
          <w:p>
            <w:pPr>
              <w:spacing w:after="20"/>
            </w:pPr>
            <w:r/>
            <w:r>
              <w:rPr>
                <w:rFonts w:ascii="Aptos" w:hAnsi="Aptos"/>
                <w:b w:val="0"/>
                <w:sz w:val="16"/>
              </w:rPr>
              <w:t>SRE / service owner</w:t>
            </w:r>
          </w:p>
        </w:tc>
      </w:tr>
      <w:tr>
        <w:tc>
          <w:tcPr>
            <w:tcW w:type="dxa" w:w="3312"/>
            <w:vAlign w:val="center"/>
          </w:tcPr>
          <w:p>
            <w:pPr>
              <w:spacing w:after="20"/>
            </w:pPr>
            <w:r/>
            <w:r>
              <w:rPr>
                <w:rFonts w:ascii="Aptos" w:hAnsi="Aptos"/>
                <w:b w:val="0"/>
                <w:sz w:val="16"/>
              </w:rPr>
              <w:t>Recovery on data loss</w:t>
            </w:r>
          </w:p>
        </w:tc>
        <w:tc>
          <w:tcPr>
            <w:tcW w:type="dxa" w:w="3312"/>
            <w:vAlign w:val="center"/>
          </w:tcPr>
          <w:p>
            <w:pPr>
              <w:spacing w:after="20"/>
            </w:pPr>
            <w:r/>
            <w:r>
              <w:rPr>
                <w:rFonts w:ascii="Aptos" w:hAnsi="Aptos"/>
                <w:b w:val="0"/>
                <w:sz w:val="16"/>
              </w:rPr>
              <w:t>Define whether each alert remains firing, resolves, or becomes unknown when input series disappears.</w:t>
            </w:r>
          </w:p>
        </w:tc>
        <w:tc>
          <w:tcPr>
            <w:tcW w:type="dxa" w:w="3312"/>
            <w:vAlign w:val="center"/>
          </w:tcPr>
          <w:p>
            <w:pPr>
              <w:spacing w:after="20"/>
            </w:pPr>
            <w:r/>
            <w:r>
              <w:rPr>
                <w:rFonts w:ascii="Aptos" w:hAnsi="Aptos"/>
                <w:b w:val="0"/>
                <w:sz w:val="16"/>
              </w:rPr>
              <w:t>Product + SRE</w:t>
            </w:r>
          </w:p>
        </w:tc>
      </w:tr>
      <w:tr>
        <w:tc>
          <w:tcPr>
            <w:tcW w:type="dxa" w:w="3312"/>
            <w:vAlign w:val="center"/>
          </w:tcPr>
          <w:p>
            <w:pPr>
              <w:spacing w:after="20"/>
            </w:pPr>
            <w:r/>
            <w:r>
              <w:rPr>
                <w:rFonts w:ascii="Aptos" w:hAnsi="Aptos"/>
                <w:b w:val="0"/>
                <w:sz w:val="16"/>
              </w:rPr>
              <w:t>Operational ownership</w:t>
            </w:r>
          </w:p>
        </w:tc>
        <w:tc>
          <w:tcPr>
            <w:tcW w:type="dxa" w:w="3312"/>
            <w:vAlign w:val="center"/>
          </w:tcPr>
          <w:p>
            <w:pPr>
              <w:spacing w:after="20"/>
            </w:pPr>
            <w:r/>
            <w:r>
              <w:rPr>
                <w:rFonts w:ascii="Aptos" w:hAnsi="Aptos"/>
                <w:b w:val="0"/>
                <w:sz w:val="16"/>
              </w:rPr>
              <w:t>Assign a named team and runbook owner for every alert before launch.</w:t>
            </w:r>
          </w:p>
        </w:tc>
        <w:tc>
          <w:tcPr>
            <w:tcW w:type="dxa" w:w="3312"/>
            <w:vAlign w:val="center"/>
          </w:tcPr>
          <w:p>
            <w:pPr>
              <w:spacing w:after="20"/>
            </w:pPr>
            <w:r/>
            <w:r>
              <w:rPr>
                <w:rFonts w:ascii="Aptos" w:hAnsi="Aptos"/>
                <w:b w:val="0"/>
                <w:sz w:val="16"/>
              </w:rPr>
              <w:t>Engineering manager / service owner</w:t>
            </w:r>
          </w:p>
        </w:tc>
      </w:tr>
    </w:tbl>
    <w:p>
      <w:pPr>
        <w:spacing w:after="20"/>
      </w:pPr>
    </w:p>
    <w:p>
      <w:pPr>
        <w:pStyle w:val="Heading1"/>
      </w:pPr>
      <w:r>
        <w:t>15. Rollout plan</w:t>
      </w:r>
    </w:p>
    <w:p>
      <w:pPr>
        <w:pStyle w:val="ListNumber"/>
        <w:spacing w:after="40"/>
      </w:pPr>
      <w:r>
        <w:t>Phase 0 — Contract review: verify raw metrics, labels, units, timestamps, symbol inventory, and session signal.</w:t>
      </w:r>
    </w:p>
    <w:p>
      <w:pPr>
        <w:pStyle w:val="ListNumber"/>
        <w:spacing w:after="40"/>
      </w:pPr>
      <w:r>
        <w:t>Phase 1 — Derived metrics: implement and test recording rules or exporter-side calculations.</w:t>
      </w:r>
    </w:p>
    <w:p>
      <w:pPr>
        <w:pStyle w:val="ListNumber"/>
        <w:spacing w:after="40"/>
      </w:pPr>
      <w:r>
        <w:t>Phase 2 — Data-quality alerts: deliver SO-101 through SO-104 and validate feed/collection failure handling.</w:t>
      </w:r>
    </w:p>
    <w:p>
      <w:pPr>
        <w:pStyle w:val="ListNumber"/>
        <w:spacing w:after="40"/>
      </w:pPr>
      <w:r>
        <w:t>Phase 3 — Market condition alerts: deliver SO-105 through SO-109.</w:t>
      </w:r>
    </w:p>
    <w:p>
      <w:pPr>
        <w:pStyle w:val="ListNumber"/>
        <w:spacing w:after="40"/>
      </w:pPr>
      <w:r>
        <w:t>Phase 4 — Volume, liquidity, and risk alerts: deliver SO-110 through SO-115.</w:t>
      </w:r>
    </w:p>
    <w:p>
      <w:pPr>
        <w:pStyle w:val="ListNumber"/>
        <w:spacing w:after="40"/>
      </w:pPr>
      <w:r>
        <w:t>Phase 5 — Lifecycle integration: validate clearance predicates, silences, routing, resolved notifications, and UI states.</w:t>
      </w:r>
    </w:p>
    <w:p>
      <w:pPr>
        <w:pStyle w:val="ListNumber"/>
        <w:spacing w:after="40"/>
      </w:pPr>
      <w:r>
        <w:t>Phase 6 — Staging and release: run replay/smoke tests, review noise, and enable production routes after DoD sign-off.</w:t>
      </w:r>
    </w:p>
    <w:p>
      <w:pPr>
        <w:pStyle w:val="Heading1"/>
      </w:pPr>
      <w:r>
        <w:t>16. Open questions for review</w:t>
      </w:r>
    </w:p>
    <w:p>
      <w:pPr>
        <w:pStyle w:val="ListBullet"/>
        <w:spacing w:after="40"/>
      </w:pPr>
      <w:r>
        <w:t>Which exchanges and instrument universe are in the first release, and what is the authoritative session calendar?</w:t>
      </w:r>
    </w:p>
    <w:p>
      <w:pPr>
        <w:pStyle w:val="ListBullet"/>
        <w:spacing w:after="40"/>
      </w:pPr>
      <w:r>
        <w:t>What is the actual `stock_exporter` metric output today, including label sets and counter/gauge semantics?</w:t>
      </w:r>
    </w:p>
    <w:p>
      <w:pPr>
        <w:pStyle w:val="ListBullet"/>
        <w:spacing w:after="40"/>
      </w:pPr>
      <w:r>
        <w:t>Where should each derived metric be calculated: exporter, Prometheus recording rule, or upstream processing?</w:t>
      </w:r>
    </w:p>
    <w:p>
      <w:pPr>
        <w:pStyle w:val="ListBullet"/>
        <w:spacing w:after="40"/>
      </w:pPr>
      <w:r>
        <w:t>Who approves initial thresholds and durations, and what historical data will be used to calibrate them?</w:t>
      </w:r>
    </w:p>
    <w:p>
      <w:pPr>
        <w:pStyle w:val="ListBullet"/>
        <w:spacing w:after="40"/>
      </w:pPr>
      <w:r>
        <w:t>What are the target notification channels, escalation policy, and service/team ownership labels?</w:t>
      </w:r>
    </w:p>
    <w:p>
      <w:pPr>
        <w:pStyle w:val="ListBullet"/>
        <w:spacing w:after="40"/>
      </w:pPr>
      <w:r>
        <w:t>What retention and audit expectations apply to alert history and silence changes?</w:t>
      </w:r>
    </w:p>
    <w:p>
      <w:pPr>
        <w:pStyle w:val="ListBullet"/>
        <w:spacing w:after="40"/>
      </w:pPr>
      <w:r>
        <w:t>Should the product surface a distinct unknown/stale state when data disappears while an alert is firing?</w:t>
      </w:r>
    </w:p>
    <w:p>
      <w:pPr>
        <w:pStyle w:val="Heading1"/>
      </w:pPr>
      <w:r>
        <w:t>Appendix A. Source package and implementation notes</w:t>
      </w:r>
    </w:p>
    <w:p>
      <w:r>
        <w:t>This PRD was derived from the uploaded package containing the metric contract, 15 detailed Prometheus alert specifications, clearance/silence lifecycle requirements, and testing/CI definition of done. Refer to those source files for the proposed PromQL expressions and rule-specific BDD/TDD scenarios. The PRD intentionally treats metric names and thresholds as proposals until verified against the deployed exporter and historical data.</w:t>
      </w:r>
    </w:p>
    <w:p>
      <w:r>
        <w:t>Useful validation commands:</w:t>
      </w:r>
    </w:p>
    <w:p>
      <w:pPr>
        <w:pStyle w:val="NoSpacing"/>
      </w:pPr>
      <w:r>
        <w:rPr>
          <w:rFonts w:ascii="Consolas" w:hAnsi="Consolas"/>
          <w:sz w:val="18"/>
        </w:rPr>
        <w:t>promtool check rules prometheus/rules/*.yml</w:t>
      </w:r>
    </w:p>
    <w:p>
      <w:pPr>
        <w:pStyle w:val="NoSpacing"/>
      </w:pPr>
      <w:r>
        <w:rPr>
          <w:rFonts w:ascii="Consolas" w:hAnsi="Consolas"/>
          <w:sz w:val="18"/>
        </w:rPr>
        <w:t>promtool test rules prometheus/tests/stock_alerts_test.yml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C"/>
        <w:sz w:val="16"/>
      </w:rPr>
      <w:t>Draft for review  •  Version 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07C"/>
        <w:sz w:val="16"/>
      </w:rPr>
      <w:t>STOCK OBSERVABILITY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4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F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5F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4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