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Risk Management Plan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09/11/2025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Destinatario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Prof.ssa Filomena Ferrucci, Prof.re Fabio Palomba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Presentato 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Approvato 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05/11/2025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09/11/2025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line="276" w:lineRule="auto"/>
        <w:ind w:left="0" w:firstLine="0"/>
        <w:rPr/>
      </w:pPr>
      <w:bookmarkStart w:colFirst="0" w:colLast="0" w:name="_heading=h.3vfmo26w0q7d" w:id="7"/>
      <w:bookmarkEnd w:id="7"/>
      <w:r w:rsidDel="00000000" w:rsidR="00000000" w:rsidRPr="00000000">
        <w:rPr>
          <w:rtl w:val="0"/>
        </w:rPr>
        <w:t xml:space="preserve">Team Members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cjv86tbq13k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t921cr8ryij6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m38wbmi4fpl3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Amendola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A.AMENDOLA51@STUDENTI.UNISA.IT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Masone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A.MASONE1@STUDENTI.UNISA.IT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Alessio Castelluccio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A.CASTELLUCCIO15@STUDENTI.UNISA.IT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Francesco Carbone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F.CARBONE50@STUDENTI.UNISA.IT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Francesco Zambrino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F.ZAMBRINO@STUDENTI.UNISA.IT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Gianpaolo Aquilone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G.AQUILONE1@STUDENTI.UNISA.IT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Giorgio Zazzerini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G.ZAZZERINI@STUDENTI.UNISA.IT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Giovanni Lamberti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G.LAMBERTI55@STUDENTI.UNISA.IT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Matteo Manganiello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M.MANGANIELLO15@STUDENTI.UNISA.IT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Thomas Mercandino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T.MERCANDINO@STUDENTI.UNISA.IT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Victor Di Gennaro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VDG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V.DIGENNARO5@STUDENTI.UNISA.IT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276" w:lineRule="auto"/>
        <w:ind w:left="0" w:firstLine="0"/>
        <w:rPr/>
      </w:pPr>
      <w:bookmarkStart w:colFirst="0" w:colLast="0" w:name="_heading=h.hygxx3xti9wx" w:id="11"/>
      <w:bookmarkEnd w:id="11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4719747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vfmo26w0q7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Team Members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83p4t59c30dq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Risk Management Approach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l9yhn2s71ab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Risk Breakdown Structure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0cd7j76tcl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Opportunità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uhwzgods4ml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Risk Register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line="276" w:lineRule="auto"/>
        <w:ind w:left="0" w:firstLine="0"/>
        <w:rPr/>
      </w:pPr>
      <w:bookmarkStart w:colFirst="0" w:colLast="0" w:name="_heading=h.x2qjyk92yagq" w:id="12"/>
      <w:bookmarkEnd w:id="12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="240" w:lineRule="auto"/>
        <w:ind w:left="0" w:right="-286.65354330708624" w:firstLine="0"/>
        <w:rPr/>
      </w:pPr>
      <w:r w:rsidDel="00000000" w:rsidR="00000000" w:rsidRPr="00000000">
        <w:rPr>
          <w:rtl w:val="0"/>
        </w:rPr>
        <w:t xml:space="preserve">Il presente documento ha l’obiettivo di esaminare in dettaglio i potenziali rischi negativi associati al progetto. Questi rischi saranno elencati e aggiornati all’interno del registro dei rischi che sarà successivamente citato. Questo approccio permetterà di anticipare e eventualmente mitigare possibili problemi, garantendo una migliore pianificazione e successo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line="276" w:lineRule="auto"/>
        <w:ind w:left="0" w:firstLine="0"/>
        <w:rPr>
          <w:rFonts w:ascii="Open Sans" w:cs="Open Sans" w:eastAsia="Open Sans" w:hAnsi="Open Sans"/>
          <w:b w:val="0"/>
          <w:bCs w:val="0"/>
          <w:sz w:val="22"/>
          <w:szCs w:val="22"/>
        </w:rPr>
      </w:pPr>
      <w:bookmarkStart w:colFirst="0" w:colLast="0" w:name="_heading=h.83p4t59c30dq" w:id="13"/>
      <w:bookmarkEnd w:id="13"/>
      <w:r w:rsidDel="00000000" w:rsidR="00000000" w:rsidRPr="00000000">
        <w:rPr>
          <w:rtl w:val="0"/>
        </w:rPr>
        <w:t xml:space="preserve">2. Risk Management Approach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Subtitle"/>
        <w:spacing w:before="120" w:lineRule="auto"/>
        <w:ind w:left="0" w:right="-3.188976377952031" w:firstLine="0"/>
        <w:rPr>
          <w:b w:val="1"/>
          <w:bCs w:val="1"/>
        </w:rPr>
      </w:pPr>
      <w:bookmarkStart w:colFirst="0" w:colLast="0" w:name="_heading=h.4u21x4l3cw59" w:id="14"/>
      <w:bookmarkEnd w:id="14"/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Subtitle"/>
        <w:spacing w:after="240" w:before="240" w:lineRule="auto"/>
        <w:ind w:left="0" w:firstLine="0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3cwlvdpttl87" w:id="15"/>
      <w:bookmarkEnd w:id="15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Durante il ciclo di vita del progetto, la gestione dei rischi seguirà un processo iterativo di:</w:t>
      </w:r>
    </w:p>
    <w:p w:rsidR="00000000" w:rsidDel="00000000" w:rsidP="00000000" w:rsidRDefault="00000000" w:rsidRPr="00000000" w14:paraId="00000065">
      <w:pPr>
        <w:pStyle w:val="Subtitle"/>
        <w:numPr>
          <w:ilvl w:val="0"/>
          <w:numId w:val="2"/>
        </w:numPr>
        <w:spacing w:after="0" w:afterAutospacing="0" w:before="240" w:lineRule="auto"/>
        <w:ind w:firstLine="360"/>
        <w:rPr>
          <w:sz w:val="22"/>
          <w:szCs w:val="22"/>
        </w:rPr>
      </w:pPr>
      <w:bookmarkStart w:colFirst="0" w:colLast="0" w:name="_heading=h.3cwlvdpttl87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Identificazione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– Analisi dei rischi potenziali legati a tecnologia, persone, organizzazione e requisiti;</w:t>
        <w:br w:type="textWrapping"/>
      </w:r>
    </w:p>
    <w:p w:rsidR="00000000" w:rsidDel="00000000" w:rsidP="00000000" w:rsidRDefault="00000000" w:rsidRPr="00000000" w14:paraId="00000066">
      <w:pPr>
        <w:pStyle w:val="Subtitle"/>
        <w:numPr>
          <w:ilvl w:val="0"/>
          <w:numId w:val="2"/>
        </w:numPr>
        <w:spacing w:after="0" w:afterAutospacing="0" w:before="0" w:beforeAutospacing="0" w:lineRule="auto"/>
        <w:ind w:firstLine="360"/>
        <w:rPr>
          <w:sz w:val="22"/>
          <w:szCs w:val="22"/>
        </w:rPr>
      </w:pPr>
      <w:bookmarkStart w:colFirst="0" w:colLast="0" w:name="_heading=h.3cwlvdpttl87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Valutazione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– Stima di probabilità e impatto su scala qualitativa;</w:t>
        <w:br w:type="textWrapping"/>
      </w:r>
    </w:p>
    <w:p w:rsidR="00000000" w:rsidDel="00000000" w:rsidP="00000000" w:rsidRDefault="00000000" w:rsidRPr="00000000" w14:paraId="00000067">
      <w:pPr>
        <w:pStyle w:val="Subtitle"/>
        <w:numPr>
          <w:ilvl w:val="0"/>
          <w:numId w:val="2"/>
        </w:numPr>
        <w:spacing w:after="0" w:afterAutospacing="0" w:before="0" w:beforeAutospacing="0" w:lineRule="auto"/>
        <w:ind w:firstLine="360"/>
        <w:rPr>
          <w:sz w:val="22"/>
          <w:szCs w:val="22"/>
        </w:rPr>
      </w:pPr>
      <w:bookmarkStart w:colFirst="0" w:colLast="0" w:name="_heading=h.3cwlvdpttl87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Mitigazione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– Definizione di strategie preventive e piani di contingenza;</w:t>
        <w:br w:type="textWrapping"/>
      </w:r>
    </w:p>
    <w:p w:rsidR="00000000" w:rsidDel="00000000" w:rsidP="00000000" w:rsidRDefault="00000000" w:rsidRPr="00000000" w14:paraId="00000068">
      <w:pPr>
        <w:pStyle w:val="Subtitle"/>
        <w:numPr>
          <w:ilvl w:val="0"/>
          <w:numId w:val="2"/>
        </w:numPr>
        <w:spacing w:after="240" w:before="0" w:beforeAutospacing="0" w:lineRule="auto"/>
        <w:ind w:firstLine="360"/>
        <w:rPr>
          <w:sz w:val="22"/>
          <w:szCs w:val="22"/>
        </w:rPr>
      </w:pPr>
      <w:bookmarkStart w:colFirst="0" w:colLast="0" w:name="_heading=h.3cwlvdpttl87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Monitoraggio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– Revisione periodica del registro dei rischi durante tutto il ciclo di vita del progetto.</w:t>
      </w:r>
    </w:p>
    <w:p w:rsidR="00000000" w:rsidDel="00000000" w:rsidP="00000000" w:rsidRDefault="00000000" w:rsidRPr="00000000" w14:paraId="00000069">
      <w:pPr>
        <w:ind w:left="0" w:firstLine="0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  <w:t xml:space="preserve">L’identificazione avverrà all’inizio del progetto e sarà ripetuta se e quando necessario. Ogni due settimane, invece, i valori di probabilità e lo stato dei rischi saranno aggiornati.</w:t>
        <w:br w:type="textWrapping"/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Nel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Risk 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sarà contenuto il dettaglio dei rischi con ID, descrizione, causa, trigger, prevenzione, contingenza e assegnazione al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2"/>
          <w:szCs w:val="22"/>
          <w:rtl w:val="0"/>
        </w:rPr>
        <w:t xml:space="preserve">risk owner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Subtitle"/>
        <w:ind w:left="0" w:firstLine="0"/>
        <w:rPr/>
      </w:pPr>
      <w:bookmarkStart w:colFirst="0" w:colLast="0" w:name="_heading=h.3cwlvdpttl8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Subtitle"/>
        <w:ind w:left="0" w:firstLine="0"/>
        <w:rPr>
          <w:b w:val="1"/>
          <w:bCs w:val="1"/>
        </w:rPr>
      </w:pPr>
      <w:bookmarkStart w:colFirst="0" w:colLast="0" w:name="_heading=h.67m44cepdip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Subtitle"/>
        <w:ind w:left="0" w:firstLine="0"/>
        <w:rPr>
          <w:b w:val="1"/>
          <w:bCs w:val="1"/>
        </w:rPr>
      </w:pPr>
      <w:bookmarkStart w:colFirst="0" w:colLast="0" w:name="_heading=h.d8ftm8k47vt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Subtitle"/>
        <w:ind w:left="0" w:firstLine="0"/>
        <w:rPr>
          <w:b w:val="1"/>
          <w:bCs w:val="1"/>
        </w:rPr>
      </w:pPr>
      <w:bookmarkStart w:colFirst="0" w:colLast="0" w:name="_heading=h.klp3w2wq06x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Subtitle"/>
        <w:ind w:left="0" w:firstLine="0"/>
        <w:rPr>
          <w:b w:val="1"/>
          <w:bCs w:val="1"/>
        </w:rPr>
      </w:pPr>
      <w:bookmarkStart w:colFirst="0" w:colLast="0" w:name="_heading=h.nh77wifj9k7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Subtitle"/>
        <w:ind w:left="0" w:firstLine="0"/>
        <w:rPr>
          <w:b w:val="1"/>
          <w:bCs w:val="1"/>
        </w:rPr>
      </w:pPr>
      <w:bookmarkStart w:colFirst="0" w:colLast="0" w:name="_heading=h.4tk1qz8efpf5" w:id="20"/>
      <w:bookmarkEnd w:id="20"/>
      <w:r w:rsidDel="00000000" w:rsidR="00000000" w:rsidRPr="00000000">
        <w:rPr>
          <w:b w:val="1"/>
          <w:bCs w:val="1"/>
          <w:rtl w:val="0"/>
        </w:rPr>
        <w:t xml:space="preserve">2.2 Ruoli e responsabilità </w:t>
      </w:r>
    </w:p>
    <w:p w:rsidR="00000000" w:rsidDel="00000000" w:rsidP="00000000" w:rsidRDefault="00000000" w:rsidRPr="00000000" w14:paraId="00000070">
      <w:pPr>
        <w:pStyle w:val="Subtitle"/>
        <w:spacing w:after="240" w:before="240" w:lineRule="auto"/>
        <w:ind w:left="0" w:firstLine="0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ojsjp7m2da7r" w:id="21"/>
      <w:bookmarkEnd w:id="21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La gestione dei rischi sarà a carico dei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Project Managers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che avranno il compito di aggiornare periodicamente il registro dei rischi, coordinare i sottogruppi di sviluppo e validazione e applicare le strategie di mitigazione definite. Ogni rischio viene assegnato a un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risk owner, che sarà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responsabile del suo monitoraggio operativo.</w:t>
      </w:r>
    </w:p>
    <w:p w:rsidR="00000000" w:rsidDel="00000000" w:rsidP="00000000" w:rsidRDefault="00000000" w:rsidRPr="00000000" w14:paraId="00000071">
      <w:pPr>
        <w:pStyle w:val="Subtitle"/>
        <w:ind w:left="0" w:firstLine="0"/>
        <w:rPr>
          <w:b w:val="1"/>
          <w:bCs w:val="1"/>
        </w:rPr>
      </w:pPr>
      <w:bookmarkStart w:colFirst="0" w:colLast="0" w:name="_heading=h.5ccnw961rllx" w:id="22"/>
      <w:bookmarkEnd w:id="22"/>
      <w:r w:rsidDel="00000000" w:rsidR="00000000" w:rsidRPr="00000000">
        <w:rPr>
          <w:b w:val="1"/>
          <w:bCs w:val="1"/>
          <w:rtl w:val="0"/>
        </w:rPr>
        <w:t xml:space="preserve">2.3 Budget e Schedule</w:t>
      </w:r>
    </w:p>
    <w:p w:rsidR="00000000" w:rsidDel="00000000" w:rsidP="00000000" w:rsidRDefault="00000000" w:rsidRPr="00000000" w14:paraId="00000072">
      <w:pPr>
        <w:pStyle w:val="Subtitle"/>
        <w:spacing w:after="240" w:before="240" w:lineRule="auto"/>
        <w:ind w:left="0" w:firstLine="0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ln740qr6snmq" w:id="23"/>
      <w:bookmarkEnd w:id="23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Il processo di Risk Management utilizzerà circa il 15% del tempo di gestione complessivo dei PM, distribuito su tutte le fasi di del progetto, dall’inizio alla fine.</w:t>
      </w:r>
    </w:p>
    <w:p w:rsidR="00000000" w:rsidDel="00000000" w:rsidP="00000000" w:rsidRDefault="00000000" w:rsidRPr="00000000" w14:paraId="00000073">
      <w:pPr>
        <w:pStyle w:val="Subtitle"/>
        <w:ind w:left="0" w:firstLine="0"/>
        <w:rPr>
          <w:b w:val="1"/>
          <w:bCs w:val="1"/>
        </w:rPr>
      </w:pPr>
      <w:bookmarkStart w:colFirst="0" w:colLast="0" w:name="_heading=h.osz9yjn1ii4t" w:id="24"/>
      <w:bookmarkEnd w:id="24"/>
      <w:r w:rsidDel="00000000" w:rsidR="00000000" w:rsidRPr="00000000">
        <w:rPr>
          <w:b w:val="1"/>
          <w:bCs w:val="1"/>
          <w:rtl w:val="0"/>
        </w:rPr>
        <w:t xml:space="preserve">2.4 Categorie di Rischi</w:t>
      </w:r>
    </w:p>
    <w:p w:rsidR="00000000" w:rsidDel="00000000" w:rsidP="00000000" w:rsidRDefault="00000000" w:rsidRPr="00000000" w14:paraId="00000074">
      <w:pPr>
        <w:pStyle w:val="Subtitle"/>
        <w:spacing w:after="240" w:before="240" w:lineRule="auto"/>
        <w:ind w:left="0" w:firstLine="0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eebdgagpaff0" w:id="25"/>
      <w:bookmarkEnd w:id="25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Tutti i rischi individuati ricadono in una delle seguenti categorie individuate a monte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5">
      <w:pPr>
        <w:pStyle w:val="Subtitle"/>
        <w:numPr>
          <w:ilvl w:val="0"/>
          <w:numId w:val="3"/>
        </w:numPr>
        <w:spacing w:after="0" w:afterAutospacing="0" w:before="24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uoowwc8k2qei" w:id="26"/>
      <w:bookmarkEnd w:id="26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Organizzativi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legati ad una pianificazione errata, ritardi, gestione inadeguata delle milestone;</w:t>
      </w:r>
    </w:p>
    <w:p w:rsidR="00000000" w:rsidDel="00000000" w:rsidP="00000000" w:rsidRDefault="00000000" w:rsidRPr="00000000" w14:paraId="00000076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r0wwilf2zp7c" w:id="27"/>
      <w:bookmarkEnd w:id="27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Persone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rischi legati a turnover, comunicazione inefficace o carichi di lavoro non bilanciati;</w:t>
      </w:r>
    </w:p>
    <w:p w:rsidR="00000000" w:rsidDel="00000000" w:rsidP="00000000" w:rsidRDefault="00000000" w:rsidRPr="00000000" w14:paraId="00000077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umo9b3fm0yo" w:id="28"/>
      <w:bookmarkEnd w:id="28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Requisiti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rischi legati ad ambiguità nei requisiti o modifiche tardive;</w:t>
      </w:r>
    </w:p>
    <w:p w:rsidR="00000000" w:rsidDel="00000000" w:rsidP="00000000" w:rsidRDefault="00000000" w:rsidRPr="00000000" w14:paraId="00000078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ia71t6c3w5c" w:id="29"/>
      <w:bookmarkEnd w:id="29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Stime di progetto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rischi relativi alle previsioni di budget e tempistiche del progetto;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8970nwnr82c2" w:id="30"/>
      <w:bookmarkEnd w:id="30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Sicurezza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rischi legati a violazioni GDPR, perdita dati, malfunzionamenti in situazioni critiche;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Subtitle"/>
        <w:numPr>
          <w:ilvl w:val="0"/>
          <w:numId w:val="3"/>
        </w:numPr>
        <w:spacing w:after="24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khufuxfpr11v" w:id="31"/>
      <w:bookmarkEnd w:id="31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Tecnologie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rischi legati a compatibilità, integrazione API, GPS, IA o infrastruttura cloud.</w:t>
      </w:r>
    </w:p>
    <w:p w:rsidR="00000000" w:rsidDel="00000000" w:rsidP="00000000" w:rsidRDefault="00000000" w:rsidRPr="00000000" w14:paraId="0000007B">
      <w:pPr>
        <w:pStyle w:val="Subtitle"/>
        <w:spacing w:after="240" w:before="240" w:lineRule="auto"/>
        <w:ind w:left="0" w:firstLine="0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eebdgagpaff0" w:id="25"/>
      <w:bookmarkEnd w:id="25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br w:type="textWrapping"/>
        <w:t xml:space="preserve"> I rischi sono descritti da:</w:t>
      </w:r>
    </w:p>
    <w:p w:rsidR="00000000" w:rsidDel="00000000" w:rsidP="00000000" w:rsidRDefault="00000000" w:rsidRPr="00000000" w14:paraId="0000007C">
      <w:pPr>
        <w:pStyle w:val="Subtitle"/>
        <w:numPr>
          <w:ilvl w:val="0"/>
          <w:numId w:val="1"/>
        </w:numPr>
        <w:spacing w:after="0" w:afterAutospacing="0" w:before="24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tglufr9tb4q7" w:id="32"/>
      <w:bookmarkEnd w:id="32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ID: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identificativo univoco del rischi;</w:t>
      </w:r>
    </w:p>
    <w:p w:rsidR="00000000" w:rsidDel="00000000" w:rsidP="00000000" w:rsidRDefault="00000000" w:rsidRPr="00000000" w14:paraId="0000007D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3bcsnv47tzo" w:id="33"/>
      <w:bookmarkEnd w:id="33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Rank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priorità del rischio, data dalla moltiplicazione tra probabilità e impatto.All’aumentare del valore aumenta in maniera proporzionale la priorità;</w:t>
      </w:r>
    </w:p>
    <w:p w:rsidR="00000000" w:rsidDel="00000000" w:rsidP="00000000" w:rsidRDefault="00000000" w:rsidRPr="00000000" w14:paraId="0000007E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x3ojridfuudm" w:id="34"/>
      <w:bookmarkEnd w:id="34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Nome;</w:t>
      </w:r>
    </w:p>
    <w:p w:rsidR="00000000" w:rsidDel="00000000" w:rsidP="00000000" w:rsidRDefault="00000000" w:rsidRPr="00000000" w14:paraId="0000007F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njg74dc61nu7" w:id="35"/>
      <w:bookmarkEnd w:id="35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Descrizione;</w:t>
      </w:r>
    </w:p>
    <w:p w:rsidR="00000000" w:rsidDel="00000000" w:rsidP="00000000" w:rsidRDefault="00000000" w:rsidRPr="00000000" w14:paraId="00000080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hfz0x0brhm2x" w:id="36"/>
      <w:bookmarkEnd w:id="36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Categoria;</w:t>
      </w:r>
    </w:p>
    <w:p w:rsidR="00000000" w:rsidDel="00000000" w:rsidP="00000000" w:rsidRDefault="00000000" w:rsidRPr="00000000" w14:paraId="00000081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1w1qhfx5wbzu" w:id="37"/>
      <w:bookmarkEnd w:id="37"/>
      <w:r w:rsidDel="00000000" w:rsidR="00000000" w:rsidRPr="00000000">
        <w:rPr>
          <w:rFonts w:ascii="Open Sans" w:cs="Open Sans" w:eastAsia="Open Sans" w:hAnsi="Open Sans"/>
          <w:sz w:val="8"/>
          <w:szCs w:val="8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Causa: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causa che originato il rischio;</w:t>
      </w:r>
    </w:p>
    <w:p w:rsidR="00000000" w:rsidDel="00000000" w:rsidP="00000000" w:rsidRDefault="00000000" w:rsidRPr="00000000" w14:paraId="00000082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qlb114sb2xdw" w:id="38"/>
      <w:bookmarkEnd w:id="38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Trigger: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segnali di presenza del rischio;</w:t>
      </w:r>
    </w:p>
    <w:p w:rsidR="00000000" w:rsidDel="00000000" w:rsidP="00000000" w:rsidRDefault="00000000" w:rsidRPr="00000000" w14:paraId="00000083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r9qw43h9uaq3" w:id="39"/>
      <w:bookmarkEnd w:id="39"/>
      <w:r w:rsidDel="00000000" w:rsidR="00000000" w:rsidRPr="00000000">
        <w:rPr>
          <w:rFonts w:ascii="Open Sans" w:cs="Open Sans" w:eastAsia="Open Sans" w:hAnsi="Open Sans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Prevenzione: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piano per prevenire che il rischio si verifichi, riducendo la probabilità; </w:t>
      </w:r>
    </w:p>
    <w:p w:rsidR="00000000" w:rsidDel="00000000" w:rsidP="00000000" w:rsidRDefault="00000000" w:rsidRPr="00000000" w14:paraId="00000084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a7q2w0d6pole" w:id="40"/>
      <w:bookmarkEnd w:id="40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Contingenza: 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piano per gestire il rischio che si è verificato e  ridurre il suo impatto;</w:t>
      </w:r>
    </w:p>
    <w:p w:rsidR="00000000" w:rsidDel="00000000" w:rsidP="00000000" w:rsidRDefault="00000000" w:rsidRPr="00000000" w14:paraId="00000085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rte3p5x6reip" w:id="41"/>
      <w:bookmarkEnd w:id="41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Preferenza: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preferenza tra prevenzione e contingenza, spiegandone il motivo;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4w4v7evx9pk2" w:id="42"/>
      <w:bookmarkEnd w:id="42"/>
      <w:r w:rsidDel="00000000" w:rsidR="00000000" w:rsidRPr="00000000">
        <w:rPr>
          <w:rFonts w:ascii="Open Sans" w:cs="Open Sans" w:eastAsia="Open Sans" w:hAnsi="Open Sans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Probabilità;</w:t>
      </w:r>
    </w:p>
    <w:p w:rsidR="00000000" w:rsidDel="00000000" w:rsidP="00000000" w:rsidRDefault="00000000" w:rsidRPr="00000000" w14:paraId="00000087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lip2ux7zc5vh" w:id="43"/>
      <w:bookmarkEnd w:id="43"/>
      <w:r w:rsidDel="00000000" w:rsidR="00000000" w:rsidRPr="00000000">
        <w:rPr>
          <w:rFonts w:ascii="Open Sans" w:cs="Open Sans" w:eastAsia="Open Sans" w:hAnsi="Open Sans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Impatto;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Subtitle"/>
        <w:numPr>
          <w:ilvl w:val="0"/>
          <w:numId w:val="1"/>
        </w:numPr>
        <w:spacing w:after="240" w:before="0" w:beforeAutospacing="0" w:lineRule="auto"/>
        <w:ind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cexwkct7wa5d" w:id="44"/>
      <w:bookmarkEnd w:id="44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Risk Owner.</w:t>
      </w:r>
    </w:p>
    <w:p w:rsidR="00000000" w:rsidDel="00000000" w:rsidP="00000000" w:rsidRDefault="00000000" w:rsidRPr="00000000" w14:paraId="00000089">
      <w:pPr>
        <w:pStyle w:val="Subtitle"/>
        <w:ind w:left="0" w:firstLine="0"/>
        <w:rPr/>
      </w:pPr>
      <w:bookmarkStart w:colFirst="0" w:colLast="0" w:name="_heading=h.eebdgagpaff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Subtitle"/>
        <w:ind w:left="0" w:firstLine="0"/>
        <w:rPr>
          <w:b w:val="1"/>
          <w:bCs w:val="1"/>
        </w:rPr>
      </w:pPr>
      <w:bookmarkStart w:colFirst="0" w:colLast="0" w:name="_heading=h.ftuz0s9hariw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Subtitle"/>
        <w:ind w:left="0" w:firstLine="0"/>
        <w:rPr>
          <w:b w:val="1"/>
          <w:bCs w:val="1"/>
        </w:rPr>
      </w:pPr>
      <w:bookmarkStart w:colFirst="0" w:colLast="0" w:name="_heading=h.qani76yi9yj4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Subtitle"/>
        <w:ind w:left="0" w:firstLine="0"/>
        <w:rPr>
          <w:b w:val="1"/>
          <w:bCs w:val="1"/>
        </w:rPr>
      </w:pPr>
      <w:bookmarkStart w:colFirst="0" w:colLast="0" w:name="_heading=h.3vuieij8j7bv" w:id="47"/>
      <w:bookmarkEnd w:id="47"/>
      <w:r w:rsidDel="00000000" w:rsidR="00000000" w:rsidRPr="00000000">
        <w:rPr>
          <w:b w:val="1"/>
          <w:bCs w:val="1"/>
          <w:rtl w:val="0"/>
        </w:rPr>
        <w:t xml:space="preserve">2.5 Probabilità e impatto dei rischi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Nella seguente tabella vengono riportati le labels e i valori individuati per le probabilità: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84583670"/>
        <w:tag w:val="goog_rdk_0"/>
      </w:sdtPr>
      <w:sdtContent>
        <w:tbl>
          <w:tblPr>
            <w:tblStyle w:val="Table4"/>
            <w:tblW w:w="9762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81"/>
            <w:gridCol w:w="4881"/>
            <w:tblGridChange w:id="0">
              <w:tblGrid>
                <w:gridCol w:w="4881"/>
                <w:gridCol w:w="48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Probabilità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Valore stimato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Improbabile (IMP)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10%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Remoto (REM)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10–25%</w:t>
                </w:r>
              </w:p>
            </w:tc>
          </w:tr>
          <w:tr>
            <w:trPr>
              <w:cantSplit w:val="0"/>
              <w:trHeight w:val="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Probabile (PROB)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25–50%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Frequente (FRE)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50%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Nella tabella successiva, invece, vengono riportati le labels e i valori individuati per gli impatti: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04093151"/>
        <w:tag w:val="goog_rdk_1"/>
      </w:sdtPr>
      <w:sdtContent>
        <w:tbl>
          <w:tblPr>
            <w:tblStyle w:val="Table5"/>
            <w:tblW w:w="9762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81"/>
            <w:gridCol w:w="4881"/>
            <w:tblGridChange w:id="0">
              <w:tblGrid>
                <w:gridCol w:w="4881"/>
                <w:gridCol w:w="48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Impatto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Valore stimato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Basso (BAS)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Moderato (MOD)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25–50%</w:t>
                </w:r>
              </w:p>
            </w:tc>
          </w:tr>
          <w:tr>
            <w:trPr>
              <w:cantSplit w:val="0"/>
              <w:trHeight w:val="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Significativo (SIG)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50–75%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Catastrofico (CAT)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75%</w:t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line="276" w:lineRule="auto"/>
        <w:ind w:left="0" w:firstLine="0"/>
        <w:rPr/>
      </w:pPr>
      <w:bookmarkStart w:colFirst="0" w:colLast="0" w:name="_heading=h.l9yhn2s71abd" w:id="48"/>
      <w:bookmarkEnd w:id="48"/>
      <w:r w:rsidDel="00000000" w:rsidR="00000000" w:rsidRPr="00000000">
        <w:rPr>
          <w:rtl w:val="0"/>
        </w:rPr>
        <w:t xml:space="preserve">3. Risk Breakdown Structure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55350" cy="4991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535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line="276" w:lineRule="auto"/>
        <w:ind w:left="0" w:firstLine="0"/>
        <w:rPr/>
      </w:pPr>
      <w:bookmarkStart w:colFirst="0" w:colLast="0" w:name="_heading=h.aoz5jgkxd9dr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line="276" w:lineRule="auto"/>
        <w:ind w:left="0" w:firstLine="0"/>
        <w:rPr/>
      </w:pPr>
      <w:bookmarkStart w:colFirst="0" w:colLast="0" w:name="_heading=h.f0cd7j76tcli" w:id="50"/>
      <w:bookmarkEnd w:id="50"/>
      <w:r w:rsidDel="00000000" w:rsidR="00000000" w:rsidRPr="00000000">
        <w:rPr>
          <w:rtl w:val="0"/>
        </w:rPr>
        <w:t xml:space="preserve">4. Opportunità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Sebbene il presente documento sia focalizzato principalmente sull’identificazione e la mitigazione dei rischi, il progetto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SAfeGuard </w:t>
      </w:r>
      <w:r w:rsidDel="00000000" w:rsidR="00000000" w:rsidRPr="00000000">
        <w:rPr>
          <w:rtl w:val="0"/>
        </w:rPr>
        <w:t xml:space="preserve">presenta anche un numero consistente di opportunità strategiche e di crescita che meritano di essere annoverate, in quanto possono generare valore aggiunto sia per il team di progetto sia per gli stakeholder istituzionali coinvolti.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primo luogo, la collaborazione diretta con enti pubblici e istituzioni locali, in particolare la Protezione Civile, rappresenta un’opportunità di grande rilievo. Tale cooperazione non solo consente di validare le soluzioni sviluppate in un contesto reale e di alto impatto sociale, ma rafforza anche l’immagine del progetto come iniziativa di innovazione civica a beneficio della collettività.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 ulteriore elemento di valore risiede nella riusabilità e scalabilità della piattaforma.</w:t>
        <w:br w:type="textWrapping"/>
        <w:t xml:space="preserve">Le tecnologie e i moduli software realizzati per l’ambiente universitario possono essere facilmente adattati a scenari diversi. Ciò offre la possibilità, nel medio-lungo periodo, di estendere il progetto in chiave regionale o nazionale, aprendo prospettive di continuità e sostenibilità anche dopo la realizzazione del prodotto.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Il progetto costituisce inoltre un’occasione concreta di sviluppo e consolidamento di competenze avanzate per il team. Le attività legate all’integrazione del modulo di intelligenza artificiale favoriscono la crescita di competenze trasversali e di alto profilo tecnico, in linea con le esigenze del mercato ICT contemporaneo.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Infine,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SAfeGuard</w:t>
      </w:r>
      <w:r w:rsidDel="00000000" w:rsidR="00000000" w:rsidRPr="00000000">
        <w:rPr>
          <w:rtl w:val="0"/>
        </w:rPr>
        <w:t xml:space="preserve"> offre l’opportunità di creare un modello sperimentale di innovazione digitale nella pubblica amministrazione.</w:t>
        <w:br w:type="textWrapping"/>
        <w:t xml:space="preserve">Tale approccio potrebbe fungere da base per future iniziative progettuali.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line="276" w:lineRule="auto"/>
        <w:ind w:left="0" w:firstLine="0"/>
        <w:rPr/>
      </w:pPr>
      <w:bookmarkStart w:colFirst="0" w:colLast="0" w:name="_heading=h.uhwzgods4mlk" w:id="51"/>
      <w:bookmarkEnd w:id="51"/>
      <w:r w:rsidDel="00000000" w:rsidR="00000000" w:rsidRPr="00000000">
        <w:rPr>
          <w:rtl w:val="0"/>
        </w:rPr>
        <w:t xml:space="preserve">5. Risk Register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Il registro dei rischi aggiornato è stato scritto, per motivi di leggibilità, come foglio di lavoro.</w:t>
        <w:br w:type="textWrapping"/>
        <w:t xml:space="preserve">Per visionare tale registro si rimanda al seguente link: </w:t>
      </w: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2025_C08_RiskRegister</w:t>
        </w:r>
      </w:hyperlink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default"/>
      <w:footerReference r:id="rId26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spacing w:line="240" w:lineRule="auto"/>
      <w:ind w:left="0" w:firstLine="0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RMP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52"/>
    <w:bookmarkEnd w:id="52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53"/>
    <w:bookmarkEnd w:id="5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4gzw035xat05" w:id="54"/>
    <w:bookmarkEnd w:id="54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B7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V.DIGENNARO5@STUDENTI.UNISA.IT" TargetMode="External"/><Relationship Id="rId22" Type="http://schemas.openxmlformats.org/officeDocument/2006/relationships/hyperlink" Target="https://docs.google.com/spreadsheets/d/1a3nhaoNbWTQGPtS8N54c6TJu8Jr509rKNC2mpu7rL1M/edit?usp=drive_link" TargetMode="External"/><Relationship Id="rId21" Type="http://schemas.openxmlformats.org/officeDocument/2006/relationships/image" Target="media/image2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G.NAPOLITANO80@STUDENTI.UNISA.IT" TargetMode="External"/><Relationship Id="rId11" Type="http://schemas.openxmlformats.org/officeDocument/2006/relationships/hyperlink" Target="mailto:A.MASONE1@STUDENTI.UNISA.IT" TargetMode="External"/><Relationship Id="rId10" Type="http://schemas.openxmlformats.org/officeDocument/2006/relationships/hyperlink" Target="mailto:A.AMENDOLA51@STUDENTI.UNISA.IT" TargetMode="External"/><Relationship Id="rId13" Type="http://schemas.openxmlformats.org/officeDocument/2006/relationships/hyperlink" Target="mailto:F.CARBONE50@STUDENTI.UNISA.IT" TargetMode="External"/><Relationship Id="rId12" Type="http://schemas.openxmlformats.org/officeDocument/2006/relationships/hyperlink" Target="mailto:A.CASTELLUCCIO16@STUDENTI.UNISA.IT" TargetMode="External"/><Relationship Id="rId15" Type="http://schemas.openxmlformats.org/officeDocument/2006/relationships/hyperlink" Target="mailto:G.AQUILONE1@STUDENTI.UNISA.IT" TargetMode="External"/><Relationship Id="rId14" Type="http://schemas.openxmlformats.org/officeDocument/2006/relationships/hyperlink" Target="mailto:F.ZAMBRINO@STUDENTI.UNISA.IT" TargetMode="External"/><Relationship Id="rId17" Type="http://schemas.openxmlformats.org/officeDocument/2006/relationships/hyperlink" Target="mailto:G.LAMBERTI55@STUDENTI.UNISA.IT" TargetMode="External"/><Relationship Id="rId16" Type="http://schemas.openxmlformats.org/officeDocument/2006/relationships/hyperlink" Target="mailto:G.ZAZZERINI@STUDENTI.UNISA.IT" TargetMode="External"/><Relationship Id="rId19" Type="http://schemas.openxmlformats.org/officeDocument/2006/relationships/hyperlink" Target="mailto:T.MERCANDINO@STUDENTI.UNISA.IT" TargetMode="External"/><Relationship Id="rId18" Type="http://schemas.openxmlformats.org/officeDocument/2006/relationships/hyperlink" Target="mailto:M.MANGANIELLO15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Nd6wfWRxUjOdFfHYhHfirdktUg==">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