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720658" cy="199924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6967" r="69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color w:val="674ea7"/>
          <w:sz w:val="60"/>
          <w:szCs w:val="60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60"/>
          <w:szCs w:val="60"/>
          <w:rtl w:val="0"/>
        </w:rPr>
        <w:t xml:space="preserve">Minuta Meeting n°[11]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iCs w:val="1"/>
          <w:sz w:val="24"/>
          <w:szCs w:val="24"/>
          <w:rtl w:val="0"/>
        </w:rPr>
        <w:t xml:space="preserve">24/11/2025</w:t>
      </w: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Inizio: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18:30</w:t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Fine: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19:45</w:t>
            </w:r>
          </w:p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Luogo: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Canale di comunicazione (Discord)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Primary Facilitator: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GN, 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ind w:left="708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Timekeeper: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PS</w:t>
            </w:r>
          </w:p>
          <w:p w:rsidR="00000000" w:rsidDel="00000000" w:rsidP="00000000" w:rsidRDefault="00000000" w:rsidRPr="00000000" w14:paraId="0000000C">
            <w:pPr>
              <w:widowControl w:val="0"/>
              <w:ind w:left="708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Minute Taker: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FC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Presenti: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Amendola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Alessandro Masone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Antonello Castelluccio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Carbone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Zambrino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Gianpaolo Aquilone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Giorgio Zazzerini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Giovanni Lamberti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GL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Matteo Manganiello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Victor Di Gennaro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VDG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            Assenti: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TM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1"/>
        <w:keepLines w:val="1"/>
        <w:jc w:val="both"/>
        <w:rPr>
          <w:rFonts w:ascii="Garamond" w:cs="Garamond" w:eastAsia="Garamond" w:hAnsi="Garamond"/>
        </w:rPr>
      </w:pPr>
      <w:bookmarkStart w:colFirst="0" w:colLast="0" w:name="_heading=h.r5a64fl6o6n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before="480" w:lineRule="auto"/>
        <w:rPr>
          <w:sz w:val="26"/>
          <w:szCs w:val="26"/>
        </w:rPr>
      </w:pPr>
      <w:bookmarkStart w:colFirst="0" w:colLast="0" w:name="_heading=h.s0l2uflm1sa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5"/>
        </w:numPr>
        <w:spacing w:before="480" w:lineRule="auto"/>
        <w:ind w:left="360" w:hanging="360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heading=h.xhnk3zumhhr" w:id="2"/>
      <w:bookmarkEnd w:id="2"/>
      <w:r w:rsidDel="00000000" w:rsidR="00000000" w:rsidRPr="00000000">
        <w:rPr>
          <w:sz w:val="26"/>
          <w:szCs w:val="26"/>
          <w:rtl w:val="0"/>
        </w:rPr>
        <w:t xml:space="preserve">Obiettivo: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Il meeting ha l’obiettivo di revisionare lo stato di implementazione delle prime funzionalità del sistema e verificare eventuali criticità o necessità di riallineamento. In seguito, saranno assegnate le funzionalità successive e ridefiniti i gruppi di lavoro.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2. Comunicazioni 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min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tabs>
          <w:tab w:val="left" w:leader="none" w:pos="1451"/>
        </w:tabs>
        <w:spacing w:before="109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Aggiornamento sulla matrice di tracciabilità dei requisiti. (10 minuti)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bookmarkStart w:colFirst="0" w:colLast="0" w:name="_heading=h.fx0shc5tr6tg" w:id="3"/>
      <w:bookmarkEnd w:id="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3. Status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/>
      </w:pPr>
      <w:bookmarkStart w:colFirst="0" w:colLast="0" w:name="_heading=h.71db8rb81c7q" w:id="4"/>
      <w:bookmarkEnd w:id="4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3.1. Attività pianificate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455"/>
        <w:gridCol w:w="1680"/>
        <w:gridCol w:w="960"/>
        <w:gridCol w:w="690"/>
        <w:tblGridChange w:id="0">
          <w:tblGrid>
            <w:gridCol w:w="1905"/>
            <w:gridCol w:w="1455"/>
            <w:gridCol w:w="1680"/>
            <w:gridCol w:w="960"/>
            <w:gridCol w:w="69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di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3.2.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50"/>
        <w:gridCol w:w="1170"/>
        <w:gridCol w:w="930"/>
        <w:gridCol w:w="1410"/>
        <w:gridCol w:w="810"/>
        <w:gridCol w:w="1605"/>
        <w:gridCol w:w="1290"/>
        <w:gridCol w:w="690"/>
        <w:tblGridChange w:id="0">
          <w:tblGrid>
            <w:gridCol w:w="1335"/>
            <w:gridCol w:w="1350"/>
            <w:gridCol w:w="1170"/>
            <w:gridCol w:w="930"/>
            <w:gridCol w:w="1410"/>
            <w:gridCol w:w="810"/>
            <w:gridCol w:w="1605"/>
            <w:gridCol w:w="1290"/>
            <w:gridCol w:w="69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Effettiva di Compl.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bookmarkStart w:colFirst="0" w:colLast="0" w:name="_heading=h.6ay41egcq0q4" w:id="5"/>
      <w:bookmarkEnd w:id="5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4. Discussione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(tempo allocato: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52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240" w:line="24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[1]: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Revisione della prima funzionalità implementata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(15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before="240" w:line="360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[1.1]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Revisione della prima funzionalità e feedback dei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rFonts w:ascii="Garamond" w:cs="Garamond" w:eastAsia="Garamond" w:hAnsi="Garamond"/>
          <w:i w:val="1"/>
          <w:i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I[2]: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Revisione della seconda funzionalità implementata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(15 minuti)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[2.1]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Revisione della seconda funzionalità e feedback dei PM;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I[3]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Assegnazione delle funzionalità successive e individuazione dei nuovi sottogruppi di lavoro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minuti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1"/>
        </w:numPr>
        <w:tabs>
          <w:tab w:val="left" w:leader="none" w:pos="1451"/>
        </w:tabs>
        <w:spacing w:after="240" w:before="296" w:line="240" w:lineRule="auto"/>
        <w:ind w:left="1440" w:hanging="36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[3.1] </w:t>
      </w:r>
      <w:r w:rsidDel="00000000" w:rsidR="00000000" w:rsidRPr="00000000">
        <w:rPr>
          <w:rFonts w:ascii="Garamond" w:cs="Garamond" w:eastAsia="Garamond" w:hAnsi="Garamond"/>
          <w:b w:val="0"/>
          <w:bCs w:val="0"/>
          <w:rtl w:val="0"/>
        </w:rPr>
        <w:t xml:space="preserve">Assegnato ai vari gruppi il compito di completare eventuali feature minori mancanti, eventuali test ed integrazione tra le funzionalità implementate nel frontend e nel backend.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360" w:lineRule="auto"/>
        <w:ind w:left="1440" w:hanging="36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[3.2]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Per la fase di implementazione sono stati momentaneamente mantenuti gli stessi.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I[4]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Revisione Matrice di tracciabilità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rtl w:val="0"/>
        </w:rPr>
        <w:t xml:space="preserve">(5 minuti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 [4.1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]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Revisione della prima versione della matrice di tracciabilità dell’implementazione (GA) e feedback dei PM;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I[5]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Sessione Q&amp;A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rtl w:val="0"/>
        </w:rPr>
        <w:t xml:space="preserve">(2 minuti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0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5. Wrap up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tempo allocato: 3 minuti):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Garamond" w:cs="Garamond" w:eastAsia="Garamond" w:hAnsi="Garamo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3.0" w:type="dxa"/>
        <w:jc w:val="left"/>
        <w:tblInd w:w="-3.0" w:type="dxa"/>
        <w:tblLayout w:type="fixed"/>
        <w:tblLook w:val="0400"/>
      </w:tblPr>
      <w:tblGrid>
        <w:gridCol w:w="817"/>
        <w:gridCol w:w="1381"/>
        <w:gridCol w:w="1210"/>
        <w:gridCol w:w="870"/>
        <w:gridCol w:w="1422"/>
        <w:gridCol w:w="984"/>
        <w:gridCol w:w="1689"/>
        <w:gridCol w:w="720"/>
        <w:tblGridChange w:id="0">
          <w:tblGrid>
            <w:gridCol w:w="817"/>
            <w:gridCol w:w="1381"/>
            <w:gridCol w:w="1210"/>
            <w:gridCol w:w="870"/>
            <w:gridCol w:w="1422"/>
            <w:gridCol w:w="984"/>
            <w:gridCol w:w="1689"/>
            <w:gridCol w:w="720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Garamond" w:cs="Garamond" w:eastAsia="Garamond" w:hAnsi="Garamon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6. Data, ora e luogo del prossimo meeting: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line="240" w:lineRule="auto"/>
        <w:ind w:left="720" w:hanging="360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27/11/2025 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Luogo: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Canale di Comunicazione (Discord)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Century Gothic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15</wp:posOffset>
          </wp:positionH>
          <wp:positionV relativeFrom="paragraph">
            <wp:posOffset>1270</wp:posOffset>
          </wp:positionV>
          <wp:extent cx="657225" cy="657225"/>
          <wp:effectExtent b="0" l="0" r="0" t="0"/>
          <wp:wrapSquare wrapText="bothSides" distB="0" distT="0" distL="114300" distR="11430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rFonts w:ascii="Century Gothic" w:cs="Century Gothic" w:eastAsia="Century Gothic" w:hAnsi="Century Gothic"/>
        <w:color w:val="000000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7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sz w:val="24"/>
        <w:szCs w:val="24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- Prof.ssa F.Ferrucci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Garamond" w:cs="Garamond" w:eastAsia="Garamond" w:hAnsi="Garamond"/>
        <w:b w:val="1"/>
        <w:bCs w:val="1"/>
        <w:sz w:val="26"/>
        <w:szCs w:val="26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</w:pPr>
    <w:rPr>
      <w:color w:val="000000"/>
      <w:sz w:val="52"/>
      <w:szCs w:val="52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NormalTable0" w:customStyle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eWeb">
    <w:name w:val="Normal (Web)"/>
    <w:uiPriority w:val="99"/>
    <w:unhideWhenUsed w:val="1"/>
    <w:rsid w:val="001728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it-IT"/>
    </w:rPr>
  </w:style>
  <w:style w:type="paragraph" w:styleId="Paragrafoelenco">
    <w:name w:val="List Paragraph"/>
    <w:uiPriority w:val="34"/>
    <w:qFormat w:val="1"/>
    <w:rsid w:val="005D70EB"/>
    <w:pPr>
      <w:ind w:left="720"/>
      <w:contextualSpacing w:val="1"/>
    </w:pPr>
  </w:style>
  <w:style w:type="table" w:styleId="a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NotoSansSymbols-regular.ttf"/><Relationship Id="rId15" Type="http://schemas.openxmlformats.org/officeDocument/2006/relationships/font" Target="fonts/CenturyGothic-regular.ttf"/><Relationship Id="rId14" Type="http://schemas.openxmlformats.org/officeDocument/2006/relationships/font" Target="fonts/OpenSans-boldItalic.ttf"/><Relationship Id="rId17" Type="http://schemas.openxmlformats.org/officeDocument/2006/relationships/font" Target="fonts/CenturyGothic-italic.ttf"/><Relationship Id="rId16" Type="http://schemas.openxmlformats.org/officeDocument/2006/relationships/font" Target="fonts/CenturyGothic-bold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18" Type="http://schemas.openxmlformats.org/officeDocument/2006/relationships/font" Target="fonts/CenturyGothic-boldItalic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Lnw0JzIIYYJOlzz9plAphvhQvQ==">CgMxLjAyDmgucjVhNjRmbDZvNm52Mg5oLnMwbDJ1ZmxtMXNhZDINaC54aG5rM3p1bWhocjIOaC5meDBzaGM1dHI2dGcyDmguNzFkYjhyYjgxYzdxMg5oLjZheTQxZWdjcTBxNDgAciExWnVRQjB6ODJLOGpSc2NzdXZlam1KcTNRRmZSekNpN0I=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2025-11-24T16:29:00.0000000Z</dcterms:created>
</cp:coreProperties>
</file>