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after="140"/>
      </w:pPr>
      <w:r>
        <w:rPr>
          <w:rFonts w:ascii="Arial" w:hAnsi="Arial" w:eastAsia="Arial" w:cs="Arial"/>
          <w:b/>
          <w:i w:val="0"/>
          <w:color w:val="000000"/>
          <w:sz w:val="44"/>
        </w:rPr>
        <w:t>Согласование целей и команд кластеров</w:t>
      </w:r>
    </w:p>
    <w:p>
      <w:pPr>
        <w:keepNext w:val="0"/>
        <w:widowControl/>
        <w:spacing w:after="220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Второе полугодие 2026 года</w:t>
      </w:r>
    </w:p>
    <w:p>
      <w:pPr>
        <w:keepNext w:val="0"/>
        <w:widowControl/>
        <w:spacing w:after="200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Рабочая форма для обсуждения формулировок целей, состава участников и спорных назначений. По заполненным полям правок будет обновлена HTML-страница.</w:t>
      </w:r>
    </w:p>
    <w:p>
      <w:pPr>
        <w:pStyle w:val="Heading2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6"/>
        </w:rPr>
        <w:t>Как вносить правки</w:t>
      </w:r>
    </w:p>
    <w:p>
      <w:pPr>
        <w:pStyle w:val="ListNumber"/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Прочитайте текущую цель и ее применимость. Если формулировка меняется, впишите полный новый текст в поле «Предлагаемая формулировка».</w:t>
      </w:r>
    </w:p>
    <w:p>
      <w:pPr>
        <w:pStyle w:val="ListNumber"/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В таблице найдите лидера. В колонке «Правка участников» укажите весь итоговый список команд через точку с запятой. Для исключения кластера из этой цели напишите «Не участвует».</w:t>
      </w:r>
    </w:p>
    <w:p>
      <w:pPr>
        <w:pStyle w:val="ListNumber"/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Добавьте пояснение: почему меняется состав, какое старое название заменяется или как решен вопрос из средней колонки. Если правка не нужна, поле можно оставить пустым.</w:t>
      </w:r>
    </w:p>
    <w:p>
      <w:pPr>
        <w:pStyle w:val="ListNumber"/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В поле «Проверка этой цели» замените «Не проверено» на «Проверено без правок», «Есть правки» или «Требует обсуждения». Это статус проверки документа, а не выполнения цели.</w:t>
      </w:r>
    </w:p>
    <w:p>
      <w:pPr>
        <w:pStyle w:val="ListNumber"/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Сохраняйте коды целей и названия лидеров. Нового лидера можно добавить строкой в нужную таблицу. Комментарии можно оставлять рядом с соответствующим текстом.</w:t>
      </w:r>
    </w:p>
    <w:p>
      <w:pPr>
        <w:keepNext w:val="0"/>
        <w:widowControl/>
        <w:spacing w:after="16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Пустое поле правки сохраняет исходное значение и не означает согласование.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Текст в квадратных скобках — подсказка. При заполнении замените его своим ответом.</w:t>
      </w:r>
    </w:p>
    <w:p>
      <w:pPr>
        <w:pStyle w:val="Heading2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6"/>
        </w:rPr>
        <w:t>Пример заполнения</w:t>
      </w:r>
    </w:p>
    <w:p>
      <w:pPr>
        <w:keepNext w:val="0"/>
        <w:widowControl/>
        <w:spacing w:after="16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Итоговый состав: Команда А; Команда Б. Пояснение: Команду В исключили, так как она не участвует в поставке данных. Указывайте полный список, а не только слова «добавить» или «убрать».</w:t>
      </w:r>
    </w:p>
    <w:p>
      <w:pPr>
        <w:pStyle w:val="Heading2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6"/>
        </w:rPr>
        <w:t>Что означают пояснения</w:t>
      </w:r>
    </w:p>
    <w:p>
      <w:pPr>
        <w:keepNext w:val="0"/>
        <w:widowControl/>
        <w:spacing w:after="12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«Подтвердить» — назначение или связь старого названия АС с текущей командой требует решения. «По применимости» — участие зависит от условий цели, например наличия новых АС, ИИ-агентов или загрузок в КАП.</w:t>
      </w:r>
    </w:p>
    <w:p>
      <w:pPr>
        <w:keepNext w:val="0"/>
        <w:widowControl/>
        <w:spacing w:after="20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«Мониторинг» — показатель отслеживается отдельно. «Цель снята» — обязательство на второе полугодие отменено. Вопросы для согласования находятся рядом с соответствующим лидером.</w:t>
      </w:r>
    </w:p>
    <w:p>
      <w:pPr>
        <w:pStyle w:val="Heading2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6"/>
        </w:rPr>
        <w:t>Переход к направлению</w:t>
      </w:r>
    </w:p>
    <w:p>
      <w:pPr>
        <w:keepNext w:val="0"/>
        <w:widowControl/>
        <w:spacing w:after="0"/>
      </w:pPr>
      <w:hyperlink w:anchor="dir_process">
        <w:r>
          <w:rPr>
            <w:color w:val="205E87"/>
            <w:u w:val="single"/>
            <w:sz w:val="21"/>
          </w:rPr>
          <w:t>Производственный процесс</w:t>
        </w:r>
      </w:hyperlink>
      <w:r>
        <w:rPr>
          <w:rFonts w:ascii="Arial" w:hAnsi="Arial" w:eastAsia="Arial" w:cs="Arial"/>
          <w:b w:val="0"/>
          <w:i w:val="0"/>
          <w:color w:val="59616A"/>
          <w:sz w:val="21"/>
        </w:rPr>
        <w:t xml:space="preserve">  /  </w:t>
      </w:r>
      <w:hyperlink w:anchor="dir_data">
        <w:r>
          <w:rPr>
            <w:color w:val="205E87"/>
            <w:u w:val="single"/>
            <w:sz w:val="21"/>
          </w:rPr>
          <w:t>Данные</w:t>
        </w:r>
      </w:hyperlink>
      <w:r>
        <w:rPr>
          <w:rFonts w:ascii="Arial" w:hAnsi="Arial" w:eastAsia="Arial" w:cs="Arial"/>
          <w:b w:val="0"/>
          <w:i w:val="0"/>
          <w:color w:val="59616A"/>
          <w:sz w:val="21"/>
        </w:rPr>
        <w:t xml:space="preserve">  /  </w:t>
      </w:r>
      <w:hyperlink w:anchor="dir_architecture">
        <w:r>
          <w:rPr>
            <w:color w:val="205E87"/>
            <w:u w:val="single"/>
            <w:sz w:val="21"/>
          </w:rPr>
          <w:t>Архитектура</w:t>
        </w:r>
      </w:hyperlink>
      <w:r>
        <w:rPr>
          <w:rFonts w:ascii="Arial" w:hAnsi="Arial" w:eastAsia="Arial" w:cs="Arial"/>
          <w:b w:val="0"/>
          <w:i w:val="0"/>
          <w:color w:val="59616A"/>
          <w:sz w:val="21"/>
        </w:rPr>
        <w:t xml:space="preserve">  /  </w:t>
      </w:r>
      <w:hyperlink w:anchor="dir_security">
        <w:r>
          <w:rPr>
            <w:color w:val="205E87"/>
            <w:u w:val="single"/>
            <w:sz w:val="21"/>
          </w:rPr>
          <w:t>Кибербезопасность и риски</w:t>
        </w:r>
      </w:hyperlink>
      <w:r>
        <w:rPr>
          <w:rFonts w:ascii="Arial" w:hAnsi="Arial" w:eastAsia="Arial" w:cs="Arial"/>
          <w:b w:val="0"/>
          <w:i w:val="0"/>
          <w:color w:val="59616A"/>
          <w:sz w:val="21"/>
        </w:rPr>
        <w:t xml:space="preserve">  /  </w:t>
      </w:r>
      <w:hyperlink w:anchor="dir_resources">
        <w:r>
          <w:rPr>
            <w:color w:val="205E87"/>
            <w:u w:val="single"/>
            <w:sz w:val="21"/>
          </w:rPr>
          <w:t>Ресурсы</w:t>
        </w:r>
      </w:hyperlink>
    </w:p>
    <w:p>
      <w:pPr>
        <w:pStyle w:val="Heading1"/>
        <w:pageBreakBefore/>
      </w:pPr>
      <w:bookmarkStart w:id="10" w:name="dir_process"/>
      <w:r>
        <w:rPr>
          <w:color w:val="000000"/>
        </w:rPr>
        <w:t>Производственный процесс</w:t>
      </w:r>
      <w:bookmarkEnd w:id="10"/>
    </w:p>
    <w:p>
      <w:pPr>
        <w:pStyle w:val="Heading2"/>
      </w:pPr>
      <w:bookmarkStart w:id="101" w:name="goal_OB26"/>
      <w:r>
        <w:rPr>
          <w:color w:val="000000"/>
        </w:rPr>
        <w:t>OB26 Сертификация AI-навыков</w:t>
      </w:r>
      <w:bookmarkEnd w:id="101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Командам нужно подтвердить AI-навыки разработчиков, аналитиков и тестировщиков через сертификацию.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Проведена сертификация и подтверждён целевой уровень AI-навыков у 90% всей целевой аудитории: разработчиков, аналитиков и тестировщиков.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разработчики, аналитики и тестировщики из целевой аудитории перечисленных команд.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2" w:name="goal_SW26"/>
      <w:r>
        <w:rPr>
          <w:color w:val="000000"/>
        </w:rPr>
        <w:t>SW26 Миграция на DreamJenkins</w:t>
      </w:r>
      <w:bookmarkEnd w:id="102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Все команды в скоупе цели должны завершить переход на DreamJenkins.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100% команд мигрировали на DreamJenkins.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Состав участников приведен по конкретным АС из PDF. Несовпадающие названия нужно согласовать.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SAM; T.Reports&amp;Analytics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команды «Вендор в команду» с АС «Заказ ИТ-ресурсов».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ППРБ. Управление потоком задач; Рабочее место сотрудника ОЦ; Управление каналом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Участие команды «Интеллектуальный цифровой руководитель» уточнить: в прежнем перечне АС она не названа.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SberBilling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три остальные текущие команды Попова с прежними АС КИД и «Услуги ДЗО».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Уточнить, какие текущие команды Андреева соответствуют AI HUB OPS.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SberRPA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Inventory Management с прежними АС из PDF: АСУР и РМ ИТ-поддержки.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3" w:name="goal_SW26_1"/>
      <w:r>
        <w:rPr>
          <w:color w:val="000000"/>
        </w:rPr>
        <w:t>SW26.1 Базовые практики модели зрелости</w:t>
      </w:r>
      <w:bookmarkEnd w:id="103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Команды должны применять базовый набор практик модели зрелости и подтверждать их выполнение.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80% команд исполняют практики начального уровня — гигиенического минимума — по модели зрелости.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команды перечисленных кластеров.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9">
        <w:r>
          <w:rPr>
            <w:rFonts w:ascii="Arial" w:hAnsi="Arial"/>
            <w:color w:val="225C80"/>
            <w:u w:val="single"/>
            <w:sz w:val="19"/>
          </w:rPr>
          <w:t>Дашборд модели зрелости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0">
        <w:r>
          <w:rPr>
            <w:rFonts w:ascii="Arial" w:hAnsi="Arial"/>
            <w:color w:val="225C80"/>
            <w:u w:val="single"/>
            <w:sz w:val="19"/>
          </w:rPr>
          <w:t>Описание модели зрелости</w:t>
        </w:r>
      </w:hyperlink>
    </w:p>
    <w:p>
      <w:pPr>
        <w:pStyle w:val="Heading2"/>
      </w:pPr>
      <w:bookmarkStart w:id="104" w:name="goal_SW26_2"/>
      <w:r>
        <w:rPr>
          <w:color w:val="000000"/>
        </w:rPr>
        <w:t>SW26.2 Плотность дефектов «Высокий+»</w:t>
      </w:r>
      <w:bookmarkEnd w:id="104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Каждая команда сверяет плотность значимых дефектов со своим индивидуальным целевым значением.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90% команд ДИТ достигли индивидуальных значений плотности дефектов ИФТ + ПСИ + ПРОМ приоритетов «Высокий+» согласно методике.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команды. Индивидуальные целевые значения определяются по методике.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5" w:name="goal_SW26_3"/>
      <w:r>
        <w:rPr>
          <w:color w:val="000000"/>
        </w:rPr>
        <w:t>SW26.3 Сокращение тестирования на интеграционных полигонах</w:t>
      </w:r>
      <w:bookmarkEnd w:id="105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Команды сокращают длительность тестирования на интеграционных полигонах до своих индивидуальных ориентиров.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90% команд ДИТ достигли индивидуальных значений по снижению длительности проведения тестирования на интеграционных полигонах согласно методике.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команды. Индивидуальные сроки тестирования определяются по методике.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6" w:name="goal_SW26_4"/>
      <w:r>
        <w:rPr>
          <w:color w:val="000000"/>
        </w:rPr>
        <w:t>SW26.4 Переход с DataHub API на целевые тракты</w:t>
      </w:r>
      <w:bookmarkEnd w:id="106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Потребителям данных производственного процесса нужно выполнить согласованный план перехода с DataHub API.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Выполнение работ согласно утверждённым в Q1’26 планам перехода на целевые тракты поставки аналитики и данных производственного процесса.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участие Вольновой и назвать команды. В списке руководителей она есть, но конкретная АС в строке — TReports Канаева.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7" w:name="goal_SW26_8"/>
      <w:r>
        <w:rPr>
          <w:color w:val="000000"/>
        </w:rPr>
        <w:t>SW26.8 Рост количества story на сотрудника</w:t>
      </w:r>
      <w:bookmarkEnd w:id="107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Продукты должны увеличить количество story всех уровней сложности в расчёте на сотрудника.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Рост количества story всех уровней сложности на сотрудника на 50%.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продукты перечисленных кластеров.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8" w:name="goal_SW26_11"/>
      <w:r>
        <w:rPr>
          <w:color w:val="000000"/>
        </w:rPr>
        <w:t>SW26.11 Доля ИИ-кода, дошедшего до ПРОМ</w:t>
      </w:r>
      <w:bookmarkEnd w:id="108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Целевой показатель уточняется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Показатель должен учитывать долю ИИ-кода, дошедшего до промышленной эксплуатации, после уточнения цели.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Доля ИИ-кода, дошедшего до ПРОМ: целевое значение уточняется (tbd).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продукты. До согласования числового значения требуется уточнить показатель и методику.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09" w:name="goal_SW26_12"/>
      <w:r>
        <w:rPr>
          <w:color w:val="000000"/>
        </w:rPr>
        <w:t>SW26.12 Переход команд на SDD</w:t>
      </w:r>
      <w:bookmarkEnd w:id="109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Целевой показатель уточняется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Для перехода на SDD требуется уточнить целевое количество команд и критерии перехода.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Количество команд, перешедших на SDD-подход: целевое значение уточняется (tbd).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продукты. Требуется согласовать число команд и критерии перехода на SDD.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1"/>
        <w:pageBreakBefore/>
      </w:pPr>
      <w:bookmarkStart w:id="11" w:name="dir_data"/>
      <w:r>
        <w:rPr>
          <w:color w:val="000000"/>
        </w:rPr>
        <w:t>Данные</w:t>
      </w:r>
      <w:bookmarkEnd w:id="11"/>
    </w:p>
    <w:p>
      <w:pPr>
        <w:pStyle w:val="Heading2"/>
      </w:pPr>
      <w:bookmarkStart w:id="110" w:name="goal_SD02_19"/>
      <w:r>
        <w:rPr>
          <w:color w:val="000000"/>
        </w:rPr>
        <w:t>SD02.19 Контракты и оферты на поставку данных</w:t>
      </w:r>
      <w:bookmarkEnd w:id="110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Все поставки данных в скоупе цели должны быть оформлены контрактами и опубликованными офертами.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Заключено 100% контрактов, опубликовано 100% оферт.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 Для ИСУ ОЦ определить текущую команду.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1">
        <w:r>
          <w:rPr>
            <w:rFonts w:ascii="Arial" w:hAnsi="Arial"/>
            <w:color w:val="225C80"/>
            <w:u w:val="single"/>
            <w:sz w:val="19"/>
          </w:rPr>
          <w:t>Мониторинг контрактов и оферт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2">
        <w:r>
          <w:rPr>
            <w:rFonts w:ascii="Arial" w:hAnsi="Arial"/>
            <w:color w:val="225C80"/>
            <w:u w:val="single"/>
            <w:sz w:val="19"/>
          </w:rPr>
          <w:t>Информация о целях надёжности</w:t>
        </w:r>
      </w:hyperlink>
    </w:p>
    <w:p>
      <w:pPr>
        <w:pStyle w:val="Heading2"/>
      </w:pPr>
      <w:bookmarkStart w:id="111" w:name="goal_SD03_19"/>
      <w:r>
        <w:rPr>
          <w:color w:val="000000"/>
        </w:rPr>
        <w:t>SD03.19 Бизнес-процесс во фронтальных контрактах</w:t>
      </w:r>
      <w:bookmarkEnd w:id="111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Во всех фронтальных контрактах в скоупе должен быть указан соответствующий бизнес-процесс.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В 100% фронтальных контрактов указан бизнес-процесс.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 Для ИСУ ОЦ определить текущую команду.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1">
        <w:r>
          <w:rPr>
            <w:rFonts w:ascii="Arial" w:hAnsi="Arial"/>
            <w:color w:val="225C80"/>
            <w:u w:val="single"/>
            <w:sz w:val="19"/>
          </w:rPr>
          <w:t>Дашборд контрактов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3">
        <w:r>
          <w:rPr>
            <w:rFonts w:ascii="Arial" w:hAnsi="Arial"/>
            <w:color w:val="225C80"/>
            <w:u w:val="single"/>
            <w:sz w:val="19"/>
          </w:rPr>
          <w:t>Описание цели</w:t>
        </w:r>
      </w:hyperlink>
    </w:p>
    <w:p>
      <w:pPr>
        <w:pStyle w:val="Heading2"/>
      </w:pPr>
      <w:bookmarkStart w:id="112" w:name="goal_SD04_19"/>
      <w:r>
        <w:rPr>
          <w:color w:val="000000"/>
        </w:rPr>
        <w:t>SD04.19 Исполнение оферт на поставку данных</w:t>
      </w:r>
      <w:bookmarkEnd w:id="112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Команды контролируют выполнение обязательств по офертам на поставку данных.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Выполняется цель 98% по исполнению оферт.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 Для ИСУ ОЦ определить текущую команду.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4">
        <w:r>
          <w:rPr>
            <w:rFonts w:ascii="Arial" w:hAnsi="Arial"/>
            <w:color w:val="225C80"/>
            <w:u w:val="single"/>
            <w:sz w:val="19"/>
          </w:rPr>
          <w:t>Дашборд исполнения оферт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5">
        <w:r>
          <w:rPr>
            <w:rFonts w:ascii="Arial" w:hAnsi="Arial"/>
            <w:color w:val="225C80"/>
            <w:u w:val="single"/>
            <w:sz w:val="19"/>
          </w:rPr>
          <w:t>Скоуп и материалы по цели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6">
        <w:r>
          <w:rPr>
            <w:rFonts w:ascii="Arial" w:hAnsi="Arial"/>
            <w:color w:val="225C80"/>
            <w:u w:val="single"/>
            <w:sz w:val="19"/>
          </w:rPr>
          <w:t>Методика расчёта</w:t>
        </w:r>
      </w:hyperlink>
    </w:p>
    <w:p>
      <w:pPr>
        <w:pStyle w:val="Heading2"/>
      </w:pPr>
      <w:bookmarkStart w:id="113" w:name="goal_SD23_16"/>
      <w:r>
        <w:rPr>
          <w:color w:val="000000"/>
        </w:rPr>
        <w:t>SD23.16 Базовые проверки качества критичных данных</w:t>
      </w:r>
      <w:bookmarkEnd w:id="113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В офертах с контрактами нужно описать базовые проверки качества выявленных критичных данных.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50% оферт с контрактами имеют заполненный раздел по базовым проверкам качества данных для выявленных критичных данных (CDE).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команды с офертами и контрактами на выявленные критичные данные CDE. Фактический перечень оферт нужно подтвердить.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7">
        <w:r>
          <w:rPr>
            <w:rFonts w:ascii="Arial" w:hAnsi="Arial"/>
            <w:color w:val="225C80"/>
            <w:u w:val="single"/>
            <w:sz w:val="19"/>
          </w:rPr>
          <w:t>Описание цели и выгрузка</w:t>
        </w:r>
      </w:hyperlink>
    </w:p>
    <w:p>
      <w:pPr>
        <w:pStyle w:val="Heading2"/>
      </w:pPr>
      <w:bookmarkStart w:id="114" w:name="goal_SD25_15"/>
      <w:r>
        <w:rPr>
          <w:color w:val="000000"/>
        </w:rPr>
        <w:t>SD25.15 Владельцы данных в АС вне КАП</w:t>
      </w:r>
      <w:bookmarkEnd w:id="114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Для данных АС в скоупе за пределами КАП должны быть назначены владельцы.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Назначено 100% владельцев данных в АС, кроме КАП.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8">
        <w:r>
          <w:rPr>
            <w:rFonts w:ascii="Arial" w:hAnsi="Arial"/>
            <w:color w:val="225C80"/>
            <w:u w:val="single"/>
            <w:sz w:val="19"/>
          </w:rPr>
          <w:t>Дашборд владельцев данных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9">
        <w:r>
          <w:rPr>
            <w:rFonts w:ascii="Arial" w:hAnsi="Arial"/>
            <w:color w:val="225C80"/>
            <w:u w:val="single"/>
            <w:sz w:val="19"/>
          </w:rPr>
          <w:t>Описание цели</w:t>
        </w:r>
      </w:hyperlink>
    </w:p>
    <w:p>
      <w:pPr>
        <w:pStyle w:val="Heading2"/>
      </w:pPr>
      <w:bookmarkStart w:id="115" w:name="goal_SD26_15"/>
      <w:r>
        <w:rPr>
          <w:color w:val="000000"/>
        </w:rPr>
        <w:t>SD26.15 Владельцы данных объектов КАП</w:t>
      </w:r>
      <w:bookmarkEnd w:id="115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У всех объектов КАП в скоупе должны быть назначены владельцы данных.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Назначено 100% владельцев данных для всех объектов КАП.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18">
        <w:r>
          <w:rPr>
            <w:rFonts w:ascii="Arial" w:hAnsi="Arial"/>
            <w:color w:val="225C80"/>
            <w:u w:val="single"/>
            <w:sz w:val="19"/>
          </w:rPr>
          <w:t>Дашборд владельцев данных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19">
        <w:r>
          <w:rPr>
            <w:rFonts w:ascii="Arial" w:hAnsi="Arial"/>
            <w:color w:val="225C80"/>
            <w:u w:val="single"/>
            <w:sz w:val="19"/>
          </w:rPr>
          <w:t>Описание цели</w:t>
        </w:r>
      </w:hyperlink>
    </w:p>
    <w:p>
      <w:pPr>
        <w:pStyle w:val="Heading2"/>
      </w:pPr>
      <w:bookmarkStart w:id="116" w:name="goal_SD31_15"/>
      <w:r>
        <w:rPr>
          <w:color w:val="000000"/>
        </w:rPr>
        <w:t>SD31.15 Change Management в офертах</w:t>
      </w:r>
      <w:bookmarkEnd w:id="116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Во всех офертах в скоупе нужно заполнить раздел управления изменениями.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Раздел Change Management заполнен в 100% оферт.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АС, для которых оформляются оферты. Возможное расширение перечня АС необходимо подтвердить.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 Для ИСУ ОЦ определить текущую команду.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17" w:name="goal_SD34_12"/>
      <w:r>
        <w:rPr>
          <w:color w:val="000000"/>
        </w:rPr>
        <w:t>SD34.12 Подготовка источника к подключению к КАП</w:t>
      </w:r>
      <w:bookmarkEnd w:id="117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Подготовку источников к подключению к КАП нужно завершать в установленный срок.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Обеспечена длительность подготовки источников к подключению к КАП за 20 рабочих дней.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команды АС-источников при подготовке к подключению к КАП. Проверьте фактический перечень источников.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20">
        <w:r>
          <w:rPr>
            <w:rFonts w:ascii="Arial" w:hAnsi="Arial"/>
            <w:color w:val="225C80"/>
            <w:u w:val="single"/>
            <w:sz w:val="19"/>
          </w:rPr>
          <w:t>Мониторинг даты старта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1">
        <w:r>
          <w:rPr>
            <w:rFonts w:ascii="Arial" w:hAnsi="Arial"/>
            <w:color w:val="225C80"/>
            <w:u w:val="single"/>
            <w:sz w:val="19"/>
          </w:rPr>
          <w:t>Длительность подготовки источника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2">
        <w:r>
          <w:rPr>
            <w:rFonts w:ascii="Arial" w:hAnsi="Arial"/>
            <w:color w:val="225C80"/>
            <w:u w:val="single"/>
            <w:sz w:val="19"/>
          </w:rPr>
          <w:t>Дашборд для ГО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3">
        <w:r>
          <w:rPr>
            <w:rFonts w:ascii="Arial" w:hAnsi="Arial"/>
            <w:color w:val="225C80"/>
            <w:u w:val="single"/>
            <w:sz w:val="19"/>
          </w:rPr>
          <w:t>Описание цели</w:t>
        </w:r>
      </w:hyperlink>
    </w:p>
    <w:p>
      <w:pPr>
        <w:pStyle w:val="Heading2"/>
      </w:pPr>
      <w:bookmarkStart w:id="118" w:name="goal_SD37_10"/>
      <w:r>
        <w:rPr>
          <w:color w:val="000000"/>
        </w:rPr>
        <w:t>SD37.10 T2Data загрузки в КАП на Едином Репликаторе</w:t>
      </w:r>
      <w:bookmarkEnd w:id="118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Создание и расширение реплик на Едином Репликаторе должны укладываться в соответствующие сроки T2Data.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Обеспечена T2Data загрузки данных в КАП на Едином Репликаторе: создание реплики — 26 рабочих дней, расширение реплики — 18 рабочих дней.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команды при создании или расширении реплик на Едином Репликаторе.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24">
        <w:r>
          <w:rPr>
            <w:rFonts w:ascii="Arial" w:hAnsi="Arial"/>
            <w:color w:val="225C80"/>
            <w:u w:val="single"/>
            <w:sz w:val="19"/>
          </w:rPr>
          <w:t>Выполнение цели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5">
        <w:r>
          <w:rPr>
            <w:rFonts w:ascii="Arial" w:hAnsi="Arial"/>
            <w:color w:val="225C80"/>
            <w:u w:val="single"/>
            <w:sz w:val="19"/>
          </w:rPr>
          <w:t>Детализация по процентам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2">
        <w:r>
          <w:rPr>
            <w:rFonts w:ascii="Arial" w:hAnsi="Arial"/>
            <w:color w:val="225C80"/>
            <w:u w:val="single"/>
            <w:sz w:val="19"/>
          </w:rPr>
          <w:t>Дашборд для ГО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6">
        <w:r>
          <w:rPr>
            <w:rFonts w:ascii="Arial" w:hAnsi="Arial"/>
            <w:color w:val="225C80"/>
            <w:u w:val="single"/>
            <w:sz w:val="19"/>
          </w:rPr>
          <w:t>Описание цели</w:t>
        </w:r>
      </w:hyperlink>
    </w:p>
    <w:p>
      <w:pPr>
        <w:pStyle w:val="Heading2"/>
      </w:pPr>
      <w:bookmarkStart w:id="119" w:name="goal_SD39_17"/>
      <w:r>
        <w:rPr>
          <w:color w:val="000000"/>
        </w:rPr>
        <w:t>SD39.17 Питающие контракты в офертах</w:t>
      </w:r>
      <w:bookmarkEnd w:id="119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Каждая оферта в скоупе должна содержать ссылки на питающие контракты.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В 100% оферт указаны питающие контракты.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 Для ИСУ ОЦ определить текущую команду.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27">
        <w:r>
          <w:rPr>
            <w:rFonts w:ascii="Arial" w:hAnsi="Arial"/>
            <w:color w:val="225C80"/>
            <w:u w:val="single"/>
            <w:sz w:val="19"/>
          </w:rPr>
          <w:t>Дашборд питающих контрактов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28">
        <w:r>
          <w:rPr>
            <w:rFonts w:ascii="Arial" w:hAnsi="Arial"/>
            <w:color w:val="225C80"/>
            <w:u w:val="single"/>
            <w:sz w:val="19"/>
          </w:rPr>
          <w:t>Информация о целях надёжности</w:t>
        </w:r>
      </w:hyperlink>
    </w:p>
    <w:p>
      <w:pPr>
        <w:pStyle w:val="Heading2"/>
      </w:pPr>
      <w:bookmarkStart w:id="120" w:name="goal_SD08_12"/>
      <w:r>
        <w:rPr>
          <w:color w:val="000000"/>
        </w:rPr>
        <w:t>SD08.12 Исполнение RUN-планов загрузки источников</w:t>
      </w:r>
      <w:bookmarkEnd w:id="120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Участники загрузки в КАП должны выполнить RUN-планы по источникам и архивам и достичь целевой доли загрузок Блоками.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Исполнение планов RUN по загрузке источников и архивов — 100%. Доля загрузок Блоками — 50%.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АС, планирующие загрузку источников или архивов в КАП во втором полугодии 2026 года.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участие Inventory Management и наличие загрузок в КАП. Жукова отсутствует в списке руководителей этой цели.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29">
        <w:r>
          <w:rPr>
            <w:rFonts w:ascii="Arial" w:hAnsi="Arial"/>
            <w:color w:val="225C80"/>
            <w:u w:val="single"/>
            <w:sz w:val="19"/>
          </w:rPr>
          <w:t>Дашборд и описание загрузки источников</w:t>
        </w:r>
      </w:hyperlink>
    </w:p>
    <w:p>
      <w:pPr>
        <w:pStyle w:val="Heading2"/>
      </w:pPr>
      <w:bookmarkStart w:id="121" w:name="goal_SD52_11"/>
      <w:r>
        <w:rPr>
          <w:color w:val="000000"/>
        </w:rPr>
        <w:t>SD52.11 E2E подготовка и загрузка источников в КАП</w:t>
      </w:r>
      <w:bookmarkEnd w:id="121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Мониторинг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Полный срок подготовки и загрузки источников в КАП отслеживается в режиме мониторинга.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Обеспечена E2E-длительность подготовки и загрузки источников в КАП за 72/64 рабочих дня. Цель в режиме мониторинга.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Мониторинг полного срока подготовки и загрузки источников в КАП. В PDF приведены два срока 72/64 без отдельного пояснения условий их выбора.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22">
        <w:r>
          <w:rPr>
            <w:rFonts w:ascii="Arial" w:hAnsi="Arial"/>
            <w:color w:val="225C80"/>
            <w:u w:val="single"/>
            <w:sz w:val="19"/>
          </w:rPr>
          <w:t>Дашборд E2E и для ГО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30">
        <w:r>
          <w:rPr>
            <w:rFonts w:ascii="Arial" w:hAnsi="Arial"/>
            <w:color w:val="225C80"/>
            <w:u w:val="single"/>
            <w:sz w:val="19"/>
          </w:rPr>
          <w:t>Описание E2E Time-to-Data</w:t>
        </w:r>
      </w:hyperlink>
    </w:p>
    <w:p>
      <w:pPr>
        <w:pStyle w:val="Heading1"/>
        <w:pageBreakBefore/>
      </w:pPr>
      <w:bookmarkStart w:id="12" w:name="dir_architecture"/>
      <w:r>
        <w:rPr>
          <w:color w:val="000000"/>
        </w:rPr>
        <w:t>Архитектура</w:t>
      </w:r>
      <w:bookmarkEnd w:id="12"/>
    </w:p>
    <w:p>
      <w:pPr>
        <w:pStyle w:val="Heading2"/>
      </w:pPr>
      <w:bookmarkStart w:id="122" w:name="goal_AR26_1"/>
      <w:r>
        <w:rPr>
          <w:color w:val="000000"/>
        </w:rPr>
        <w:t>AR26.1 API в цифровом двойнике</w:t>
      </w:r>
      <w:bookmarkEnd w:id="122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Для цифрового двойника нужно описать API, подключить контроль работоспособности и применять целевой процесс выдачи прикладных доступов.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90% API для интеграции ИТ-услуг описаны; 90% HTTP-API АС BC и выше поставлены на мониторинг Health-Check; 41% API: прикладные доступы выдаются по процессу П3963.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АС с соответствующими API. Health-Check относится к HTTP-API АС BC и выше. Подтвердите конкретные API в охвате цели.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SAM; T.Reports&amp;Analytics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команды «Вендор в команду» с АС «Заказ ИТ-ресурсов».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ППРБ. Управление потоком задач; Рабочее место сотрудника ОЦ; Управление каналом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Участие команды «Интеллектуальный цифровой руководитель» уточнить: в прежнем перечне АС она не названа.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SberBilling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три остальные текущие команды Попова с прежними АС КИД и «Услуги ДЗО».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Уточнить, какие текущие команды Андреева соответствуют AI HUB OPS.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SberRPA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Inventory Management с прежними АС из PDF: Sber AssisT, РМ ИТ-поддержки и управление ресурсами. Инициалы в списках ИТЗ расходятся.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23" w:name="goal_AR26_2"/>
      <w:r>
        <w:rPr>
          <w:color w:val="000000"/>
        </w:rPr>
        <w:t>AR26.2 DGBD для новых АС</w:t>
      </w:r>
      <w:bookmarkEnd w:id="123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Новые АС должны выполнять требования DGBD по архитектуре и описанию данных.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100% реализация требований DGBD по архитектуре и описанию данных для новых АС.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Требования применяются к новым АС перечисленных кластеров.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24" w:name="goal_AR26_3"/>
      <w:r>
        <w:rPr>
          <w:color w:val="000000"/>
        </w:rPr>
        <w:t>AR26.3 Управление доступом ИИ-агентов</w:t>
      </w:r>
      <w:bookmarkEnd w:id="124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ИИ-агенты в применимом скоупе должны использовать целевые инструменты управления доступом и автоматическую выдачу новых доступов.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80% всех ИИ-агентов используют выведенные в ПРОМ целевые инструменты управления доступом. 80% новых доступов ИИ-агентов «Агент — Агент» и «Агент — GenAI Ready API» предоставляются автоматически для API в скоупе тиража цифрового двойника; учитываются агенты в статусах ЖЦ «Опытная эксплуатация» и «Промышленная эксплуатация».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команды с ИИ-агентами в опытной или промышленной эксплуатации и API в охвате тиража цифрового двойника.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участие Жуковой и Inventory Management. В PDF у руководителя стоит знак вопроса.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31">
        <w:r>
          <w:rPr>
            <w:rFonts w:ascii="Arial" w:hAnsi="Arial"/>
            <w:color w:val="225C80"/>
            <w:u w:val="single"/>
            <w:sz w:val="19"/>
          </w:rPr>
          <w:t>Материалы по управлению доступом</w:t>
        </w:r>
      </w:hyperlink>
    </w:p>
    <w:p>
      <w:pPr>
        <w:pStyle w:val="Heading2"/>
      </w:pPr>
      <w:bookmarkStart w:id="125" w:name="goal_AR26_4"/>
      <w:r>
        <w:rPr>
          <w:color w:val="000000"/>
        </w:rPr>
        <w:t>AR26.4 GenAI-native score ИТ-ландшафта</w:t>
      </w:r>
      <w:bookmarkEnd w:id="125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Подразделение должно достичь установленного целевого значения зрелости GenAI-native архитектуры.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Достигнуто целевое значение по Банку по GenAI-native score ИТ-ландшафта по подразделению.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АС. Точное целевое значение GenAI-native score для подразделения необходимо подтвердить по методике.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32">
        <w:r>
          <w:rPr>
            <w:rFonts w:ascii="Arial" w:hAnsi="Arial"/>
            <w:color w:val="225C80"/>
            <w:u w:val="single"/>
            <w:sz w:val="19"/>
          </w:rPr>
          <w:t>Дашборд GenAI-native score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33">
        <w:r>
          <w:rPr>
            <w:rFonts w:ascii="Arial" w:hAnsi="Arial"/>
            <w:color w:val="225C80"/>
            <w:u w:val="single"/>
            <w:sz w:val="19"/>
          </w:rPr>
          <w:t>Описание GenAI-native score</w:t>
        </w:r>
      </w:hyperlink>
    </w:p>
    <w:p>
      <w:pPr>
        <w:pStyle w:val="Heading1"/>
        <w:pageBreakBefore/>
      </w:pPr>
      <w:bookmarkStart w:id="13" w:name="dir_security"/>
      <w:r>
        <w:rPr>
          <w:color w:val="000000"/>
        </w:rPr>
        <w:t>Кибербезопасность и риски</w:t>
      </w:r>
      <w:bookmarkEnd w:id="13"/>
    </w:p>
    <w:p>
      <w:pPr>
        <w:pStyle w:val="Heading2"/>
      </w:pPr>
      <w:bookmarkStart w:id="126" w:name="goal_ITZ26"/>
      <w:r>
        <w:rPr>
          <w:color w:val="000000"/>
        </w:rPr>
        <w:t>ITZ26 Целевое значение ИТЗ</w:t>
      </w:r>
      <w:bookmarkEnd w:id="126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Системам в скоупе нужно обеспечить достижение установленного целевого значения ИТЗ.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Достигнуто целевое значение ИТЗ.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SAM; T.Reports&amp;Analytics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команды «Вендор в команду» с АС «Заказ ИТ-ресурсов».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ППРБ. Управление потоком задач; Рабочее место сотрудника ОЦ; Управление каналом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Участие команды «Интеллектуальный цифровой руководитель» уточнить: в прежнем перечне АС она не названа.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SberBilling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три остальные текущие команды Попова с прежними АС КИД и «Услуги ДЗО».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Уточнить, какие текущие команды Андреева соответствуют AI HUB OPS.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SberRPA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Подтвердить: QuickSolutions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связь QuickSolutions с «Пользовательскими вычислениями».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текущие команды с Sber AssisT и автоматизацией МЦТП. Связь со SmartSupport требует подтверждения.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Текущие команды нужно определить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Сопоставить Inventory Management с прежними АС из PDF: Sber AssisT, РМ ИТ-поддержки и управление ресурсами. Инициалы в списках ИТЗ расходятся.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34">
        <w:r>
          <w:rPr>
            <w:rFonts w:ascii="Arial" w:hAnsi="Arial"/>
            <w:color w:val="225C80"/>
            <w:u w:val="single"/>
            <w:sz w:val="19"/>
          </w:rPr>
          <w:t>Дашборд ИТЗ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35">
        <w:r>
          <w:rPr>
            <w:rFonts w:ascii="Arial" w:hAnsi="Arial"/>
            <w:color w:val="225C80"/>
            <w:u w:val="single"/>
            <w:sz w:val="19"/>
          </w:rPr>
          <w:t>Описание ИТЗ</w:t>
        </w:r>
      </w:hyperlink>
    </w:p>
    <w:p>
      <w:pPr>
        <w:pStyle w:val="Heading2"/>
      </w:pPr>
      <w:bookmarkStart w:id="127" w:name="goal_MT26"/>
      <w:r>
        <w:rPr>
          <w:color w:val="000000"/>
        </w:rPr>
        <w:t>MT26 Инициатива «Метла»</w:t>
      </w:r>
      <w:bookmarkEnd w:id="127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второго полугодия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Команды выполняют назначенные им задачи инициативы «Метла» по действующему плану.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Задачи инициативы «Метла» выполнены в соответствии с планом.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Участвуют все АС в рамках утвержденного плана инициативы.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2"/>
      </w:pPr>
      <w:bookmarkStart w:id="128" w:name="goal_IZT26"/>
      <w:r>
        <w:rPr>
          <w:color w:val="000000"/>
        </w:rPr>
        <w:t>IZT26 Годовой мониторинг зрелости рисков технологий</w:t>
      </w:r>
      <w:bookmarkEnd w:id="128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Мониторинг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Индикатор зрелости рисков технологий отслеживается как годовой показатель без отдельной цели Q4.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Годовая цель: достигнуто целевое значение индикатора зрелости рисков технологий по подразделению (в мониторинге). Отдельная цель Q4 не устанавливается.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Годовой мониторинг. Отдельная цель Q4 не устанавливается. Участие АС отслеживается через ИТЗ.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785C24"/>
                <w:sz w:val="19"/>
              </w:rPr>
              <w:t xml:space="preserve">Вопрос: </w:t>
            </w:r>
            <w:r>
              <w:rPr>
                <w:rFonts w:ascii="Arial" w:hAnsi="Arial" w:eastAsia="Arial" w:cs="Arial"/>
                <w:b w:val="0"/>
                <w:i w:val="0"/>
                <w:color w:val="785C24"/>
                <w:sz w:val="19"/>
              </w:rPr>
              <w:t>Подтвердить участие Inventory Management; в списке руководителей PDF расходятся инициалы Жуковой.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r>
        <w:rPr>
          <w:rFonts w:ascii="Arial" w:hAnsi="Arial" w:eastAsia="Arial"/>
          <w:color w:val="606060"/>
          <w:sz w:val="19"/>
        </w:rPr>
        <w:t>ссылки не заполнены</w:t>
      </w:r>
    </w:p>
    <w:p>
      <w:pPr>
        <w:pStyle w:val="Heading1"/>
        <w:pageBreakBefore/>
      </w:pPr>
      <w:bookmarkStart w:id="14" w:name="dir_resources"/>
      <w:r>
        <w:rPr>
          <w:color w:val="000000"/>
        </w:rPr>
        <w:t>Ресурсы</w:t>
      </w:r>
      <w:bookmarkEnd w:id="14"/>
    </w:p>
    <w:p>
      <w:pPr>
        <w:pStyle w:val="Heading2"/>
      </w:pPr>
      <w:bookmarkStart w:id="129" w:name="goal_UK26"/>
      <w:r>
        <w:rPr>
          <w:color w:val="000000"/>
        </w:rPr>
        <w:t>UK26 Утилизация квот логов Тенгри</w:t>
      </w:r>
      <w:bookmarkEnd w:id="129"/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19"/>
        </w:rPr>
        <w:t xml:space="preserve">Режим цели </w:t>
      </w:r>
      <w:r>
        <w:rPr>
          <w:rFonts w:ascii="Arial" w:hAnsi="Arial" w:eastAsia="Arial"/>
          <w:color w:val="000000"/>
          <w:sz w:val="19"/>
        </w:rPr>
        <w:t>Цель снята на второе полугодие</w:t>
      </w:r>
    </w:p>
    <w:p>
      <w:pPr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Смысл цели </w:t>
      </w:r>
      <w:r>
        <w:rPr>
          <w:rFonts w:ascii="Arial" w:hAnsi="Arial" w:eastAsia="Arial" w:cs="Arial"/>
          <w:b w:val="0"/>
          <w:i w:val="0"/>
          <w:color w:val="59616A"/>
          <w:sz w:val="21"/>
        </w:rPr>
        <w:t>Отдельная цель по утилизации квот снята на второе полугодие, а дальнейшая работа продолжается в рабочем порядке.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2"/>
        </w:rPr>
        <w:t xml:space="preserve">Текущая цель </w:t>
      </w:r>
      <w:r>
        <w:rPr>
          <w:rFonts w:ascii="Arial" w:hAnsi="Arial" w:eastAsia="Arial"/>
          <w:color w:val="000000"/>
          <w:sz w:val="22"/>
        </w:rPr>
        <w:t>Цель на второе полугодие снята. По Банку достигнут интегральный показатель 82%; дальнейшая работа по утилизации ведётся в рабочем порядке.</w:t>
      </w:r>
    </w:p>
    <w:p>
      <w:pPr>
        <w:keepNext/>
        <w:spacing w:after="120"/>
      </w:pPr>
      <w:r>
        <w:rPr>
          <w:rFonts w:ascii="Arial" w:hAnsi="Arial" w:eastAsia="Arial"/>
          <w:b/>
          <w:color w:val="000000"/>
          <w:sz w:val="20"/>
        </w:rPr>
        <w:t xml:space="preserve">Применимость </w:t>
      </w:r>
      <w:r>
        <w:rPr>
          <w:rFonts w:ascii="Arial" w:hAnsi="Arial" w:eastAsia="Arial"/>
          <w:color w:val="000000"/>
          <w:sz w:val="20"/>
        </w:rPr>
        <w:t>Архивная цель. Состав участников сохранен для истории и последующего согласования. Показатель 82% относится ко всему Банку.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Предлагаемая формулировка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[Полный новый текст, если цель нужно изменить]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Пояснение к правке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[Причина изменения или вопрос для обсуждения]</w:t>
      </w:r>
    </w:p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Проверка этой цели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Не проверено</w:t>
      </w:r>
    </w:p>
    <w:p>
      <w:pPr>
        <w:pStyle w:val="Heading3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2"/>
        </w:rPr>
        <w:t>Лидеры и участвующие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участников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[Полный список / не участвует]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spacing w:before="100" w:after="160"/>
      </w:pPr>
      <w:r>
        <w:rPr>
          <w:rFonts w:ascii="Arial" w:hAnsi="Arial" w:eastAsia="Arial"/>
          <w:b/>
          <w:color w:val="000000"/>
          <w:sz w:val="19"/>
        </w:rPr>
        <w:t xml:space="preserve">Контроль и описание: </w:t>
      </w:r>
      <w:hyperlink r:id="rId36">
        <w:r>
          <w:rPr>
            <w:rFonts w:ascii="Arial" w:hAnsi="Arial"/>
            <w:color w:val="225C80"/>
            <w:u w:val="single"/>
            <w:sz w:val="19"/>
          </w:rPr>
          <w:t>Дашборд утилизации квот</w:t>
        </w:r>
      </w:hyperlink>
      <w:r>
        <w:rPr>
          <w:rFonts w:ascii="Arial" w:hAnsi="Arial" w:eastAsia="Arial"/>
          <w:color w:val="000000"/>
          <w:sz w:val="19"/>
        </w:rPr>
        <w:t xml:space="preserve">  |  </w:t>
      </w:r>
      <w:hyperlink r:id="rId37">
        <w:r>
          <w:rPr>
            <w:rFonts w:ascii="Arial" w:hAnsi="Arial"/>
            <w:color w:val="225C80"/>
            <w:u w:val="single"/>
            <w:sz w:val="19"/>
          </w:rPr>
          <w:t>Описание утилизации квот</w:t>
        </w:r>
      </w:hyperlink>
    </w:p>
    <w:p>
      <w:pPr>
        <w:pStyle w:val="Heading1"/>
        <w:pageBreakBefore/>
      </w:pPr>
      <w:r>
        <w:rPr>
          <w:color w:val="000000"/>
        </w:rPr>
        <w:t>Состав кластеров</w:t>
      </w:r>
    </w:p>
    <w:p>
      <w:pPr>
        <w:keepNext w:val="0"/>
        <w:spacing w:after="18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Здесь меняется общий состав кластеров.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Такая правка сама по себе не добавляет команду во все цели: участие укажите в таблицах конкретных целей.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5" w:type="dxa"/>
          <w:right w:w="115" w:type="dxa"/>
        </w:tblCellMar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Лидер кластера</w:t>
            </w:r>
          </w:p>
        </w:tc>
        <w:tc>
          <w:tcPr>
            <w:tcW w:type="dxa" w:w="4392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Текущий состав и уточнения</w:t>
            </w:r>
          </w:p>
        </w:tc>
        <w:tc>
          <w:tcPr>
            <w:tcW w:type="dxa" w:w="4104"/>
            <w:vAlign w:val="center"/>
            <w:shd w:fill="DDE8F0"/>
          </w:tcPr>
          <w:p>
            <w:pPr>
              <w:keepNext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Правка состава кластера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Канаев В.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Вендор в команду; SAM; T.Reports&amp;Analytics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Сидоров В.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руководитель; ППРБ. Управление потоком задач; Рабочее место сотрудника ОЦ; Управление каналом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Баско Д.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Завершение расчетов; ППРБ. Управление операционным днем; ППРБ. Диспуты; Свод продуктовых событий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Попов А.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Отчетность внутреннего учета и XBRL; СберБум; Сопровождение продуктов УБ; SberBilling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Андреев А.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Интеллектуальный цифровой сотрудник; Операционная GenAI-среда; Цифровые знания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Вольнова Т.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Аналитическая платформа ОЦ; QuickSolutions; SberRPA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Романюта С.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Инженерные инструменты; SmartSupport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Жукова С.</w:t>
            </w:r>
          </w:p>
        </w:tc>
        <w:tc>
          <w:tcPr>
            <w:tcW w:type="dxa" w:w="4392"/>
            <w:vAlign w:val="center"/>
            <w:shd w:fill="F6F8FA"/>
          </w:tcPr>
          <w:p>
            <w:pPr>
              <w:keepNext w:val="0"/>
              <w:widowControl/>
              <w:spacing w:after="60" w:before="0" w:line="259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1"/>
              </w:rPr>
              <w:t>Inventory Management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[Новый состав, если меняется]</w:t>
            </w:r>
          </w:p>
          <w:p>
            <w:pPr>
              <w:keepNext w:val="0"/>
              <w:widowControl/>
              <w:spacing w:before="0" w:after="60" w:line="259" w:lineRule="auto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19"/>
              </w:rPr>
              <w:t>Пояснение: [при необходимости]</w:t>
            </w:r>
          </w:p>
        </w:tc>
      </w:tr>
    </w:tbl>
    <w:p>
      <w:pPr>
        <w:pStyle w:val="Heading2"/>
        <w:keepNext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6"/>
        </w:rPr>
        <w:t>Переименования во всем документе</w:t>
      </w:r>
    </w:p>
    <w:p>
      <w:pPr>
        <w:keepNext w:val="0"/>
        <w:widowControl/>
        <w:spacing w:after="140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Заполняйте только для единого переименования команды во всех разделах. Изменение участия в одной цели вносите в таблицу этой цели.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456"/>
      </w:tblGrid>
      <w:tr>
        <w:trPr>
          <w:cantSplit/>
          <w:tblHeader/>
        </w:trPr>
        <w:tc>
          <w:tcPr>
            <w:tcW w:type="dxa" w:w="3384"/>
            <w:vAlign w:val="center"/>
            <w:shd w:fill="DDE8F0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Старое название</w:t>
            </w:r>
          </w:p>
        </w:tc>
        <w:tc>
          <w:tcPr>
            <w:tcW w:type="dxa" w:w="3384"/>
            <w:vAlign w:val="center"/>
            <w:shd w:fill="DDE8F0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Новое название</w:t>
            </w:r>
          </w:p>
        </w:tc>
        <w:tc>
          <w:tcPr>
            <w:tcW w:type="dxa" w:w="3456"/>
            <w:vAlign w:val="center"/>
            <w:shd w:fill="DDE8F0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1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  <w:tc>
          <w:tcPr>
            <w:tcW w:type="dxa" w:w="3384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  <w:tc>
          <w:tcPr>
            <w:tcW w:type="dxa" w:w="3456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  <w:tc>
          <w:tcPr>
            <w:tcW w:type="dxa" w:w="3384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  <w:tc>
          <w:tcPr>
            <w:tcW w:type="dxa" w:w="3456"/>
            <w:vAlign w:val="center"/>
          </w:tcPr>
          <w:p>
            <w:pPr>
              <w:spacing w:after="120" w:before="120"/>
            </w:pPr>
            <w:r>
              <w:rPr>
                <w:rFonts w:ascii="Arial" w:hAnsi="Arial" w:eastAsia="Arial" w:cs="Arial"/>
                <w:b w:val="0"/>
                <w:i/>
                <w:color w:val="205E87"/>
                <w:sz w:val="21"/>
              </w:rPr>
              <w:t>[При необходимости]</w:t>
            </w:r>
          </w:p>
        </w:tc>
      </w:tr>
    </w:tbl>
    <w:p>
      <w:pPr>
        <w:pStyle w:val="Поледляправки"/>
        <w:keepNext w:val="0"/>
        <w:widowControl/>
        <w:spacing w:after="120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Общие пояснения команды </w:t>
      </w:r>
      <w:r>
        <w:rPr>
          <w:rFonts w:ascii="Arial" w:hAnsi="Arial" w:eastAsia="Arial" w:cs="Arial"/>
          <w:b w:val="0"/>
          <w:i w:val="0"/>
          <w:color w:val="205E87"/>
          <w:sz w:val="21"/>
        </w:rPr>
        <w:t>[Дополнительные решения для обновления HTML]</w:t>
      </w:r>
    </w:p>
    <w:p>
      <w:pPr>
        <w:pStyle w:val="Heading2"/>
        <w:keepNext/>
        <w:spacing w:after="100"/>
      </w:pPr>
      <w:r>
        <w:rPr>
          <w:rFonts w:ascii="Arial" w:hAnsi="Arial" w:eastAsia="Arial"/>
          <w:b/>
          <w:color w:val="000000"/>
          <w:sz w:val="26"/>
        </w:rPr>
        <w:t>Исходные материалы</w:t>
      </w:r>
    </w:p>
    <w:p>
      <w:pPr>
        <w:keepNext w:val="0"/>
        <w:spacing w:after="0"/>
      </w:pPr>
      <w:r>
        <w:rPr>
          <w:rFonts w:ascii="Arial" w:hAnsi="Arial" w:eastAsia="Arial"/>
          <w:b w:val="0"/>
          <w:color w:val="000000"/>
          <w:sz w:val="19"/>
        </w:rPr>
        <w:t>гудит.pdf — цели и ссылки на контроль. команды по лидерам кластеров (3).txt — текущий состав кластеров. В исходном PDF указана отметка К3.</w:t>
      </w:r>
    </w:p>
    <w:sectPr w:rsidR="00FC693F" w:rsidRPr="0006063C" w:rsidSect="00034616">
      <w:footerReference w:type="default" r:id="rId38"/>
      <w:pgSz w:w="12240" w:h="15840"/>
      <w:pgMar w:top="965" w:right="1008" w:bottom="965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55555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ледляправки">
    <w:name w:val="Поле для правки"/>
    <w:basedOn w:val="Normal"/>
    <w:pPr>
      <w:spacing w:before="60" w:after="120"/>
    </w:pPr>
    <w:rPr>
      <w:rFonts w:ascii="Arial" w:hAnsi="Arial"/>
      <w:color w:val="205E8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ko-qs.sigma.sbrf.ru/prom/sense/app/0b651e95-6aae-4f21-825e-9eb3602f3d5c/sheet/93e7c7bf-838e-4c22-8f2a-06037b440381/state/analysis" TargetMode="External"/><Relationship Id="rId10" Type="http://schemas.openxmlformats.org/officeDocument/2006/relationships/hyperlink" Target="https://mapp.sberbank.ru/app/mapp/17208217004/" TargetMode="External"/><Relationship Id="rId11" Type="http://schemas.openxmlformats.org/officeDocument/2006/relationships/hyperlink" Target="https://oko-qs.sigma.sbrf.ru/prom/sense/app/f941ed0c-b9ba-4731-b58c-97ee5ff43dd3/overview" TargetMode="External"/><Relationship Id="rId12" Type="http://schemas.openxmlformats.org/officeDocument/2006/relationships/hyperlink" Target="https://confluence.sberbank.ru/pages/viewpage.action?pageId=19678923062" TargetMode="External"/><Relationship Id="rId13" Type="http://schemas.openxmlformats.org/officeDocument/2006/relationships/hyperlink" Target="https://confluence.sberbank.ru/pages/viewpage.action?pageId=23541891087#tab-%D0%92+100%25+%D1%84%D1%80%D0%BE%D0%BD%D1%82%D0%B0%D0%BB%D1%8C%D0%BD%D1%8B%D1%85+%D0%BA%D0%BE%D0%BD%D1%82%D1%80%D0%B0%D0%BA%D1%82%D0%BE%D0%B2+%D1%83%D0%BA%D0%B0%D0%B7%D0%B0%D0%BD+%D0%B1%D0%B8%D0%B7%D0%BD%D0%B5%D1%81-%D0%BF%D1%80%D0%BE%D1%86%D0%B5%D1%81%D1%81" TargetMode="External"/><Relationship Id="rId14" Type="http://schemas.openxmlformats.org/officeDocument/2006/relationships/hyperlink" Target="https://oko-qs.sigma.sbrf.ru/prom/sense/app/2880cdc0-e75d-4bbc-b609-7339c913a7b4/sheet/2a0fbcdf-6f0f-42d9-b887-7cdb3de0eff5/state/analysis" TargetMode="External"/><Relationship Id="rId15" Type="http://schemas.openxmlformats.org/officeDocument/2006/relationships/hyperlink" Target="https://confluence.sberbank.ru/x/D8A0ewU" TargetMode="External"/><Relationship Id="rId16" Type="http://schemas.openxmlformats.org/officeDocument/2006/relationships/hyperlink" Target="https://mapp.sberbank.ru/sberdataproducts/page/83699" TargetMode="External"/><Relationship Id="rId17" Type="http://schemas.openxmlformats.org/officeDocument/2006/relationships/hyperlink" Target="https://mapp.sberbank.ru/sberdataproducts/page/83546" TargetMode="External"/><Relationship Id="rId18" Type="http://schemas.openxmlformats.org/officeDocument/2006/relationships/hyperlink" Target="https://mapp.sberbank.ru/sberdataproducts/page/71933#id-9oZKQP" TargetMode="External"/><Relationship Id="rId19" Type="http://schemas.openxmlformats.org/officeDocument/2006/relationships/hyperlink" Target="https://mapp.sberbank.ru/sberdataproducts/page/71933" TargetMode="External"/><Relationship Id="rId20" Type="http://schemas.openxmlformats.org/officeDocument/2006/relationships/hyperlink" Target="https://jira.delta.sbrf.ru/secure/StructureBoard.jspa?s=27533" TargetMode="External"/><Relationship Id="rId21" Type="http://schemas.openxmlformats.org/officeDocument/2006/relationships/hyperlink" Target="https://jira.delta.sbrf.ru/secure/StructureBoard.jspa?s=27532" TargetMode="External"/><Relationship Id="rId22" Type="http://schemas.openxmlformats.org/officeDocument/2006/relationships/hyperlink" Target="https://confluence.delta.sbrf.ru/pages/viewpage.action?pageId=18483249276" TargetMode="External"/><Relationship Id="rId23" Type="http://schemas.openxmlformats.org/officeDocument/2006/relationships/hyperlink" Target="https://confluence.sberbank.ru/pages/viewpage.action?pageId=22513199776" TargetMode="External"/><Relationship Id="rId24" Type="http://schemas.openxmlformats.org/officeDocument/2006/relationships/hyperlink" Target="https://confluence.sberbank.ru/pages/viewpage.action?pageId=24280307294" TargetMode="External"/><Relationship Id="rId25" Type="http://schemas.openxmlformats.org/officeDocument/2006/relationships/hyperlink" Target="https://confluence.sberbank.ru/pages/viewpage.action?pageId=22662796916" TargetMode="External"/><Relationship Id="rId26" Type="http://schemas.openxmlformats.org/officeDocument/2006/relationships/hyperlink" Target="https://confluence.sberbank.ru/pages/viewpage.action?pageId=22513200014" TargetMode="External"/><Relationship Id="rId27" Type="http://schemas.openxmlformats.org/officeDocument/2006/relationships/hyperlink" Target="https://oko-qs.sigma.sbrf.ru/prom/sense/app/2e87d082-4342-4180-ae32-1b2bb3824fd4/sheet/01bb23df-92ec-4921-9b8b-e01939fd4de3/state/analysis" TargetMode="External"/><Relationship Id="rId28" Type="http://schemas.openxmlformats.org/officeDocument/2006/relationships/hyperlink" Target="https://sbertrack.sberbank.ru/swtr/extension/plugin/v2/rest/api/swtr_wiki_migrator_plugin/v1/link/redirect?sourceUrl=https%3A%2F%2Fconfluence.sberbank.ru%2Fpages%2Fviewpage.action%3FpageId%3D23541891087" TargetMode="External"/><Relationship Id="rId29" Type="http://schemas.openxmlformats.org/officeDocument/2006/relationships/hyperlink" Target="https://confluence.sberbank.ru/pages/viewpage.action?pageId=22557235138" TargetMode="External"/><Relationship Id="rId30" Type="http://schemas.openxmlformats.org/officeDocument/2006/relationships/hyperlink" Target="https://confluence.sberbank.ru/display/ZAGRUZKAPPRBCAP/E2E+Time-to-Data" TargetMode="External"/><Relationship Id="rId31" Type="http://schemas.openxmlformats.org/officeDocument/2006/relationships/hyperlink" Target="https://sbertrack.sberbank.ru/swtr/extension/plugin/v2/rest/api/swtr_wiki_migrator_plugin/v1/link/redirect?sourceUrl=https%3A%2F%2Fconfluence.sberbank.ru%2Fpages%2Fviewpage.action%3FpageId%3D22743498510%23expand-" TargetMode="External"/><Relationship Id="rId32" Type="http://schemas.openxmlformats.org/officeDocument/2006/relationships/hyperlink" Target="https://oko-qs.sigma.sbrf.ru/prom/sense/app/731e0254-e98d-4706-bb08-71a9feabc5ea/sheet/8bf0fec7-d5af-4cd3-807e-2d1815051a54/state/analysis" TargetMode="External"/><Relationship Id="rId33" Type="http://schemas.openxmlformats.org/officeDocument/2006/relationships/hyperlink" Target="https://sbertrack.sberbank.ru/swtr/extension/plugin/v2/rest/api/swtr_wiki_migrator_plugin/v1/link/redirect?sourceUrl=https%3A%2F%2Fconfluence.sberbank.ru%2Fpages%2Fviewpage.action%3FpageId%3D22525121603" TargetMode="External"/><Relationship Id="rId34" Type="http://schemas.openxmlformats.org/officeDocument/2006/relationships/hyperlink" Target="https://oko-qs.sigma.sbrf.ru/prom/sense/app/aebb55cc-32cb-4ce9-b0fd-f06d4dc5b5a1/sheet/097ca11a-df8c-41ab-94bd-898fec1554e3/state/analysis" TargetMode="External"/><Relationship Id="rId35" Type="http://schemas.openxmlformats.org/officeDocument/2006/relationships/hyperlink" Target="https://mapp.sberbank.ru/tmi/page/105799" TargetMode="External"/><Relationship Id="rId36" Type="http://schemas.openxmlformats.org/officeDocument/2006/relationships/hyperlink" Target="https://oko-qs.sigma.sbrf.ru/prom/sense/app/39ad9715-3b7e-4cab-b851-787a658ee25a/sheet/8e3be8f9-4f84-41ef-8f3d-2eb5f9459c18/state/analysis" TargetMode="External"/><Relationship Id="rId37" Type="http://schemas.openxmlformats.org/officeDocument/2006/relationships/hyperlink" Target="https://mapp.sberbank.ru/dops/page/102117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Согласование целей и команд кластеров</dc:title>
  <dc:subject>Форма для редактирования и последующего обновления HTML</dc:subject>
  <dc:creator/>
  <cp:keywords>Цели, кластеры, редактирование,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