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0153D" w14:textId="094FE950" w:rsidR="00422E45" w:rsidRPr="00D9154F" w:rsidRDefault="00C154C8" w:rsidP="00A15F4C">
      <w:pPr>
        <w:jc w:val="center"/>
        <w:rPr>
          <w:sz w:val="28"/>
          <w:szCs w:val="28"/>
        </w:rPr>
      </w:pPr>
      <w:r w:rsidRPr="00D9154F">
        <w:rPr>
          <w:sz w:val="28"/>
          <w:szCs w:val="28"/>
        </w:rPr>
        <w:t>Bayesian I</w:t>
      </w:r>
      <w:r w:rsidR="00322DA6" w:rsidRPr="00D9154F">
        <w:rPr>
          <w:sz w:val="28"/>
          <w:szCs w:val="28"/>
        </w:rPr>
        <w:t xml:space="preserve">nference on </w:t>
      </w:r>
      <w:r w:rsidRPr="00D9154F">
        <w:rPr>
          <w:sz w:val="28"/>
          <w:szCs w:val="28"/>
        </w:rPr>
        <w:t>Expected Returns and V</w:t>
      </w:r>
      <w:r w:rsidR="00717A80" w:rsidRPr="00D9154F">
        <w:rPr>
          <w:sz w:val="28"/>
          <w:szCs w:val="28"/>
        </w:rPr>
        <w:t xml:space="preserve">olatility of </w:t>
      </w:r>
      <w:r w:rsidRPr="00D9154F">
        <w:rPr>
          <w:sz w:val="28"/>
          <w:szCs w:val="28"/>
        </w:rPr>
        <w:t>First D</w:t>
      </w:r>
      <w:r w:rsidR="00A15F4C" w:rsidRPr="00D9154F">
        <w:rPr>
          <w:sz w:val="28"/>
          <w:szCs w:val="28"/>
        </w:rPr>
        <w:t>ay</w:t>
      </w:r>
      <w:r w:rsidR="00717A80" w:rsidRPr="00D9154F">
        <w:rPr>
          <w:sz w:val="28"/>
          <w:szCs w:val="28"/>
        </w:rPr>
        <w:t xml:space="preserve"> </w:t>
      </w:r>
      <w:r w:rsidRPr="00D9154F">
        <w:rPr>
          <w:sz w:val="28"/>
          <w:szCs w:val="28"/>
        </w:rPr>
        <w:t>R</w:t>
      </w:r>
      <w:r w:rsidR="00A15F4C" w:rsidRPr="00D9154F">
        <w:rPr>
          <w:sz w:val="28"/>
          <w:szCs w:val="28"/>
        </w:rPr>
        <w:t xml:space="preserve">eturns </w:t>
      </w:r>
      <w:r w:rsidR="00717A80" w:rsidRPr="00D9154F">
        <w:rPr>
          <w:sz w:val="28"/>
          <w:szCs w:val="28"/>
        </w:rPr>
        <w:t>IPO</w:t>
      </w:r>
      <w:r w:rsidR="00A15F4C" w:rsidRPr="00D9154F">
        <w:rPr>
          <w:sz w:val="28"/>
          <w:szCs w:val="28"/>
        </w:rPr>
        <w:t>s</w:t>
      </w:r>
      <w:r w:rsidR="00717A80" w:rsidRPr="00D9154F">
        <w:rPr>
          <w:sz w:val="28"/>
          <w:szCs w:val="28"/>
        </w:rPr>
        <w:t xml:space="preserve"> vs. S&amp;P 500</w:t>
      </w:r>
    </w:p>
    <w:p w14:paraId="69D3B202" w14:textId="77777777" w:rsidR="00A15F4C" w:rsidRDefault="00A15F4C" w:rsidP="00A15F4C">
      <w:pPr>
        <w:jc w:val="right"/>
      </w:pPr>
    </w:p>
    <w:p w14:paraId="1E2C6296" w14:textId="52AA4987" w:rsidR="00A15F4C" w:rsidRDefault="00A15F4C" w:rsidP="00A15F4C">
      <w:pPr>
        <w:jc w:val="right"/>
      </w:pPr>
      <w:r>
        <w:t>Spencer Allgaier</w:t>
      </w:r>
    </w:p>
    <w:p w14:paraId="5E783D29" w14:textId="7960DB21" w:rsidR="00A15F4C" w:rsidRDefault="00A15F4C" w:rsidP="00A15F4C">
      <w:pPr>
        <w:jc w:val="right"/>
      </w:pPr>
      <w:r>
        <w:t>Hudson Downs</w:t>
      </w:r>
    </w:p>
    <w:p w14:paraId="13C36A1E" w14:textId="4ACAAE61" w:rsidR="00A15F4C" w:rsidRDefault="00A15F4C" w:rsidP="00A15F4C"/>
    <w:p w14:paraId="6080F501" w14:textId="77777777" w:rsidR="001109E8" w:rsidRDefault="001109E8" w:rsidP="001109E8">
      <w:pPr>
        <w:ind w:firstLine="720"/>
      </w:pPr>
      <w:r>
        <w:t xml:space="preserve">There have been countless individuals and companies, humans and robots, who have attempted to predict the returns on the stock market over the years in search of financial gain, albeit unsuccessful. Even if the individual stock values cannot be precisely predicted, assumptions on the average return for a homogenous group of stocks can be made with Bayesian statistics. An Initial Public Offering (IPO) is the first opportunity the public has to buy stock from a company and is particularly volatile in price, meaning that the variance is high and therefore similar across most IPOs, even being unknown. The average return for the first day of an IPO stock is also unknown which creates a high risk, high reward opportunity </w:t>
      </w:r>
      <w:r w:rsidRPr="003F0D78">
        <w:rPr>
          <w:iCs/>
        </w:rPr>
        <w:t>if</w:t>
      </w:r>
      <w:r w:rsidRPr="003F0D78">
        <w:t xml:space="preserve"> </w:t>
      </w:r>
      <w:r>
        <w:t>the average return is positive. This model will compare the means and variances of two populations: first day return on IPO stocks in 2019 (%) and single day return of non-IPO stocks in 2019 (%). By using Bayesian methods to determine the mean and variance for the return on this specific class of stock, we can successfully create a plan to return consistent yields (based on the law of large numbers) on the short-term stock market.</w:t>
      </w:r>
    </w:p>
    <w:p w14:paraId="4E4406E5" w14:textId="77777777" w:rsidR="001109E8" w:rsidRDefault="001109E8" w:rsidP="001109E8">
      <w:pPr>
        <w:ind w:firstLine="720"/>
      </w:pPr>
    </w:p>
    <w:p w14:paraId="22C96FBC" w14:textId="77777777" w:rsidR="001109E8" w:rsidRPr="00126516" w:rsidRDefault="001109E8" w:rsidP="001109E8">
      <w:pPr>
        <w:rPr>
          <w:b/>
          <w:bCs/>
        </w:rPr>
      </w:pPr>
      <w:r w:rsidRPr="00126516">
        <w:rPr>
          <w:b/>
          <w:bCs/>
        </w:rPr>
        <w:t>Problem of Interest:</w:t>
      </w:r>
    </w:p>
    <w:p w14:paraId="24D05265" w14:textId="77777777" w:rsidR="001109E8" w:rsidRDefault="001109E8" w:rsidP="001109E8">
      <w:pPr>
        <w:ind w:firstLine="720"/>
      </w:pPr>
    </w:p>
    <w:p w14:paraId="66F5B106" w14:textId="77777777" w:rsidR="001109E8" w:rsidRDefault="001109E8" w:rsidP="001109E8">
      <w:r>
        <w:t>Random Variables:</w:t>
      </w:r>
    </w:p>
    <w:p w14:paraId="44817C99" w14:textId="3A6A7A5F" w:rsidR="001109E8" w:rsidRPr="001109E8" w:rsidRDefault="001109E8" w:rsidP="001109E8">
      <w:pPr>
        <w:rPr>
          <w:rFonts w:eastAsiaTheme="minorEastAsia"/>
        </w:rPr>
      </w:pPr>
      <m:oMathPara>
        <m:oMathParaPr>
          <m:jc m:val="left"/>
        </m:oMathParaPr>
        <m:oMath>
          <m:r>
            <w:rPr>
              <w:rFonts w:ascii="Cambria Math" w:hAnsi="Cambria Math"/>
            </w:rPr>
            <m:t xml:space="preserve">Let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be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normally distributed random variables from a non IPO stock single </m:t>
          </m:r>
        </m:oMath>
      </m:oMathPara>
    </w:p>
    <w:p w14:paraId="7A952631" w14:textId="5F2C2BB7" w:rsidR="001109E8" w:rsidRPr="001109E8" w:rsidRDefault="001109E8" w:rsidP="001109E8">
      <w:pPr>
        <w:rPr>
          <w:rFonts w:eastAsiaTheme="minorEastAsia"/>
        </w:rPr>
      </w:pPr>
      <m:oMathPara>
        <m:oMathParaPr>
          <m:jc m:val="left"/>
        </m:oMathParaPr>
        <m:oMath>
          <m:r>
            <w:rPr>
              <w:rFonts w:ascii="Cambria Math" w:hAnsi="Cambria Math"/>
            </w:rPr>
            <m:t>day return (%)</m:t>
          </m:r>
        </m:oMath>
      </m:oMathPara>
    </w:p>
    <w:p w14:paraId="46E71F09" w14:textId="64CA6B41" w:rsidR="001109E8" w:rsidRPr="001109E8" w:rsidRDefault="001109E8" w:rsidP="001109E8">
      <w:pPr>
        <w:rPr>
          <w:rFonts w:eastAsiaTheme="minorEastAsia"/>
        </w:rPr>
      </w:pPr>
      <m:oMathPara>
        <m:oMathParaPr>
          <m:jc m:val="left"/>
        </m:oMathParaPr>
        <m:oMath>
          <m:r>
            <w:rPr>
              <w:rFonts w:ascii="Cambria Math" w:eastAsiaTheme="minorEastAsia" w:hAnsi="Cambria Math"/>
            </w:rPr>
            <m:t xml:space="preserve">Let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be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 xml:space="preserve"> normally distributed random variables from an IPOfirst day return (%)</m:t>
          </m:r>
        </m:oMath>
      </m:oMathPara>
    </w:p>
    <w:p w14:paraId="2B9E7237" w14:textId="77777777" w:rsidR="001109E8" w:rsidRDefault="001109E8" w:rsidP="001109E8"/>
    <w:p w14:paraId="78906891" w14:textId="77777777" w:rsidR="001109E8" w:rsidRDefault="001109E8" w:rsidP="001109E8">
      <w:r>
        <w:t>Parameters:</w:t>
      </w:r>
    </w:p>
    <w:p w14:paraId="5708728B" w14:textId="77777777" w:rsidR="001109E8" w:rsidRPr="001109E8" w:rsidRDefault="001109E8" w:rsidP="001109E8">
      <w:pPr>
        <w:rPr>
          <w:rFonts w:eastAsiaTheme="minorEastAsia"/>
        </w:rPr>
      </w:pPr>
      <m:oMathPara>
        <m:oMathParaPr>
          <m:jc m:val="left"/>
        </m:oMathParaPr>
        <m:oMath>
          <m:r>
            <w:rPr>
              <w:rFonts w:ascii="Cambria Math" w:hAnsi="Cambria Math"/>
            </w:rPr>
            <m:t xml:space="preserve">d= </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is the population difference between the average return for X and Y</m:t>
          </m:r>
        </m:oMath>
      </m:oMathPara>
    </w:p>
    <w:p w14:paraId="7A1F1FAD" w14:textId="52D7245D" w:rsidR="001109E8" w:rsidRPr="001109E8" w:rsidRDefault="00B9078F" w:rsidP="001109E8">
      <m:oMathPara>
        <m:oMathParaPr>
          <m:jc m:val="left"/>
        </m:oMathParaPr>
        <m:oMath>
          <m:r>
            <w:rPr>
              <w:rFonts w:ascii="Cambria Math" w:hAnsi="Cambria Math"/>
            </w:rPr>
            <m:t xml:space="preserve">g= </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y</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x</m:t>
              </m:r>
            </m:sub>
          </m:sSub>
          <m:r>
            <w:rPr>
              <w:rFonts w:ascii="Cambria Math" w:hAnsi="Cambria Math"/>
            </w:rPr>
            <m:t xml:space="preserve"> is the population difference between the average variance for X and Y</m:t>
          </m:r>
        </m:oMath>
      </m:oMathPara>
    </w:p>
    <w:p w14:paraId="170F203E" w14:textId="77777777" w:rsidR="001109E8" w:rsidRDefault="001109E8" w:rsidP="001109E8"/>
    <w:p w14:paraId="3A54AFAF" w14:textId="77777777" w:rsidR="001109E8" w:rsidRDefault="001109E8" w:rsidP="001109E8">
      <w:pPr>
        <w:rPr>
          <w:b/>
          <w:bCs/>
        </w:rPr>
      </w:pPr>
      <w:r w:rsidRPr="00B034CF">
        <w:rPr>
          <w:b/>
          <w:bCs/>
        </w:rPr>
        <w:t>Define the Model:</w:t>
      </w:r>
    </w:p>
    <w:p w14:paraId="5DE49926" w14:textId="77777777" w:rsidR="001109E8" w:rsidRDefault="001109E8" w:rsidP="001109E8"/>
    <w:p w14:paraId="25D43912" w14:textId="77777777" w:rsidR="001109E8" w:rsidRPr="00D66D79" w:rsidRDefault="001109E8" w:rsidP="001109E8">
      <w:r>
        <w:t>Likelihood:</w:t>
      </w:r>
      <m:oMath>
        <m:r>
          <m:rPr>
            <m:sty m:val="p"/>
          </m:rPr>
          <w:rPr>
            <w:rFonts w:ascii="Cambria Math" w:hAnsi="Cambria Math"/>
          </w:rPr>
          <w:br/>
        </m:r>
      </m:oMath>
      <m:oMathPara>
        <m:oMathParaPr>
          <m:jc m:val="center"/>
        </m:oMathParaPr>
        <m:oMath>
          <m:r>
            <w:rPr>
              <w:rFonts w:ascii="Cambria Math" w:hAnsi="Cambria Math"/>
            </w:rPr>
            <m:t>Population X:f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x</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data</m:t>
                  </m:r>
                </m:e>
                <m:sub>
                  <m:r>
                    <w:rPr>
                      <w:rFonts w:ascii="Cambria Math" w:hAnsi="Cambria Math"/>
                    </w:rPr>
                    <m:t>x</m:t>
                  </m:r>
                </m:sub>
              </m:sSub>
            </m:e>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x</m:t>
                  </m:r>
                </m:sub>
              </m:sSub>
            </m:e>
          </m:d>
        </m:oMath>
      </m:oMathPara>
    </w:p>
    <w:p w14:paraId="599E4174" w14:textId="77777777" w:rsidR="001109E8" w:rsidRPr="00D66D79" w:rsidRDefault="001109E8" w:rsidP="001109E8">
      <w:pPr>
        <w:rPr>
          <w:rFonts w:eastAsiaTheme="minorEastAsia"/>
        </w:rPr>
      </w:pPr>
      <m:oMathPara>
        <m:oMathParaPr>
          <m:jc m:val="center"/>
        </m:oMathParaPr>
        <m:oMath>
          <m:r>
            <w:rPr>
              <w:rFonts w:ascii="Cambria Math" w:hAnsi="Cambria Math"/>
            </w:rPr>
            <m:t>Population Y:f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y</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data</m:t>
                  </m:r>
                </m:e>
                <m:sub>
                  <m:r>
                    <w:rPr>
                      <w:rFonts w:ascii="Cambria Math" w:hAnsi="Cambria Math"/>
                    </w:rPr>
                    <m:t>y</m:t>
                  </m:r>
                </m:sub>
              </m:sSub>
            </m:e>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y</m:t>
                  </m:r>
                </m:sub>
              </m:sSub>
            </m:e>
          </m:d>
        </m:oMath>
      </m:oMathPara>
    </w:p>
    <w:p w14:paraId="2741D7C8" w14:textId="77777777" w:rsidR="001109E8" w:rsidRDefault="001109E8" w:rsidP="001109E8">
      <w:pPr>
        <w:rPr>
          <w:rFonts w:eastAsiaTheme="minorEastAsia"/>
        </w:rPr>
      </w:pPr>
    </w:p>
    <w:p w14:paraId="23FFE8ED" w14:textId="77777777" w:rsidR="001109E8" w:rsidRDefault="001109E8" w:rsidP="001109E8">
      <w:pPr>
        <w:rPr>
          <w:rFonts w:eastAsiaTheme="minorEastAsia"/>
        </w:rPr>
      </w:pPr>
      <w:r>
        <w:rPr>
          <w:rFonts w:eastAsiaTheme="minorEastAsia"/>
        </w:rPr>
        <w:t>Prior Distribution:</w:t>
      </w:r>
    </w:p>
    <w:p w14:paraId="2B979AB3" w14:textId="77777777" w:rsidR="001109E8" w:rsidRPr="00523E7A" w:rsidRDefault="006E05A2" w:rsidP="001109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e>
                <m:sub>
                  <m:r>
                    <w:rPr>
                      <w:rFonts w:ascii="Cambria Math" w:eastAsiaTheme="minorEastAsia" w:hAnsi="Cambria Math"/>
                    </w:rPr>
                    <m:t>x</m:t>
                  </m:r>
                </m:sub>
              </m:sSub>
            </m:e>
          </m:d>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e>
                <m:sub>
                  <m:r>
                    <w:rPr>
                      <w:rFonts w:ascii="Cambria Math" w:eastAsiaTheme="minorEastAsia" w:hAnsi="Cambria Math"/>
                    </w:rPr>
                    <m:t>y</m:t>
                  </m:r>
                </m:sub>
              </m:sSub>
            </m:e>
          </m:d>
          <m:r>
            <w:rPr>
              <w:rFonts w:ascii="Cambria Math" w:eastAsiaTheme="minorEastAsia" w:hAnsi="Cambria Math"/>
            </w:rPr>
            <m:t xml:space="preserve"> where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r>
            <w:rPr>
              <w:rFonts w:ascii="Cambria Math" w:eastAsiaTheme="minorEastAsia" w:hAnsi="Cambria Math"/>
            </w:rPr>
            <m:t xml:space="preserve">=0.027 and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e>
            <m:sub>
              <m:r>
                <w:rPr>
                  <w:rFonts w:ascii="Cambria Math" w:eastAsiaTheme="minorEastAsia" w:hAnsi="Cambria Math"/>
                </w:rPr>
                <m:t>x</m:t>
              </m:r>
            </m:sub>
          </m:sSub>
          <m:r>
            <w:rPr>
              <w:rFonts w:ascii="Cambria Math" w:eastAsiaTheme="minorEastAsia" w:hAnsi="Cambria Math"/>
            </w:rPr>
            <m:t>=.5</m:t>
          </m:r>
        </m:oMath>
      </m:oMathPara>
    </w:p>
    <w:p w14:paraId="72168D41" w14:textId="07761158" w:rsidR="001109E8" w:rsidRPr="00B9078F" w:rsidRDefault="006E05A2" w:rsidP="001109E8">
      <w:pPr>
        <w:rPr>
          <w:rFonts w:eastAsiaTheme="minorEastAsia"/>
        </w:rPr>
      </w:pPr>
      <m:oMathPara>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sub>
              <m:r>
                <w:rPr>
                  <w:rFonts w:ascii="Cambria Math" w:eastAsiaTheme="minorEastAsia" w:hAnsi="Cambria Math"/>
                </w:rPr>
                <m:t>x</m:t>
              </m:r>
            </m:sub>
          </m:sSub>
          <m:r>
            <w:rPr>
              <w:rFonts w:ascii="Cambria Math" w:eastAsiaTheme="minorEastAsia" w:hAnsi="Cambria Math"/>
            </w:rPr>
            <m:t>~IG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m:t>
                  </m:r>
                </m:sub>
              </m:sSub>
            </m:e>
          </m:d>
          <m:r>
            <w:rPr>
              <w:rFonts w:ascii="Cambria Math" w:eastAsiaTheme="minorEastAsia" w:hAnsi="Cambria Math"/>
            </w:rPr>
            <m:t xml:space="preserve"> and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sub>
              <m:r>
                <w:rPr>
                  <w:rFonts w:ascii="Cambria Math" w:eastAsiaTheme="minorEastAsia" w:hAnsi="Cambria Math"/>
                </w:rPr>
                <m:t>y</m:t>
              </m:r>
            </m:sub>
          </m:sSub>
          <m:r>
            <w:rPr>
              <w:rFonts w:ascii="Cambria Math" w:eastAsiaTheme="minorEastAsia" w:hAnsi="Cambria Math"/>
            </w:rPr>
            <m:t>~IG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y</m:t>
                  </m:r>
                </m:sub>
              </m:sSub>
            </m:e>
          </m:d>
          <m:r>
            <w:rPr>
              <w:rFonts w:ascii="Cambria Math" w:eastAsiaTheme="minorEastAsia" w:hAnsi="Cambria Math"/>
            </w:rPr>
            <m:t xml:space="preserve"> where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m:t>
              </m:r>
            </m:sub>
          </m:sSub>
          <m:r>
            <w:rPr>
              <w:rFonts w:ascii="Cambria Math" w:eastAsiaTheme="minorEastAsia" w:hAnsi="Cambria Math"/>
            </w:rPr>
            <m:t xml:space="preserve">=0.027 and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m:t>
              </m:r>
            </m:sub>
          </m:sSub>
          <m:r>
            <w:rPr>
              <w:rFonts w:ascii="Cambria Math" w:eastAsiaTheme="minorEastAsia" w:hAnsi="Cambria Math"/>
            </w:rPr>
            <m:t>=.5</m:t>
          </m:r>
        </m:oMath>
      </m:oMathPara>
    </w:p>
    <w:p w14:paraId="5784044E" w14:textId="7EA60C08" w:rsidR="00B9078F" w:rsidRDefault="00B9078F" w:rsidP="001109E8">
      <w:pPr>
        <w:rPr>
          <w:rFonts w:eastAsiaTheme="minorEastAsia"/>
        </w:rPr>
      </w:pPr>
    </w:p>
    <w:p w14:paraId="6CD5C1DA" w14:textId="77777777" w:rsidR="00794A90" w:rsidRPr="00794A90" w:rsidRDefault="00B9078F" w:rsidP="00794A90">
      <w:pPr>
        <w:ind w:left="720" w:firstLine="720"/>
        <w:rPr>
          <w:rFonts w:ascii="Cambria Math" w:eastAsiaTheme="minorEastAsia" w:hAnsi="Cambria Math"/>
        </w:rPr>
      </w:pPr>
      <m:oMathPara>
        <m:oMathParaPr>
          <m:jc m:val="left"/>
        </m:oMathParaPr>
        <m:oMath>
          <m:r>
            <w:rPr>
              <w:rFonts w:ascii="Cambria Math" w:eastAsiaTheme="minorEastAsia" w:hAnsi="Cambria Math"/>
            </w:rPr>
            <m:t>d~N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e>
                <m:sub>
                  <m:r>
                    <w:rPr>
                      <w:rFonts w:ascii="Cambria Math" w:eastAsiaTheme="minorEastAsia" w:hAnsi="Cambria Math"/>
                    </w:rPr>
                    <m:t>x</m:t>
                  </m:r>
                </m:sub>
              </m:sSub>
            </m:e>
          </m:d>
          <m:r>
            <w:rPr>
              <w:rFonts w:ascii="Cambria Math" w:eastAsiaTheme="minorEastAsia" w:hAnsi="Cambria Math"/>
            </w:rPr>
            <m:t xml:space="preserve"> where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r>
            <w:rPr>
              <w:rFonts w:ascii="Cambria Math" w:eastAsiaTheme="minorEastAsia" w:hAnsi="Cambria Math"/>
            </w:rPr>
            <m:t xml:space="preserve">=0 and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e>
            <m:sub>
              <m:r>
                <w:rPr>
                  <w:rFonts w:ascii="Cambria Math" w:eastAsiaTheme="minorEastAsia" w:hAnsi="Cambria Math"/>
                </w:rPr>
                <m:t>x</m:t>
              </m:r>
            </m:sub>
          </m:sSub>
          <m:r>
            <w:rPr>
              <w:rFonts w:ascii="Cambria Math" w:eastAsiaTheme="minorEastAsia" w:hAnsi="Cambria Math"/>
            </w:rPr>
            <m:t>=1</m:t>
          </m:r>
        </m:oMath>
      </m:oMathPara>
    </w:p>
    <w:p w14:paraId="3744C26C" w14:textId="77777777" w:rsidR="00A31D0D" w:rsidRPr="00A31D0D" w:rsidRDefault="00794A90" w:rsidP="00794A90">
      <w:pPr>
        <w:ind w:left="720" w:firstLine="720"/>
        <w:rPr>
          <w:rFonts w:ascii="Cambria Math" w:eastAsiaTheme="minorEastAsia" w:hAnsi="Cambria Math"/>
        </w:rPr>
      </w:pPr>
      <m:oMathPara>
        <m:oMathParaPr>
          <m:jc m:val="left"/>
        </m:oMathParaPr>
        <m:oMath>
          <m:r>
            <w:rPr>
              <w:rFonts w:ascii="Cambria Math" w:eastAsiaTheme="minorEastAsia" w:hAnsi="Cambria Math"/>
            </w:rPr>
            <w:lastRenderedPageBreak/>
            <m:t>g~N</m:t>
          </m:r>
          <m:d>
            <m:dPr>
              <m:ctrlPr>
                <w:rPr>
                  <w:rFonts w:ascii="Cambria Math" w:eastAsiaTheme="minorEastAsia"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y</m:t>
                  </m:r>
                </m:sub>
              </m:sSub>
              <m:r>
                <w:rPr>
                  <w:rFonts w:ascii="Cambria Math" w:eastAsiaTheme="minorEastAsia"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x</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y</m:t>
                          </m:r>
                        </m:sub>
                      </m:sSub>
                    </m:e>
                    <m:sup>
                      <m:r>
                        <w:rPr>
                          <w:rFonts w:ascii="Cambria Math" w:eastAsiaTheme="minorEastAsia" w:hAnsi="Cambria Math"/>
                        </w:rPr>
                        <m:t>2</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y</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y</m:t>
                      </m:r>
                    </m:sub>
                  </m:sSub>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m:t>
                          </m:r>
                        </m:sub>
                      </m:sSub>
                    </m:e>
                    <m:sup>
                      <m:r>
                        <w:rPr>
                          <w:rFonts w:ascii="Cambria Math" w:eastAsiaTheme="minorEastAsia" w:hAnsi="Cambria Math"/>
                        </w:rPr>
                        <m:t>2</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m:t>
                      </m:r>
                    </m:sub>
                  </m:sSub>
                  <m:r>
                    <w:rPr>
                      <w:rFonts w:ascii="Cambria Math" w:eastAsiaTheme="minorEastAsia" w:hAnsi="Cambria Math"/>
                    </w:rPr>
                    <m:t>-2)</m:t>
                  </m:r>
                </m:den>
              </m:f>
            </m:e>
          </m:d>
        </m:oMath>
      </m:oMathPara>
    </w:p>
    <w:p w14:paraId="13F56B34" w14:textId="77777777" w:rsidR="00A31D0D" w:rsidRDefault="00A31D0D" w:rsidP="00A31D0D">
      <w:pPr>
        <w:ind w:left="720" w:firstLine="720"/>
        <w:rPr>
          <w:rFonts w:ascii="Cambria Math" w:eastAsiaTheme="minorEastAsia" w:hAnsi="Cambria Math"/>
        </w:rPr>
      </w:pPr>
    </w:p>
    <w:p w14:paraId="624C70E4" w14:textId="7E710824" w:rsidR="00794A90" w:rsidRPr="00A31D0D" w:rsidRDefault="00794A90" w:rsidP="00A31D0D">
      <w:pPr>
        <w:ind w:left="720" w:firstLine="720"/>
        <w:rPr>
          <w:rFonts w:ascii="Cambria Math" w:eastAsiaTheme="minorEastAsia" w:hAnsi="Cambria Math"/>
        </w:rPr>
      </w:pPr>
      <m:oMathPara>
        <m:oMathParaPr>
          <m:jc m:val="left"/>
        </m:oMathParaPr>
        <m:oMath>
          <m:r>
            <w:rPr>
              <w:rFonts w:ascii="Cambria Math" w:eastAsiaTheme="minorEastAsia" w:hAnsi="Cambria Math"/>
            </w:rPr>
            <m:t xml:space="preserve"> where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r>
            <w:rPr>
              <w:rFonts w:ascii="Cambria Math" w:eastAsiaTheme="minorEastAsia" w:hAnsi="Cambria Math"/>
            </w:rPr>
            <m:t xml:space="preserve">=0 and  </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y</m:t>
                      </m:r>
                    </m:sub>
                  </m:sSub>
                </m:e>
                <m:sup>
                  <m:r>
                    <w:rPr>
                      <w:rFonts w:ascii="Cambria Math" w:eastAsiaTheme="minorEastAsia" w:hAnsi="Cambria Math"/>
                    </w:rPr>
                    <m:t>2</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y</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y</m:t>
                  </m:r>
                </m:sub>
              </m:sSub>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x</m:t>
                      </m:r>
                    </m:sub>
                  </m:sSub>
                </m:e>
                <m:sup>
                  <m:r>
                    <w:rPr>
                      <w:rFonts w:ascii="Cambria Math" w:eastAsiaTheme="minorEastAsia" w:hAnsi="Cambria Math"/>
                    </w:rPr>
                    <m:t>2</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x</m:t>
                  </m:r>
                </m:sub>
              </m:sSub>
              <m:r>
                <w:rPr>
                  <w:rFonts w:ascii="Cambria Math" w:eastAsiaTheme="minorEastAsia" w:hAnsi="Cambria Math"/>
                </w:rPr>
                <m:t>-2)</m:t>
              </m:r>
            </m:den>
          </m:f>
          <m:r>
            <w:rPr>
              <w:rFonts w:ascii="Cambria Math" w:eastAsiaTheme="minorEastAsia" w:hAnsi="Cambria Math"/>
            </w:rPr>
            <m:t>=0.01458</m:t>
          </m:r>
        </m:oMath>
      </m:oMathPara>
    </w:p>
    <w:p w14:paraId="43289E18" w14:textId="515242F1" w:rsidR="00B9078F" w:rsidRPr="00523E7A" w:rsidRDefault="00B9078F" w:rsidP="001109E8">
      <w:pPr>
        <w:rPr>
          <w:rFonts w:eastAsiaTheme="minorEastAsia"/>
        </w:rPr>
      </w:pPr>
    </w:p>
    <w:p w14:paraId="6635FAB6" w14:textId="77777777" w:rsidR="001109E8" w:rsidRDefault="001109E8" w:rsidP="001109E8">
      <w:pPr>
        <w:rPr>
          <w:rFonts w:eastAsiaTheme="minorEastAsia"/>
        </w:rPr>
      </w:pPr>
    </w:p>
    <w:p w14:paraId="3FDFFAF3" w14:textId="21475724" w:rsidR="001109E8" w:rsidRDefault="001109E8" w:rsidP="001109E8">
      <w:pPr>
        <w:rPr>
          <w:rFonts w:eastAsiaTheme="minorEastAsia"/>
        </w:rPr>
      </w:pPr>
      <w:r>
        <w:rPr>
          <w:rFonts w:eastAsiaTheme="minorEastAsia"/>
        </w:rPr>
        <w:t>The average return on the stock market historically has returned an average of about 10% annually (0.0027% daily), but year-to-year returns are highly variant, which is why we chose these prior parameters.</w:t>
      </w:r>
      <w:r w:rsidR="0022468B">
        <w:rPr>
          <w:rFonts w:eastAsiaTheme="minorEastAsia"/>
        </w:rPr>
        <w:t xml:space="preserve"> The sample that we are using is specifically for the year 2019, so conclusions can only be made for the same population, the year 2019. The true average return value and volatility are unknown for these reasons.</w:t>
      </w:r>
    </w:p>
    <w:p w14:paraId="751B41D1" w14:textId="31B8F247" w:rsidR="001109E8" w:rsidRDefault="001109E8" w:rsidP="001109E8">
      <w:pPr>
        <w:rPr>
          <w:rFonts w:eastAsiaTheme="minorEastAsia"/>
        </w:rPr>
      </w:pPr>
    </w:p>
    <w:p w14:paraId="5C90A2E4" w14:textId="6ED07819" w:rsidR="00A15F4C" w:rsidRDefault="001109E8" w:rsidP="00A15F4C">
      <w:pPr>
        <w:rPr>
          <w:rFonts w:eastAsiaTheme="minorEastAsia"/>
        </w:rPr>
      </w:pPr>
      <w:r>
        <w:rPr>
          <w:rFonts w:eastAsiaTheme="minorEastAsia"/>
        </w:rPr>
        <w:t xml:space="preserve">Data collected for this analysis was gathered </w:t>
      </w:r>
      <w:r w:rsidR="001E08CA">
        <w:rPr>
          <w:rFonts w:eastAsiaTheme="minorEastAsia"/>
        </w:rPr>
        <w:t xml:space="preserve">and </w:t>
      </w:r>
      <w:r w:rsidR="00DE5B80">
        <w:rPr>
          <w:rFonts w:eastAsiaTheme="minorEastAsia"/>
        </w:rPr>
        <w:t xml:space="preserve">randomly </w:t>
      </w:r>
      <w:r w:rsidR="001E08CA">
        <w:rPr>
          <w:rFonts w:eastAsiaTheme="minorEastAsia"/>
        </w:rPr>
        <w:t xml:space="preserve">sampled </w:t>
      </w:r>
      <w:r>
        <w:rPr>
          <w:rFonts w:eastAsiaTheme="minorEastAsia"/>
        </w:rPr>
        <w:t xml:space="preserve">from </w:t>
      </w:r>
      <w:r w:rsidR="00C82016" w:rsidRPr="00C82016">
        <w:rPr>
          <w:rFonts w:eastAsiaTheme="minorEastAsia"/>
        </w:rPr>
        <w:t>https://finance.yahoo.com/</w:t>
      </w:r>
      <w:r w:rsidR="00C82016">
        <w:rPr>
          <w:rFonts w:eastAsiaTheme="minorEastAsia"/>
        </w:rPr>
        <w:t>quote/ for returns on both IPO stocks and the S&amp;P 500 (^GSPC)</w:t>
      </w:r>
      <w:r w:rsidR="001E08CA">
        <w:rPr>
          <w:rFonts w:eastAsiaTheme="minorEastAsia"/>
        </w:rPr>
        <w:t xml:space="preserve"> from January 1</w:t>
      </w:r>
      <w:r w:rsidR="001E08CA" w:rsidRPr="001E08CA">
        <w:rPr>
          <w:rFonts w:eastAsiaTheme="minorEastAsia"/>
          <w:vertAlign w:val="superscript"/>
        </w:rPr>
        <w:t>st</w:t>
      </w:r>
      <w:r w:rsidR="00AE7DA0">
        <w:rPr>
          <w:rFonts w:eastAsiaTheme="minorEastAsia"/>
        </w:rPr>
        <w:t>, 2019</w:t>
      </w:r>
      <w:r w:rsidR="001E08CA">
        <w:rPr>
          <w:rFonts w:eastAsiaTheme="minorEastAsia"/>
        </w:rPr>
        <w:t xml:space="preserve"> to November 19</w:t>
      </w:r>
      <w:r w:rsidR="001E08CA" w:rsidRPr="001E08CA">
        <w:rPr>
          <w:rFonts w:eastAsiaTheme="minorEastAsia"/>
          <w:vertAlign w:val="superscript"/>
        </w:rPr>
        <w:t>th</w:t>
      </w:r>
      <w:r w:rsidR="00AE7DA0">
        <w:rPr>
          <w:rFonts w:eastAsiaTheme="minorEastAsia"/>
        </w:rPr>
        <w:t>, 2019</w:t>
      </w:r>
      <w:r w:rsidR="00C82016">
        <w:rPr>
          <w:rFonts w:eastAsiaTheme="minorEastAsia"/>
        </w:rPr>
        <w:t xml:space="preserve">. </w:t>
      </w:r>
      <w:r w:rsidR="00782E1D">
        <w:rPr>
          <w:rFonts w:eastAsiaTheme="minorEastAsia"/>
        </w:rPr>
        <w:t xml:space="preserve">This particular index was chosen because of </w:t>
      </w:r>
      <w:r w:rsidR="00AE7DA0">
        <w:rPr>
          <w:rFonts w:eastAsiaTheme="minorEastAsia"/>
        </w:rPr>
        <w:t>its</w:t>
      </w:r>
      <w:r w:rsidR="00782E1D">
        <w:rPr>
          <w:rFonts w:eastAsiaTheme="minorEastAsia"/>
        </w:rPr>
        <w:t xml:space="preserve"> historically high investment value. To prove the worth of returns on IPOs, this would be the best measure to compare against. </w:t>
      </w:r>
      <w:r w:rsidR="00C82016">
        <w:rPr>
          <w:rFonts w:eastAsiaTheme="minorEastAsia"/>
        </w:rPr>
        <w:t>The returns</w:t>
      </w:r>
      <w:r w:rsidR="00A93C80">
        <w:rPr>
          <w:rFonts w:eastAsiaTheme="minorEastAsia"/>
        </w:rPr>
        <w:t xml:space="preserve"> for each single day</w:t>
      </w:r>
      <w:r w:rsidR="00C82016">
        <w:rPr>
          <w:rFonts w:eastAsiaTheme="minorEastAsia"/>
        </w:rPr>
        <w:t xml:space="preserve"> were calculated as a percent using this formula:</w:t>
      </w:r>
    </w:p>
    <w:p w14:paraId="3F5AAB93" w14:textId="14750B7C" w:rsidR="00C82016" w:rsidRDefault="00C82016" w:rsidP="00A15F4C">
      <w:pPr>
        <w:rPr>
          <w:rFonts w:eastAsiaTheme="minorEastAsia"/>
        </w:rPr>
      </w:pPr>
    </w:p>
    <w:p w14:paraId="694648CB" w14:textId="3502629C" w:rsidR="00C82016" w:rsidRPr="009C0C08" w:rsidRDefault="00A93C80" w:rsidP="00A15F4C">
      <w:pPr>
        <w:rPr>
          <w:rFonts w:eastAsiaTheme="minorEastAsia"/>
        </w:rPr>
      </w:pPr>
      <m:oMathPara>
        <m:oMath>
          <m:r>
            <w:rPr>
              <w:rFonts w:ascii="Cambria Math" w:eastAsiaTheme="minorEastAsia" w:hAnsi="Cambria Math"/>
            </w:rPr>
            <m:t>single day return=</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day one open price-day two open price</m:t>
                  </m:r>
                </m:e>
              </m:d>
            </m:num>
            <m:den>
              <m:r>
                <w:rPr>
                  <w:rFonts w:ascii="Cambria Math" w:eastAsiaTheme="minorEastAsia" w:hAnsi="Cambria Math"/>
                </w:rPr>
                <m:t>day one open price</m:t>
              </m:r>
            </m:den>
          </m:f>
        </m:oMath>
      </m:oMathPara>
    </w:p>
    <w:p w14:paraId="03B99971" w14:textId="77777777" w:rsidR="001E08CA" w:rsidRDefault="001E08CA" w:rsidP="00A15F4C">
      <w:pPr>
        <w:rPr>
          <w:rFonts w:eastAsiaTheme="minorEastAsia"/>
        </w:rPr>
      </w:pPr>
    </w:p>
    <w:p w14:paraId="33C345A8" w14:textId="5A7BA796" w:rsidR="009C0C08" w:rsidRDefault="00A93C80" w:rsidP="00A15F4C">
      <w:pPr>
        <w:rPr>
          <w:rFonts w:eastAsiaTheme="minorEastAsia"/>
        </w:rPr>
      </w:pPr>
      <w:r>
        <w:rPr>
          <w:rFonts w:eastAsiaTheme="minorEastAsia"/>
        </w:rPr>
        <w:t xml:space="preserve">Originally, the same day difference (open price – close price) was going to be used as our returns, but </w:t>
      </w:r>
      <w:r w:rsidR="009C0C08">
        <w:rPr>
          <w:rFonts w:eastAsiaTheme="minorEastAsia"/>
        </w:rPr>
        <w:t>the</w:t>
      </w:r>
      <w:r>
        <w:rPr>
          <w:rFonts w:eastAsiaTheme="minorEastAsia"/>
        </w:rPr>
        <w:t>se returns for the</w:t>
      </w:r>
      <w:r w:rsidR="009C0C08">
        <w:rPr>
          <w:rFonts w:eastAsiaTheme="minorEastAsia"/>
        </w:rPr>
        <w:t xml:space="preserve"> </w:t>
      </w:r>
      <w:r w:rsidR="001E08CA">
        <w:rPr>
          <w:rFonts w:eastAsiaTheme="minorEastAsia"/>
        </w:rPr>
        <w:t>S&amp;P 500</w:t>
      </w:r>
      <w:r>
        <w:rPr>
          <w:rFonts w:eastAsiaTheme="minorEastAsia"/>
        </w:rPr>
        <w:t xml:space="preserve"> </w:t>
      </w:r>
      <w:r w:rsidR="001E08CA">
        <w:rPr>
          <w:rFonts w:eastAsiaTheme="minorEastAsia"/>
        </w:rPr>
        <w:t>turned out to be much less than the average daily return for the year</w:t>
      </w:r>
      <w:r>
        <w:rPr>
          <w:rFonts w:eastAsiaTheme="minorEastAsia"/>
        </w:rPr>
        <w:t>.</w:t>
      </w:r>
      <w:r w:rsidR="00DE5B80">
        <w:rPr>
          <w:rFonts w:eastAsiaTheme="minorEastAsia"/>
        </w:rPr>
        <w:t xml:space="preserve"> This is because a majority of the positive return for this specific index happened between trading hours as recorded by finance.yahoo.com. To adjust for this, we changed the returns to include returns between trading hours and this worked.</w:t>
      </w:r>
    </w:p>
    <w:p w14:paraId="54D8F91C" w14:textId="22D99C49" w:rsidR="00DE5B80" w:rsidRDefault="00DE5B80" w:rsidP="00A15F4C">
      <w:pPr>
        <w:rPr>
          <w:rFonts w:eastAsiaTheme="minorEastAsia"/>
        </w:rPr>
      </w:pPr>
    </w:p>
    <w:p w14:paraId="114D72B1" w14:textId="1A7A7808" w:rsidR="00DE5B80" w:rsidRDefault="0048437D" w:rsidP="00A15F4C">
      <w:pPr>
        <w:rPr>
          <w:rFonts w:eastAsiaTheme="minorEastAsia"/>
          <w:b/>
        </w:rPr>
      </w:pPr>
      <w:r>
        <w:rPr>
          <w:rFonts w:eastAsiaTheme="minorEastAsia"/>
          <w:b/>
        </w:rPr>
        <w:t>Posterior Distribution</w:t>
      </w:r>
    </w:p>
    <w:p w14:paraId="675B8799" w14:textId="3D6DD75E" w:rsidR="001A0BAA" w:rsidRDefault="001A0BAA" w:rsidP="00A15F4C">
      <w:pPr>
        <w:rPr>
          <w:rFonts w:eastAsiaTheme="minorEastAsia"/>
          <w:b/>
        </w:rPr>
      </w:pPr>
    </w:p>
    <w:p w14:paraId="39EC025F" w14:textId="4A9DC9D7" w:rsidR="001A0BAA" w:rsidRDefault="001A0BAA" w:rsidP="001A0BAA">
      <w:pPr>
        <w:rPr>
          <w:rFonts w:eastAsiaTheme="minorEastAsia"/>
        </w:rPr>
      </w:pPr>
      <w:r>
        <w:rPr>
          <w:rFonts w:eastAsiaTheme="minorEastAsia"/>
        </w:rPr>
        <w:t xml:space="preserve">Using Gibbs sampling we found estimates for the posterior distribution of </w:t>
      </w:r>
      <w:proofErr w:type="spellStart"/>
      <w:r>
        <w:rPr>
          <w:rFonts w:eastAsiaTheme="minorEastAsia" w:cstheme="minorHAnsi"/>
        </w:rPr>
        <w:t>μ</w:t>
      </w:r>
      <w:r>
        <w:rPr>
          <w:rFonts w:eastAsiaTheme="minorEastAsia"/>
        </w:rPr>
        <w:t>s</w:t>
      </w:r>
      <w:proofErr w:type="spellEnd"/>
      <w:r>
        <w:rPr>
          <w:rFonts w:eastAsiaTheme="minorEastAsia"/>
        </w:rPr>
        <w:t xml:space="preserve"> and </w:t>
      </w:r>
      <m:oMath>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oMath>
      <w:r>
        <w:rPr>
          <w:rFonts w:eastAsiaTheme="minorEastAsia"/>
        </w:rPr>
        <w:t>s for both IP</w:t>
      </w:r>
      <w:r w:rsidR="009C7D2F">
        <w:rPr>
          <w:rFonts w:eastAsiaTheme="minorEastAsia"/>
        </w:rPr>
        <w:t>O stocks</w:t>
      </w:r>
      <w:r>
        <w:rPr>
          <w:rFonts w:eastAsiaTheme="minorEastAsia"/>
        </w:rPr>
        <w:t xml:space="preserve"> and </w:t>
      </w:r>
      <w:r w:rsidR="009C7D2F">
        <w:rPr>
          <w:rFonts w:eastAsiaTheme="minorEastAsia"/>
        </w:rPr>
        <w:t>the S&amp;P 500 index</w:t>
      </w:r>
      <w:r>
        <w:rPr>
          <w:rFonts w:eastAsiaTheme="minorEastAsia"/>
        </w:rPr>
        <w:t xml:space="preserve">. The following table contains the means and 95% credible intervals for </w:t>
      </w:r>
      <w:r>
        <w:rPr>
          <w:rFonts w:eastAsiaTheme="minorEastAsia" w:cstheme="minorHAnsi"/>
        </w:rPr>
        <w:t>μ and</w:t>
      </w:r>
      <w:r>
        <w:rPr>
          <w:rFonts w:eastAsiaTheme="minorEastAsia"/>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oMath>
      <w:r>
        <w:rPr>
          <w:rFonts w:eastAsiaTheme="minorEastAsia"/>
        </w:rPr>
        <w:t xml:space="preserve"> for both IP</w:t>
      </w:r>
      <w:r w:rsidR="009C7D2F">
        <w:rPr>
          <w:rFonts w:eastAsiaTheme="minorEastAsia"/>
        </w:rPr>
        <w:t>O</w:t>
      </w:r>
      <w:r>
        <w:rPr>
          <w:rFonts w:eastAsiaTheme="minorEastAsia"/>
        </w:rPr>
        <w:t xml:space="preserve"> and </w:t>
      </w:r>
      <w:r w:rsidR="009C7D2F">
        <w:rPr>
          <w:rFonts w:eastAsiaTheme="minorEastAsia"/>
        </w:rPr>
        <w:t>the S&amp;P 500</w:t>
      </w:r>
      <w:r>
        <w:rPr>
          <w:rFonts w:eastAsiaTheme="minorEastAsia"/>
        </w:rPr>
        <w:t>:</w:t>
      </w:r>
    </w:p>
    <w:p w14:paraId="7D327F7C" w14:textId="77777777" w:rsidR="007F7272" w:rsidRDefault="007F7272" w:rsidP="001A0BAA">
      <w:pPr>
        <w:rPr>
          <w:rFonts w:eastAsiaTheme="minorEastAsia"/>
        </w:rPr>
      </w:pPr>
    </w:p>
    <w:tbl>
      <w:tblPr>
        <w:tblStyle w:val="TableGrid"/>
        <w:tblW w:w="0" w:type="auto"/>
        <w:tblLook w:val="04A0" w:firstRow="1" w:lastRow="0" w:firstColumn="1" w:lastColumn="0" w:noHBand="0" w:noVBand="1"/>
      </w:tblPr>
      <w:tblGrid>
        <w:gridCol w:w="3116"/>
        <w:gridCol w:w="3117"/>
        <w:gridCol w:w="3117"/>
      </w:tblGrid>
      <w:tr w:rsidR="007F7272" w14:paraId="42617E4E" w14:textId="77777777" w:rsidTr="007F7272">
        <w:tc>
          <w:tcPr>
            <w:tcW w:w="3116" w:type="dxa"/>
          </w:tcPr>
          <w:p w14:paraId="3A222055" w14:textId="510D98C9" w:rsidR="007F7272" w:rsidRDefault="007F7272" w:rsidP="001A0BAA">
            <w:pPr>
              <w:rPr>
                <w:rFonts w:eastAsiaTheme="minorEastAsia"/>
              </w:rPr>
            </w:pPr>
            <w:r>
              <w:rPr>
                <w:rFonts w:eastAsiaTheme="minorEastAsia"/>
              </w:rPr>
              <w:t>Type of Stock</w:t>
            </w:r>
          </w:p>
        </w:tc>
        <w:tc>
          <w:tcPr>
            <w:tcW w:w="3117" w:type="dxa"/>
          </w:tcPr>
          <w:p w14:paraId="4A3F26FC" w14:textId="5E47B195" w:rsidR="007F7272" w:rsidRDefault="007F7272" w:rsidP="001A0BAA">
            <w:pPr>
              <w:rPr>
                <w:rFonts w:eastAsiaTheme="minorEastAsia"/>
              </w:rPr>
            </w:pPr>
            <w:r>
              <w:rPr>
                <w:rFonts w:eastAsiaTheme="minorEastAsia"/>
              </w:rPr>
              <w:t>Mean of Parameter</w:t>
            </w:r>
          </w:p>
        </w:tc>
        <w:tc>
          <w:tcPr>
            <w:tcW w:w="3117" w:type="dxa"/>
          </w:tcPr>
          <w:p w14:paraId="73C75DAC" w14:textId="71E6B000" w:rsidR="007F7272" w:rsidRDefault="007F7272" w:rsidP="001A0BAA">
            <w:pPr>
              <w:rPr>
                <w:rFonts w:eastAsiaTheme="minorEastAsia"/>
              </w:rPr>
            </w:pPr>
            <w:r>
              <w:rPr>
                <w:rFonts w:eastAsiaTheme="minorEastAsia"/>
              </w:rPr>
              <w:t>95% Credible Interval</w:t>
            </w:r>
          </w:p>
        </w:tc>
      </w:tr>
      <w:tr w:rsidR="007F7272" w14:paraId="62538FFB" w14:textId="77777777" w:rsidTr="007F7272">
        <w:tc>
          <w:tcPr>
            <w:tcW w:w="3116" w:type="dxa"/>
            <w:vMerge w:val="restart"/>
          </w:tcPr>
          <w:p w14:paraId="313742B0" w14:textId="188B2B78" w:rsidR="007F7272" w:rsidRDefault="007F7272" w:rsidP="001A0BAA">
            <w:pPr>
              <w:rPr>
                <w:rFonts w:eastAsiaTheme="minorEastAsia"/>
              </w:rPr>
            </w:pPr>
            <w:r>
              <w:rPr>
                <w:rFonts w:eastAsiaTheme="minorEastAsia"/>
              </w:rPr>
              <w:t>I</w:t>
            </w:r>
            <w:r w:rsidR="009C7D2F">
              <w:rPr>
                <w:rFonts w:eastAsiaTheme="minorEastAsia"/>
              </w:rPr>
              <w:t>PO</w:t>
            </w:r>
          </w:p>
        </w:tc>
        <w:tc>
          <w:tcPr>
            <w:tcW w:w="3117" w:type="dxa"/>
          </w:tcPr>
          <w:p w14:paraId="3006374D" w14:textId="1BF8D66E" w:rsidR="007F7272" w:rsidRDefault="007F7272" w:rsidP="00F86657">
            <w:pPr>
              <w:jc w:val="center"/>
              <w:rPr>
                <w:rFonts w:eastAsiaTheme="minorEastAsia"/>
              </w:rPr>
            </w:pPr>
            <w:r>
              <w:rPr>
                <w:rFonts w:eastAsiaTheme="minorEastAsia" w:cstheme="minorHAnsi"/>
              </w:rPr>
              <w:t xml:space="preserve">E(μ) = </w:t>
            </w:r>
            <w:r w:rsidR="00F86657">
              <w:rPr>
                <w:rFonts w:eastAsiaTheme="minorEastAsia" w:cstheme="minorHAnsi"/>
              </w:rPr>
              <w:t>0.</w:t>
            </w:r>
            <w:r w:rsidR="00AF4F94">
              <w:rPr>
                <w:rFonts w:eastAsiaTheme="minorEastAsia" w:cstheme="minorHAnsi"/>
              </w:rPr>
              <w:t>0305</w:t>
            </w:r>
          </w:p>
        </w:tc>
        <w:tc>
          <w:tcPr>
            <w:tcW w:w="3117" w:type="dxa"/>
          </w:tcPr>
          <w:p w14:paraId="798444E2" w14:textId="4BB15849" w:rsidR="007F7272" w:rsidRDefault="007F7272" w:rsidP="00F86657">
            <w:pPr>
              <w:jc w:val="center"/>
              <w:rPr>
                <w:rFonts w:eastAsiaTheme="minorEastAsia"/>
              </w:rPr>
            </w:pPr>
            <w:r>
              <w:rPr>
                <w:rFonts w:eastAsiaTheme="minorEastAsia"/>
              </w:rPr>
              <w:t>(0.00</w:t>
            </w:r>
            <w:r w:rsidR="00AF4F94">
              <w:rPr>
                <w:rFonts w:eastAsiaTheme="minorEastAsia"/>
              </w:rPr>
              <w:t>37</w:t>
            </w:r>
            <w:r w:rsidR="00F86657">
              <w:rPr>
                <w:rFonts w:eastAsiaTheme="minorEastAsia"/>
              </w:rPr>
              <w:t>, 0.0</w:t>
            </w:r>
            <w:r w:rsidR="00AF4F94">
              <w:rPr>
                <w:rFonts w:eastAsiaTheme="minorEastAsia"/>
              </w:rPr>
              <w:t>580</w:t>
            </w:r>
            <w:r>
              <w:rPr>
                <w:rFonts w:eastAsiaTheme="minorEastAsia"/>
              </w:rPr>
              <w:t>)</w:t>
            </w:r>
          </w:p>
        </w:tc>
      </w:tr>
      <w:tr w:rsidR="007F7272" w14:paraId="79B20DEF" w14:textId="77777777" w:rsidTr="007F7272">
        <w:tc>
          <w:tcPr>
            <w:tcW w:w="3116" w:type="dxa"/>
            <w:vMerge/>
          </w:tcPr>
          <w:p w14:paraId="3AC77004" w14:textId="77777777" w:rsidR="007F7272" w:rsidRDefault="007F7272" w:rsidP="001A0BAA">
            <w:pPr>
              <w:rPr>
                <w:rFonts w:eastAsiaTheme="minorEastAsia"/>
              </w:rPr>
            </w:pPr>
          </w:p>
        </w:tc>
        <w:tc>
          <w:tcPr>
            <w:tcW w:w="3117" w:type="dxa"/>
          </w:tcPr>
          <w:p w14:paraId="10212F82" w14:textId="4FFBA98E" w:rsidR="007F7272" w:rsidRPr="007F7272" w:rsidRDefault="007F7272" w:rsidP="00F86657">
            <w:pPr>
              <w:jc w:val="center"/>
              <w:rPr>
                <w:rFonts w:eastAsiaTheme="minorEastAsia"/>
              </w:rPr>
            </w:pPr>
            <w:r>
              <w:rPr>
                <w:rFonts w:eastAsiaTheme="minorEastAsia"/>
              </w:rPr>
              <w:t>E</w:t>
            </w:r>
            <m:oMath>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oMath>
            <w:r>
              <w:rPr>
                <w:rFonts w:eastAsiaTheme="minorEastAsia"/>
              </w:rPr>
              <w:t>)=</w:t>
            </w:r>
            <w:r>
              <w:t xml:space="preserve"> </w:t>
            </w:r>
            <w:r w:rsidR="00F86657">
              <w:rPr>
                <w:rFonts w:eastAsiaTheme="minorEastAsia"/>
              </w:rPr>
              <w:t>0.02</w:t>
            </w:r>
            <w:r w:rsidR="00AF4F94">
              <w:rPr>
                <w:rFonts w:eastAsiaTheme="minorEastAsia"/>
              </w:rPr>
              <w:t>66</w:t>
            </w:r>
          </w:p>
        </w:tc>
        <w:tc>
          <w:tcPr>
            <w:tcW w:w="3117" w:type="dxa"/>
          </w:tcPr>
          <w:p w14:paraId="642850D6" w14:textId="3BD97A41" w:rsidR="007F7272" w:rsidRDefault="00F86657" w:rsidP="00F86657">
            <w:pPr>
              <w:jc w:val="center"/>
              <w:rPr>
                <w:rFonts w:eastAsiaTheme="minorEastAsia"/>
              </w:rPr>
            </w:pPr>
            <w:r>
              <w:rPr>
                <w:rFonts w:eastAsiaTheme="minorEastAsia"/>
              </w:rPr>
              <w:t>(0.0</w:t>
            </w:r>
            <w:r w:rsidR="00AF4F94">
              <w:rPr>
                <w:rFonts w:eastAsiaTheme="minorEastAsia"/>
              </w:rPr>
              <w:t>210</w:t>
            </w:r>
            <w:r>
              <w:rPr>
                <w:rFonts w:eastAsiaTheme="minorEastAsia"/>
              </w:rPr>
              <w:t>, 0.0</w:t>
            </w:r>
            <w:r w:rsidR="00AF4F94">
              <w:rPr>
                <w:rFonts w:eastAsiaTheme="minorEastAsia"/>
              </w:rPr>
              <w:t>336</w:t>
            </w:r>
            <w:r>
              <w:rPr>
                <w:rFonts w:eastAsiaTheme="minorEastAsia"/>
              </w:rPr>
              <w:t>)</w:t>
            </w:r>
          </w:p>
        </w:tc>
      </w:tr>
      <w:tr w:rsidR="007F7272" w14:paraId="12302DCA" w14:textId="77777777" w:rsidTr="007F7272">
        <w:tc>
          <w:tcPr>
            <w:tcW w:w="3116" w:type="dxa"/>
            <w:vMerge w:val="restart"/>
          </w:tcPr>
          <w:p w14:paraId="3ECD951E" w14:textId="3F51527F" w:rsidR="007F7272" w:rsidRDefault="009C7D2F" w:rsidP="007F7272">
            <w:pPr>
              <w:rPr>
                <w:rFonts w:eastAsiaTheme="minorEastAsia"/>
              </w:rPr>
            </w:pPr>
            <w:r>
              <w:rPr>
                <w:rFonts w:eastAsiaTheme="minorEastAsia"/>
              </w:rPr>
              <w:t>S&amp;P 500</w:t>
            </w:r>
          </w:p>
        </w:tc>
        <w:tc>
          <w:tcPr>
            <w:tcW w:w="3117" w:type="dxa"/>
          </w:tcPr>
          <w:p w14:paraId="6FDE6D26" w14:textId="194D8F0C" w:rsidR="007F7272" w:rsidRDefault="007F7272" w:rsidP="00F86657">
            <w:pPr>
              <w:jc w:val="center"/>
              <w:rPr>
                <w:rFonts w:eastAsiaTheme="minorEastAsia"/>
              </w:rPr>
            </w:pPr>
            <w:r>
              <w:rPr>
                <w:rFonts w:eastAsiaTheme="minorEastAsia" w:cstheme="minorHAnsi"/>
              </w:rPr>
              <w:t xml:space="preserve">E(μ) = </w:t>
            </w:r>
            <w:r w:rsidR="00AF4F94">
              <w:rPr>
                <w:rFonts w:eastAsiaTheme="minorEastAsia" w:cstheme="minorHAnsi"/>
              </w:rPr>
              <w:t>0.0011</w:t>
            </w:r>
          </w:p>
        </w:tc>
        <w:tc>
          <w:tcPr>
            <w:tcW w:w="3117" w:type="dxa"/>
          </w:tcPr>
          <w:p w14:paraId="430E2F0F" w14:textId="1F9F5BB1" w:rsidR="007F7272" w:rsidRDefault="00F86657" w:rsidP="00F86657">
            <w:pPr>
              <w:jc w:val="center"/>
              <w:rPr>
                <w:rFonts w:eastAsiaTheme="minorEastAsia"/>
              </w:rPr>
            </w:pPr>
            <w:r>
              <w:rPr>
                <w:rFonts w:eastAsiaTheme="minorEastAsia"/>
              </w:rPr>
              <w:t>(-0.00</w:t>
            </w:r>
            <w:r w:rsidR="00AF4F94">
              <w:rPr>
                <w:rFonts w:eastAsiaTheme="minorEastAsia"/>
              </w:rPr>
              <w:t>13</w:t>
            </w:r>
            <w:r>
              <w:rPr>
                <w:rFonts w:eastAsiaTheme="minorEastAsia"/>
              </w:rPr>
              <w:t>, 0.00</w:t>
            </w:r>
            <w:r w:rsidR="00AF4F94">
              <w:rPr>
                <w:rFonts w:eastAsiaTheme="minorEastAsia"/>
              </w:rPr>
              <w:t>34</w:t>
            </w:r>
            <w:r>
              <w:rPr>
                <w:rFonts w:eastAsiaTheme="minorEastAsia"/>
              </w:rPr>
              <w:t>)</w:t>
            </w:r>
          </w:p>
        </w:tc>
      </w:tr>
      <w:tr w:rsidR="007F7272" w14:paraId="7E4B107D" w14:textId="77777777" w:rsidTr="007F7272">
        <w:tc>
          <w:tcPr>
            <w:tcW w:w="3116" w:type="dxa"/>
            <w:vMerge/>
          </w:tcPr>
          <w:p w14:paraId="5D5961F7" w14:textId="77777777" w:rsidR="007F7272" w:rsidRDefault="007F7272" w:rsidP="001A0BAA">
            <w:pPr>
              <w:rPr>
                <w:rFonts w:eastAsiaTheme="minorEastAsia"/>
              </w:rPr>
            </w:pPr>
          </w:p>
        </w:tc>
        <w:tc>
          <w:tcPr>
            <w:tcW w:w="3117" w:type="dxa"/>
          </w:tcPr>
          <w:p w14:paraId="49103ACA" w14:textId="2CF0AE6A" w:rsidR="007F7272" w:rsidRDefault="007F7272" w:rsidP="00F86657">
            <w:pPr>
              <w:jc w:val="center"/>
              <w:rPr>
                <w:rFonts w:eastAsiaTheme="minorEastAsia"/>
              </w:rPr>
            </w:pPr>
            <w:r>
              <w:rPr>
                <w:rFonts w:eastAsiaTheme="minorEastAsia"/>
              </w:rPr>
              <w:t>E</w:t>
            </w:r>
            <m:oMath>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oMath>
            <w:r>
              <w:rPr>
                <w:rFonts w:eastAsiaTheme="minorEastAsia"/>
              </w:rPr>
              <w:t>)=</w:t>
            </w:r>
            <w:r>
              <w:t xml:space="preserve"> </w:t>
            </w:r>
            <w:r>
              <w:rPr>
                <w:rFonts w:eastAsiaTheme="minorEastAsia"/>
              </w:rPr>
              <w:t>0.000</w:t>
            </w:r>
            <w:r w:rsidR="00F86657">
              <w:rPr>
                <w:rFonts w:eastAsiaTheme="minorEastAsia"/>
              </w:rPr>
              <w:t>3</w:t>
            </w:r>
          </w:p>
        </w:tc>
        <w:tc>
          <w:tcPr>
            <w:tcW w:w="3117" w:type="dxa"/>
          </w:tcPr>
          <w:p w14:paraId="0EAC2D1B" w14:textId="6CDB7099" w:rsidR="007F7272" w:rsidRDefault="00F86657" w:rsidP="00F86657">
            <w:pPr>
              <w:jc w:val="center"/>
              <w:rPr>
                <w:rFonts w:eastAsiaTheme="minorEastAsia"/>
              </w:rPr>
            </w:pPr>
            <w:r>
              <w:rPr>
                <w:rFonts w:eastAsiaTheme="minorEastAsia"/>
              </w:rPr>
              <w:t>(0.0003, 0.004)</w:t>
            </w:r>
          </w:p>
        </w:tc>
      </w:tr>
    </w:tbl>
    <w:p w14:paraId="49F90076" w14:textId="77777777" w:rsidR="001A0BAA" w:rsidRPr="001A0BAA" w:rsidRDefault="001A0BAA" w:rsidP="001A0BAA">
      <w:pPr>
        <w:rPr>
          <w:rFonts w:eastAsiaTheme="minorEastAsia"/>
        </w:rPr>
      </w:pPr>
    </w:p>
    <w:p w14:paraId="04215056" w14:textId="0D139C02" w:rsidR="00AA1804" w:rsidRDefault="00AA1804" w:rsidP="00A15F4C">
      <w:pPr>
        <w:rPr>
          <w:rFonts w:eastAsiaTheme="minorEastAsia"/>
          <w:b/>
        </w:rPr>
      </w:pPr>
    </w:p>
    <w:p w14:paraId="4454A502" w14:textId="23B6B86E" w:rsidR="00AA1804" w:rsidRDefault="00F86657" w:rsidP="00A15F4C">
      <w:pPr>
        <w:rPr>
          <w:rFonts w:eastAsiaTheme="minorEastAsia"/>
        </w:rPr>
      </w:pPr>
      <w:r>
        <w:rPr>
          <w:rFonts w:eastAsiaTheme="minorEastAsia"/>
        </w:rPr>
        <w:lastRenderedPageBreak/>
        <w:t xml:space="preserve">We also found estimates for the </w:t>
      </w:r>
      <w:r w:rsidR="00B077B2">
        <w:rPr>
          <w:rFonts w:eastAsiaTheme="minorEastAsia"/>
        </w:rPr>
        <w:t xml:space="preserve">posterior of the difference of </w:t>
      </w:r>
      <w:proofErr w:type="spellStart"/>
      <w:r w:rsidR="00B077B2">
        <w:rPr>
          <w:rFonts w:eastAsiaTheme="minorEastAsia" w:cstheme="minorHAnsi"/>
        </w:rPr>
        <w:t>μ</w:t>
      </w:r>
      <w:r w:rsidR="00B077B2">
        <w:rPr>
          <w:rFonts w:eastAsiaTheme="minorEastAsia"/>
        </w:rPr>
        <w:t>s</w:t>
      </w:r>
      <w:proofErr w:type="spellEnd"/>
      <w:r w:rsidR="00B077B2">
        <w:rPr>
          <w:rFonts w:eastAsiaTheme="minorEastAsia"/>
        </w:rPr>
        <w:t xml:space="preserve"> and the posterior of the difference of</w:t>
      </w:r>
      <w:r w:rsidR="00C154C8">
        <w:rPr>
          <w:rFonts w:eastAsiaTheme="minorEastAsia"/>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oMath>
      <w:r>
        <w:rPr>
          <w:rFonts w:eastAsiaTheme="minorEastAsia"/>
        </w:rPr>
        <w:t>s</w:t>
      </w:r>
      <w:r w:rsidR="00B077B2">
        <w:rPr>
          <w:rFonts w:eastAsiaTheme="minorEastAsia"/>
        </w:rPr>
        <w:t xml:space="preserve">. </w:t>
      </w:r>
      <w:r w:rsidR="00AA1804">
        <w:rPr>
          <w:rFonts w:eastAsiaTheme="minorEastAsia"/>
        </w:rPr>
        <w:t>The fo</w:t>
      </w:r>
      <w:r w:rsidR="00942076">
        <w:rPr>
          <w:rFonts w:eastAsiaTheme="minorEastAsia"/>
        </w:rPr>
        <w:t>llowing plots are our estimat</w:t>
      </w:r>
      <w:r w:rsidR="00B077B2">
        <w:rPr>
          <w:rFonts w:eastAsiaTheme="minorEastAsia"/>
        </w:rPr>
        <w:t>es</w:t>
      </w:r>
      <w:r w:rsidR="00942076">
        <w:rPr>
          <w:rFonts w:eastAsiaTheme="minorEastAsia"/>
        </w:rPr>
        <w:t>:</w:t>
      </w:r>
    </w:p>
    <w:p w14:paraId="31008457" w14:textId="636D8D14" w:rsidR="00942076" w:rsidRDefault="008D5BDF" w:rsidP="008D5BDF">
      <w:pPr>
        <w:jc w:val="center"/>
        <w:rPr>
          <w:rFonts w:eastAsiaTheme="minorEastAsia"/>
        </w:rPr>
      </w:pPr>
      <w:r>
        <w:rPr>
          <w:noProof/>
        </w:rPr>
        <w:drawing>
          <wp:inline distT="0" distB="0" distL="0" distR="0" wp14:anchorId="5FE595C5" wp14:editId="429F4E0B">
            <wp:extent cx="2816352" cy="2133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erior of Difference of Music.png"/>
                    <pic:cNvPicPr/>
                  </pic:nvPicPr>
                  <pic:blipFill>
                    <a:blip r:embed="rId6">
                      <a:extLst>
                        <a:ext uri="{28A0092B-C50C-407E-A947-70E740481C1C}">
                          <a14:useLocalDpi xmlns:a14="http://schemas.microsoft.com/office/drawing/2010/main" val="0"/>
                        </a:ext>
                      </a:extLst>
                    </a:blip>
                    <a:stretch>
                      <a:fillRect/>
                    </a:stretch>
                  </pic:blipFill>
                  <pic:spPr>
                    <a:xfrm>
                      <a:off x="0" y="0"/>
                      <a:ext cx="2819585" cy="2136049"/>
                    </a:xfrm>
                    <a:prstGeom prst="rect">
                      <a:avLst/>
                    </a:prstGeom>
                  </pic:spPr>
                </pic:pic>
              </a:graphicData>
            </a:graphic>
          </wp:inline>
        </w:drawing>
      </w:r>
      <w:r>
        <w:rPr>
          <w:rFonts w:eastAsiaTheme="minorEastAsia"/>
          <w:noProof/>
        </w:rPr>
        <w:drawing>
          <wp:inline distT="0" distB="0" distL="0" distR="0" wp14:anchorId="7CCA1B78" wp14:editId="4084D852">
            <wp:extent cx="2869997" cy="21742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sterior of Difference of Sigma2s.png"/>
                    <pic:cNvPicPr/>
                  </pic:nvPicPr>
                  <pic:blipFill>
                    <a:blip r:embed="rId7">
                      <a:extLst>
                        <a:ext uri="{28A0092B-C50C-407E-A947-70E740481C1C}">
                          <a14:useLocalDpi xmlns:a14="http://schemas.microsoft.com/office/drawing/2010/main" val="0"/>
                        </a:ext>
                      </a:extLst>
                    </a:blip>
                    <a:stretch>
                      <a:fillRect/>
                    </a:stretch>
                  </pic:blipFill>
                  <pic:spPr>
                    <a:xfrm>
                      <a:off x="0" y="0"/>
                      <a:ext cx="2883097" cy="2184164"/>
                    </a:xfrm>
                    <a:prstGeom prst="rect">
                      <a:avLst/>
                    </a:prstGeom>
                  </pic:spPr>
                </pic:pic>
              </a:graphicData>
            </a:graphic>
          </wp:inline>
        </w:drawing>
      </w:r>
    </w:p>
    <w:p w14:paraId="78F916FD" w14:textId="77112CE7" w:rsidR="00B077B2" w:rsidRDefault="00386F0A" w:rsidP="00A15F4C">
      <w:pPr>
        <w:rPr>
          <w:rFonts w:eastAsiaTheme="minorEastAsia"/>
        </w:rPr>
      </w:pPr>
      <w:r>
        <w:rPr>
          <w:rFonts w:eastAsiaTheme="minorEastAsia"/>
        </w:rPr>
        <w:t xml:space="preserve">Our 95% credible interval for the difference of </w:t>
      </w:r>
      <w:proofErr w:type="spellStart"/>
      <w:r>
        <w:rPr>
          <w:rFonts w:eastAsiaTheme="minorEastAsia" w:cstheme="minorHAnsi"/>
        </w:rPr>
        <w:t>μ</w:t>
      </w:r>
      <w:r>
        <w:rPr>
          <w:rFonts w:eastAsiaTheme="minorEastAsia"/>
        </w:rPr>
        <w:t>s</w:t>
      </w:r>
      <w:proofErr w:type="spellEnd"/>
      <w:r>
        <w:rPr>
          <w:rFonts w:eastAsiaTheme="minorEastAsia"/>
        </w:rPr>
        <w:t xml:space="preserve"> is 0.0</w:t>
      </w:r>
      <w:r w:rsidR="008D5BDF">
        <w:rPr>
          <w:rFonts w:eastAsiaTheme="minorEastAsia"/>
        </w:rPr>
        <w:t>023</w:t>
      </w:r>
      <w:r>
        <w:rPr>
          <w:rFonts w:eastAsiaTheme="minorEastAsia"/>
        </w:rPr>
        <w:t xml:space="preserve"> and 0.0</w:t>
      </w:r>
      <w:r w:rsidR="008D5BDF">
        <w:rPr>
          <w:rFonts w:eastAsiaTheme="minorEastAsia"/>
        </w:rPr>
        <w:t>571</w:t>
      </w:r>
      <w:r w:rsidR="003F0D78">
        <w:rPr>
          <w:rFonts w:eastAsiaTheme="minorEastAsia"/>
        </w:rPr>
        <w:t xml:space="preserve"> with an average difference of</w:t>
      </w:r>
      <w:r w:rsidR="00C154C8">
        <w:rPr>
          <w:rFonts w:eastAsiaTheme="minorEastAsia"/>
        </w:rPr>
        <w:t xml:space="preserve"> </w:t>
      </w:r>
      <w:r w:rsidR="00C154C8" w:rsidRPr="00C154C8">
        <w:rPr>
          <w:rFonts w:eastAsiaTheme="minorEastAsia"/>
        </w:rPr>
        <w:t>0.02</w:t>
      </w:r>
      <w:r w:rsidR="008D5BDF">
        <w:rPr>
          <w:rFonts w:eastAsiaTheme="minorEastAsia"/>
        </w:rPr>
        <w:t>95</w:t>
      </w:r>
      <w:r w:rsidR="00C154C8">
        <w:rPr>
          <w:rFonts w:eastAsiaTheme="minorEastAsia"/>
        </w:rPr>
        <w:t xml:space="preserve">. </w:t>
      </w:r>
      <w:r w:rsidR="008D5BDF">
        <w:rPr>
          <w:rFonts w:eastAsiaTheme="minorEastAsia"/>
        </w:rPr>
        <w:t xml:space="preserve">Since </w:t>
      </w:r>
      <w:r>
        <w:rPr>
          <w:rFonts w:eastAsiaTheme="minorEastAsia"/>
        </w:rPr>
        <w:t xml:space="preserve">zero is </w:t>
      </w:r>
      <w:r w:rsidR="008D5BDF">
        <w:rPr>
          <w:rFonts w:eastAsiaTheme="minorEastAsia"/>
        </w:rPr>
        <w:t xml:space="preserve">not </w:t>
      </w:r>
      <w:r>
        <w:rPr>
          <w:rFonts w:eastAsiaTheme="minorEastAsia"/>
        </w:rPr>
        <w:t xml:space="preserve">in </w:t>
      </w:r>
      <w:r w:rsidR="008D5BDF">
        <w:rPr>
          <w:rFonts w:eastAsiaTheme="minorEastAsia"/>
        </w:rPr>
        <w:t xml:space="preserve">this </w:t>
      </w:r>
      <w:r>
        <w:rPr>
          <w:rFonts w:eastAsiaTheme="minorEastAsia"/>
        </w:rPr>
        <w:t xml:space="preserve">confidence interval, given our posterior distribution, the true </w:t>
      </w:r>
      <w:r w:rsidR="00837911">
        <w:rPr>
          <w:rFonts w:eastAsiaTheme="minorEastAsia"/>
        </w:rPr>
        <w:t>expected return</w:t>
      </w:r>
      <w:r>
        <w:rPr>
          <w:rFonts w:eastAsiaTheme="minorEastAsia"/>
        </w:rPr>
        <w:t xml:space="preserve"> of IP</w:t>
      </w:r>
      <w:r w:rsidR="009C7D2F">
        <w:rPr>
          <w:rFonts w:eastAsiaTheme="minorEastAsia"/>
        </w:rPr>
        <w:t>O</w:t>
      </w:r>
      <w:r>
        <w:rPr>
          <w:rFonts w:eastAsiaTheme="minorEastAsia"/>
        </w:rPr>
        <w:t xml:space="preserve"> stocks </w:t>
      </w:r>
      <w:r w:rsidR="00837911">
        <w:rPr>
          <w:rFonts w:eastAsiaTheme="minorEastAsia"/>
        </w:rPr>
        <w:t xml:space="preserve">is </w:t>
      </w:r>
      <w:r w:rsidR="008D5BDF">
        <w:rPr>
          <w:rFonts w:eastAsiaTheme="minorEastAsia"/>
        </w:rPr>
        <w:t xml:space="preserve">statistically </w:t>
      </w:r>
      <w:r w:rsidR="00837911">
        <w:rPr>
          <w:rFonts w:eastAsiaTheme="minorEastAsia"/>
        </w:rPr>
        <w:t>higher than the true expected return of</w:t>
      </w:r>
      <w:r>
        <w:rPr>
          <w:rFonts w:eastAsiaTheme="minorEastAsia"/>
        </w:rPr>
        <w:t xml:space="preserve"> </w:t>
      </w:r>
      <w:r w:rsidR="009C7D2F">
        <w:rPr>
          <w:rFonts w:eastAsiaTheme="minorEastAsia"/>
        </w:rPr>
        <w:t>the S&amp;P 500 index</w:t>
      </w:r>
      <w:r>
        <w:rPr>
          <w:rFonts w:eastAsiaTheme="minorEastAsia"/>
        </w:rPr>
        <w:t>.</w:t>
      </w:r>
    </w:p>
    <w:p w14:paraId="58A1B927" w14:textId="4F48EA14" w:rsidR="00386F0A" w:rsidRDefault="00386F0A" w:rsidP="00A15F4C">
      <w:pPr>
        <w:rPr>
          <w:rFonts w:eastAsiaTheme="minorEastAsia"/>
        </w:rPr>
      </w:pPr>
    </w:p>
    <w:p w14:paraId="3B48E419" w14:textId="1C3DBFA3" w:rsidR="00386F0A" w:rsidRDefault="00386F0A" w:rsidP="00A15F4C">
      <w:pPr>
        <w:rPr>
          <w:rFonts w:eastAsiaTheme="minorEastAsia"/>
        </w:rPr>
      </w:pPr>
      <w:r>
        <w:rPr>
          <w:rFonts w:eastAsiaTheme="minorEastAsia"/>
        </w:rPr>
        <w:t xml:space="preserve">Our 95% credible interval for the difference of </w:t>
      </w:r>
      <m:oMath>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oMath>
      <w:r>
        <w:rPr>
          <w:rFonts w:eastAsiaTheme="minorEastAsia"/>
        </w:rPr>
        <w:t xml:space="preserve"> is 0.</w:t>
      </w:r>
      <w:r w:rsidR="008D5BDF">
        <w:rPr>
          <w:rFonts w:eastAsiaTheme="minorEastAsia"/>
        </w:rPr>
        <w:t>0207</w:t>
      </w:r>
      <w:r>
        <w:rPr>
          <w:rFonts w:eastAsiaTheme="minorEastAsia"/>
        </w:rPr>
        <w:t xml:space="preserve"> and 0.0</w:t>
      </w:r>
      <w:r w:rsidR="008D5BDF">
        <w:rPr>
          <w:rFonts w:eastAsiaTheme="minorEastAsia"/>
        </w:rPr>
        <w:t>333</w:t>
      </w:r>
      <w:r>
        <w:rPr>
          <w:rFonts w:eastAsiaTheme="minorEastAsia"/>
        </w:rPr>
        <w:t xml:space="preserve"> with a</w:t>
      </w:r>
      <w:r w:rsidR="00A34676">
        <w:rPr>
          <w:rFonts w:eastAsiaTheme="minorEastAsia"/>
        </w:rPr>
        <w:t>n average difference of 0.0</w:t>
      </w:r>
      <w:r w:rsidR="008D5BDF">
        <w:rPr>
          <w:rFonts w:eastAsiaTheme="minorEastAsia"/>
        </w:rPr>
        <w:t>262</w:t>
      </w:r>
      <w:r w:rsidR="00A34676">
        <w:rPr>
          <w:rFonts w:eastAsiaTheme="minorEastAsia"/>
        </w:rPr>
        <w:t>. There</w:t>
      </w:r>
      <w:r w:rsidR="008D5BDF">
        <w:rPr>
          <w:rFonts w:eastAsiaTheme="minorEastAsia"/>
        </w:rPr>
        <w:t xml:space="preserve"> i</w:t>
      </w:r>
      <w:r w:rsidR="00A34676">
        <w:rPr>
          <w:rFonts w:eastAsiaTheme="minorEastAsia"/>
        </w:rPr>
        <w:t>s a</w:t>
      </w:r>
      <w:r>
        <w:rPr>
          <w:rFonts w:eastAsiaTheme="minorEastAsia"/>
        </w:rPr>
        <w:t xml:space="preserve"> 100% chance that the true </w:t>
      </w:r>
      <w:r w:rsidR="00837911">
        <w:rPr>
          <w:rFonts w:eastAsiaTheme="minorEastAsia"/>
        </w:rPr>
        <w:t xml:space="preserve">volatility </w:t>
      </w:r>
      <w:r>
        <w:rPr>
          <w:rFonts w:eastAsiaTheme="minorEastAsia"/>
        </w:rPr>
        <w:t>of I</w:t>
      </w:r>
      <w:r w:rsidR="009C7D2F">
        <w:rPr>
          <w:rFonts w:eastAsiaTheme="minorEastAsia"/>
        </w:rPr>
        <w:t>PO</w:t>
      </w:r>
      <w:r>
        <w:rPr>
          <w:rFonts w:eastAsiaTheme="minorEastAsia"/>
        </w:rPr>
        <w:t xml:space="preserve"> stocks is greater than </w:t>
      </w:r>
      <w:r w:rsidR="00837911">
        <w:rPr>
          <w:rFonts w:eastAsiaTheme="minorEastAsia"/>
        </w:rPr>
        <w:t xml:space="preserve">the true volatility of </w:t>
      </w:r>
      <w:r w:rsidR="009C7D2F">
        <w:rPr>
          <w:rFonts w:eastAsiaTheme="minorEastAsia"/>
        </w:rPr>
        <w:t>the S&amp;P 500 index</w:t>
      </w:r>
      <w:r>
        <w:rPr>
          <w:rFonts w:eastAsiaTheme="minorEastAsia"/>
        </w:rPr>
        <w:t>.</w:t>
      </w:r>
    </w:p>
    <w:p w14:paraId="68A051D0" w14:textId="696F7E2A" w:rsidR="00386F0A" w:rsidRDefault="00386F0A" w:rsidP="00A15F4C">
      <w:pPr>
        <w:rPr>
          <w:rFonts w:eastAsiaTheme="minorEastAsia"/>
        </w:rPr>
      </w:pPr>
    </w:p>
    <w:p w14:paraId="7547F6C8" w14:textId="672ECD0B" w:rsidR="00386F0A" w:rsidRPr="00AA1804" w:rsidRDefault="00837911" w:rsidP="00A15F4C">
      <w:pPr>
        <w:rPr>
          <w:rFonts w:eastAsiaTheme="minorEastAsia"/>
        </w:rPr>
      </w:pPr>
      <w:r>
        <w:rPr>
          <w:rFonts w:eastAsiaTheme="minorEastAsia"/>
        </w:rPr>
        <w:t>Our posterior distributions support the idea that IP</w:t>
      </w:r>
      <w:r w:rsidR="009C7D2F">
        <w:rPr>
          <w:rFonts w:eastAsiaTheme="minorEastAsia"/>
        </w:rPr>
        <w:t>O</w:t>
      </w:r>
      <w:r>
        <w:rPr>
          <w:rFonts w:eastAsiaTheme="minorEastAsia"/>
        </w:rPr>
        <w:t xml:space="preserve"> stocks are more profitable and riskier than </w:t>
      </w:r>
      <w:r w:rsidR="009C7D2F">
        <w:rPr>
          <w:rFonts w:eastAsiaTheme="minorEastAsia"/>
        </w:rPr>
        <w:t>the S&amp;P 500 Index</w:t>
      </w:r>
      <w:r w:rsidR="00426788">
        <w:rPr>
          <w:rFonts w:eastAsiaTheme="minorEastAsia"/>
        </w:rPr>
        <w:t>, but how often do IP</w:t>
      </w:r>
      <w:r w:rsidR="009C7D2F">
        <w:rPr>
          <w:rFonts w:eastAsiaTheme="minorEastAsia"/>
        </w:rPr>
        <w:t>O</w:t>
      </w:r>
      <w:r w:rsidR="00426788">
        <w:rPr>
          <w:rFonts w:eastAsiaTheme="minorEastAsia"/>
        </w:rPr>
        <w:t xml:space="preserve"> stocks give us better returns that </w:t>
      </w:r>
      <w:r w:rsidR="009C7D2F">
        <w:rPr>
          <w:rFonts w:eastAsiaTheme="minorEastAsia"/>
        </w:rPr>
        <w:t>the S&amp;P 500</w:t>
      </w:r>
      <w:r w:rsidR="00426788">
        <w:rPr>
          <w:rFonts w:eastAsiaTheme="minorEastAsia"/>
        </w:rPr>
        <w:t>? The following is our estimate for the posterior predictive distribution of the difference between the returns of IP</w:t>
      </w:r>
      <w:r w:rsidR="009C7D2F">
        <w:rPr>
          <w:rFonts w:eastAsiaTheme="minorEastAsia"/>
        </w:rPr>
        <w:t>O</w:t>
      </w:r>
      <w:r w:rsidR="00426788">
        <w:rPr>
          <w:rFonts w:eastAsiaTheme="minorEastAsia"/>
        </w:rPr>
        <w:t xml:space="preserve"> stocks and </w:t>
      </w:r>
      <w:r w:rsidR="009C7D2F">
        <w:rPr>
          <w:rFonts w:eastAsiaTheme="minorEastAsia"/>
        </w:rPr>
        <w:t>the S&amp;P 500</w:t>
      </w:r>
      <w:r w:rsidR="00426788">
        <w:rPr>
          <w:rFonts w:eastAsiaTheme="minorEastAsia"/>
        </w:rPr>
        <w:t>:</w:t>
      </w:r>
    </w:p>
    <w:p w14:paraId="6BD4B845" w14:textId="6EE520C0" w:rsidR="00DE5B80" w:rsidRDefault="00DE5B80" w:rsidP="00A15F4C">
      <w:pPr>
        <w:rPr>
          <w:rFonts w:eastAsiaTheme="minorEastAsia"/>
        </w:rPr>
      </w:pPr>
    </w:p>
    <w:p w14:paraId="6726535E" w14:textId="7D15FAA7" w:rsidR="00DE2CB8" w:rsidRDefault="008D5BDF" w:rsidP="008D5BDF">
      <w:pPr>
        <w:jc w:val="center"/>
        <w:rPr>
          <w:rFonts w:eastAsiaTheme="minorEastAsia"/>
        </w:rPr>
      </w:pPr>
      <w:r>
        <w:rPr>
          <w:rFonts w:eastAsiaTheme="minorEastAsia"/>
          <w:noProof/>
        </w:rPr>
        <w:drawing>
          <wp:inline distT="0" distB="0" distL="0" distR="0" wp14:anchorId="4F3DDD24" wp14:editId="2BBD65D8">
            <wp:extent cx="3367611" cy="2804160"/>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erior Predictive of Difference of Daily Returns.png"/>
                    <pic:cNvPicPr/>
                  </pic:nvPicPr>
                  <pic:blipFill>
                    <a:blip r:embed="rId8">
                      <a:extLst>
                        <a:ext uri="{28A0092B-C50C-407E-A947-70E740481C1C}">
                          <a14:useLocalDpi xmlns:a14="http://schemas.microsoft.com/office/drawing/2010/main" val="0"/>
                        </a:ext>
                      </a:extLst>
                    </a:blip>
                    <a:stretch>
                      <a:fillRect/>
                    </a:stretch>
                  </pic:blipFill>
                  <pic:spPr>
                    <a:xfrm>
                      <a:off x="0" y="0"/>
                      <a:ext cx="3432702" cy="2858360"/>
                    </a:xfrm>
                    <a:prstGeom prst="rect">
                      <a:avLst/>
                    </a:prstGeom>
                  </pic:spPr>
                </pic:pic>
              </a:graphicData>
            </a:graphic>
          </wp:inline>
        </w:drawing>
      </w:r>
    </w:p>
    <w:p w14:paraId="4554F42E" w14:textId="191016CA" w:rsidR="00DE2CB8" w:rsidRDefault="00DE2CB8" w:rsidP="00A15F4C">
      <w:pPr>
        <w:rPr>
          <w:rFonts w:eastAsiaTheme="minorEastAsia"/>
        </w:rPr>
      </w:pPr>
    </w:p>
    <w:p w14:paraId="1947082B" w14:textId="3027BB61" w:rsidR="00DE2CB8" w:rsidRDefault="00DE2CB8" w:rsidP="00A15F4C">
      <w:pPr>
        <w:rPr>
          <w:rFonts w:eastAsiaTheme="minorEastAsia"/>
        </w:rPr>
      </w:pPr>
      <w:r>
        <w:rPr>
          <w:rFonts w:eastAsiaTheme="minorEastAsia"/>
        </w:rPr>
        <w:lastRenderedPageBreak/>
        <w:t>Using our posterior predictive distribution</w:t>
      </w:r>
      <w:r w:rsidR="00CE0458">
        <w:rPr>
          <w:rFonts w:eastAsiaTheme="minorEastAsia"/>
        </w:rPr>
        <w:t xml:space="preserve">, we would expect </w:t>
      </w:r>
      <w:r>
        <w:rPr>
          <w:rFonts w:eastAsiaTheme="minorEastAsia"/>
        </w:rPr>
        <w:t>around 5</w:t>
      </w:r>
      <w:r w:rsidR="0073567A">
        <w:rPr>
          <w:rFonts w:eastAsiaTheme="minorEastAsia"/>
        </w:rPr>
        <w:t>7</w:t>
      </w:r>
      <w:r>
        <w:rPr>
          <w:rFonts w:eastAsiaTheme="minorEastAsia"/>
        </w:rPr>
        <w:t>% of IP</w:t>
      </w:r>
      <w:r w:rsidR="009C7D2F">
        <w:rPr>
          <w:rFonts w:eastAsiaTheme="minorEastAsia"/>
        </w:rPr>
        <w:t>O</w:t>
      </w:r>
      <w:r>
        <w:rPr>
          <w:rFonts w:eastAsiaTheme="minorEastAsia"/>
        </w:rPr>
        <w:t xml:space="preserve"> stocks have higher daily returns than non-IP</w:t>
      </w:r>
      <w:r w:rsidR="009C7D2F">
        <w:rPr>
          <w:rFonts w:eastAsiaTheme="minorEastAsia"/>
        </w:rPr>
        <w:t>O</w:t>
      </w:r>
      <w:r>
        <w:rPr>
          <w:rFonts w:eastAsiaTheme="minorEastAsia"/>
        </w:rPr>
        <w:t xml:space="preserve"> stocks.</w:t>
      </w:r>
      <w:r w:rsidR="009C7D2F">
        <w:rPr>
          <w:rFonts w:eastAsiaTheme="minorEastAsia"/>
        </w:rPr>
        <w:t xml:space="preserve"> This shows us that while the volatility is higher, as expected, the overall return is likely to be higher than even a high returning index</w:t>
      </w:r>
      <w:r w:rsidR="008D5BDF">
        <w:rPr>
          <w:rFonts w:eastAsiaTheme="minorEastAsia"/>
        </w:rPr>
        <w:t xml:space="preserve"> in the long run.</w:t>
      </w:r>
      <w:bookmarkStart w:id="0" w:name="_GoBack"/>
      <w:bookmarkEnd w:id="0"/>
    </w:p>
    <w:p w14:paraId="5F632FC6" w14:textId="7C75CE8F" w:rsidR="00A34676" w:rsidRDefault="00A34676" w:rsidP="00A15F4C">
      <w:pPr>
        <w:rPr>
          <w:rFonts w:eastAsiaTheme="minorEastAsia"/>
        </w:rPr>
      </w:pPr>
    </w:p>
    <w:p w14:paraId="4E823D8F" w14:textId="1E81AB03" w:rsidR="00B348BF" w:rsidRPr="001109E8" w:rsidRDefault="00B348BF" w:rsidP="00B348BF">
      <w:pPr>
        <w:jc w:val="center"/>
        <w:rPr>
          <w:rFonts w:eastAsiaTheme="minorEastAsia"/>
        </w:rPr>
      </w:pPr>
      <w:r>
        <w:rPr>
          <w:rFonts w:eastAsiaTheme="minorEastAsia"/>
          <w:noProof/>
        </w:rPr>
        <w:drawing>
          <wp:inline distT="0" distB="0" distL="0" distR="0" wp14:anchorId="6F8A5CA4" wp14:editId="09C318B2">
            <wp:extent cx="5618480" cy="4845086"/>
            <wp:effectExtent l="0" t="0" r="0" b="635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ily Returns (S&amp;P500 vs IPO).png"/>
                    <pic:cNvPicPr/>
                  </pic:nvPicPr>
                  <pic:blipFill>
                    <a:blip r:embed="rId9">
                      <a:extLst>
                        <a:ext uri="{28A0092B-C50C-407E-A947-70E740481C1C}">
                          <a14:useLocalDpi xmlns:a14="http://schemas.microsoft.com/office/drawing/2010/main" val="0"/>
                        </a:ext>
                      </a:extLst>
                    </a:blip>
                    <a:stretch>
                      <a:fillRect/>
                    </a:stretch>
                  </pic:blipFill>
                  <pic:spPr>
                    <a:xfrm>
                      <a:off x="0" y="0"/>
                      <a:ext cx="5628889" cy="4854062"/>
                    </a:xfrm>
                    <a:prstGeom prst="rect">
                      <a:avLst/>
                    </a:prstGeom>
                  </pic:spPr>
                </pic:pic>
              </a:graphicData>
            </a:graphic>
          </wp:inline>
        </w:drawing>
      </w:r>
    </w:p>
    <w:sectPr w:rsidR="00B348BF" w:rsidRPr="001109E8" w:rsidSect="003E4D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26BA9" w14:textId="77777777" w:rsidR="006E05A2" w:rsidRDefault="006E05A2" w:rsidP="00942076">
      <w:r>
        <w:separator/>
      </w:r>
    </w:p>
  </w:endnote>
  <w:endnote w:type="continuationSeparator" w:id="0">
    <w:p w14:paraId="28EBA5D6" w14:textId="77777777" w:rsidR="006E05A2" w:rsidRDefault="006E05A2" w:rsidP="00942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07691" w14:textId="77777777" w:rsidR="006E05A2" w:rsidRDefault="006E05A2" w:rsidP="00942076">
      <w:r>
        <w:separator/>
      </w:r>
    </w:p>
  </w:footnote>
  <w:footnote w:type="continuationSeparator" w:id="0">
    <w:p w14:paraId="2F0A0CFF" w14:textId="77777777" w:rsidR="006E05A2" w:rsidRDefault="006E05A2" w:rsidP="009420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DA6"/>
    <w:rsid w:val="001109E8"/>
    <w:rsid w:val="001A0BAA"/>
    <w:rsid w:val="001E08CA"/>
    <w:rsid w:val="001F7CDC"/>
    <w:rsid w:val="0022468B"/>
    <w:rsid w:val="0026221C"/>
    <w:rsid w:val="00322DA6"/>
    <w:rsid w:val="00386F0A"/>
    <w:rsid w:val="003E4DE0"/>
    <w:rsid w:val="003F0D78"/>
    <w:rsid w:val="00422E45"/>
    <w:rsid w:val="00426788"/>
    <w:rsid w:val="0048437D"/>
    <w:rsid w:val="006E05A2"/>
    <w:rsid w:val="00717A80"/>
    <w:rsid w:val="0073567A"/>
    <w:rsid w:val="00782E1D"/>
    <w:rsid w:val="00794A90"/>
    <w:rsid w:val="007F7272"/>
    <w:rsid w:val="00801190"/>
    <w:rsid w:val="00837911"/>
    <w:rsid w:val="008D5BDF"/>
    <w:rsid w:val="009201A9"/>
    <w:rsid w:val="00942076"/>
    <w:rsid w:val="00992812"/>
    <w:rsid w:val="009C0C08"/>
    <w:rsid w:val="009C7D2F"/>
    <w:rsid w:val="00A15F4C"/>
    <w:rsid w:val="00A31D0D"/>
    <w:rsid w:val="00A34339"/>
    <w:rsid w:val="00A34676"/>
    <w:rsid w:val="00A83024"/>
    <w:rsid w:val="00A93C80"/>
    <w:rsid w:val="00AA1804"/>
    <w:rsid w:val="00AE7DA0"/>
    <w:rsid w:val="00AF363B"/>
    <w:rsid w:val="00AF4F94"/>
    <w:rsid w:val="00B077B2"/>
    <w:rsid w:val="00B348BF"/>
    <w:rsid w:val="00B9078F"/>
    <w:rsid w:val="00C154C8"/>
    <w:rsid w:val="00C82016"/>
    <w:rsid w:val="00CE0458"/>
    <w:rsid w:val="00D9154F"/>
    <w:rsid w:val="00DE2CB8"/>
    <w:rsid w:val="00DE5B80"/>
    <w:rsid w:val="00F8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77A6"/>
  <w14:defaultImageDpi w14:val="32767"/>
  <w15:chartTrackingRefBased/>
  <w15:docId w15:val="{03EBA4B9-7FBB-3D4F-AE79-6381C718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016"/>
    <w:rPr>
      <w:color w:val="0563C1" w:themeColor="hyperlink"/>
      <w:u w:val="single"/>
    </w:rPr>
  </w:style>
  <w:style w:type="character" w:customStyle="1" w:styleId="UnresolvedMention1">
    <w:name w:val="Unresolved Mention1"/>
    <w:basedOn w:val="DefaultParagraphFont"/>
    <w:uiPriority w:val="99"/>
    <w:rsid w:val="00C82016"/>
    <w:rPr>
      <w:color w:val="605E5C"/>
      <w:shd w:val="clear" w:color="auto" w:fill="E1DFDD"/>
    </w:rPr>
  </w:style>
  <w:style w:type="character" w:styleId="PlaceholderText">
    <w:name w:val="Placeholder Text"/>
    <w:basedOn w:val="DefaultParagraphFont"/>
    <w:uiPriority w:val="99"/>
    <w:semiHidden/>
    <w:rsid w:val="00C82016"/>
    <w:rPr>
      <w:color w:val="808080"/>
    </w:rPr>
  </w:style>
  <w:style w:type="paragraph" w:styleId="Header">
    <w:name w:val="header"/>
    <w:basedOn w:val="Normal"/>
    <w:link w:val="HeaderChar"/>
    <w:uiPriority w:val="99"/>
    <w:unhideWhenUsed/>
    <w:rsid w:val="00942076"/>
    <w:pPr>
      <w:tabs>
        <w:tab w:val="center" w:pos="4680"/>
        <w:tab w:val="right" w:pos="9360"/>
      </w:tabs>
    </w:pPr>
  </w:style>
  <w:style w:type="character" w:customStyle="1" w:styleId="HeaderChar">
    <w:name w:val="Header Char"/>
    <w:basedOn w:val="DefaultParagraphFont"/>
    <w:link w:val="Header"/>
    <w:uiPriority w:val="99"/>
    <w:rsid w:val="00942076"/>
  </w:style>
  <w:style w:type="paragraph" w:styleId="Footer">
    <w:name w:val="footer"/>
    <w:basedOn w:val="Normal"/>
    <w:link w:val="FooterChar"/>
    <w:uiPriority w:val="99"/>
    <w:unhideWhenUsed/>
    <w:rsid w:val="00942076"/>
    <w:pPr>
      <w:tabs>
        <w:tab w:val="center" w:pos="4680"/>
        <w:tab w:val="right" w:pos="9360"/>
      </w:tabs>
    </w:pPr>
  </w:style>
  <w:style w:type="character" w:customStyle="1" w:styleId="FooterChar">
    <w:name w:val="Footer Char"/>
    <w:basedOn w:val="DefaultParagraphFont"/>
    <w:link w:val="Footer"/>
    <w:uiPriority w:val="99"/>
    <w:rsid w:val="00942076"/>
  </w:style>
  <w:style w:type="table" w:styleId="TableGrid">
    <w:name w:val="Table Grid"/>
    <w:basedOn w:val="TableNormal"/>
    <w:uiPriority w:val="39"/>
    <w:rsid w:val="001A0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35552">
      <w:bodyDiv w:val="1"/>
      <w:marLeft w:val="0"/>
      <w:marRight w:val="0"/>
      <w:marTop w:val="0"/>
      <w:marBottom w:val="0"/>
      <w:divBdr>
        <w:top w:val="none" w:sz="0" w:space="0" w:color="auto"/>
        <w:left w:val="none" w:sz="0" w:space="0" w:color="auto"/>
        <w:bottom w:val="none" w:sz="0" w:space="0" w:color="auto"/>
        <w:right w:val="none" w:sz="0" w:space="0" w:color="auto"/>
      </w:divBdr>
    </w:div>
    <w:div w:id="1027025257">
      <w:bodyDiv w:val="1"/>
      <w:marLeft w:val="0"/>
      <w:marRight w:val="0"/>
      <w:marTop w:val="0"/>
      <w:marBottom w:val="0"/>
      <w:divBdr>
        <w:top w:val="none" w:sz="0" w:space="0" w:color="auto"/>
        <w:left w:val="none" w:sz="0" w:space="0" w:color="auto"/>
        <w:bottom w:val="none" w:sz="0" w:space="0" w:color="auto"/>
        <w:right w:val="none" w:sz="0" w:space="0" w:color="auto"/>
      </w:divBdr>
    </w:div>
    <w:div w:id="1827088509">
      <w:bodyDiv w:val="1"/>
      <w:marLeft w:val="0"/>
      <w:marRight w:val="0"/>
      <w:marTop w:val="0"/>
      <w:marBottom w:val="0"/>
      <w:divBdr>
        <w:top w:val="none" w:sz="0" w:space="0" w:color="auto"/>
        <w:left w:val="none" w:sz="0" w:space="0" w:color="auto"/>
        <w:bottom w:val="none" w:sz="0" w:space="0" w:color="auto"/>
        <w:right w:val="none" w:sz="0" w:space="0" w:color="auto"/>
      </w:divBdr>
    </w:div>
    <w:div w:id="1940872077">
      <w:bodyDiv w:val="1"/>
      <w:marLeft w:val="0"/>
      <w:marRight w:val="0"/>
      <w:marTop w:val="0"/>
      <w:marBottom w:val="0"/>
      <w:divBdr>
        <w:top w:val="none" w:sz="0" w:space="0" w:color="auto"/>
        <w:left w:val="none" w:sz="0" w:space="0" w:color="auto"/>
        <w:bottom w:val="none" w:sz="0" w:space="0" w:color="auto"/>
        <w:right w:val="none" w:sz="0" w:space="0" w:color="auto"/>
      </w:divBdr>
    </w:div>
    <w:div w:id="197240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Spencer's Allgaier</dc:creator>
  <cp:keywords/>
  <dc:description/>
  <cp:lastModifiedBy>Spencer's Allgaier</cp:lastModifiedBy>
  <cp:revision>12</cp:revision>
  <dcterms:created xsi:type="dcterms:W3CDTF">2019-12-12T05:08:00Z</dcterms:created>
  <dcterms:modified xsi:type="dcterms:W3CDTF">2020-01-28T04:34:00Z</dcterms:modified>
</cp:coreProperties>
</file>