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22" w:rsidRDefault="00BE0922"/>
    <w:p w:rsidR="00BE0922" w:rsidRDefault="00BE0922">
      <w:r>
        <w:rPr>
          <w:noProof/>
          <w:lang w:eastAsia="ru-RU"/>
        </w:rPr>
        <w:drawing>
          <wp:inline distT="0" distB="0" distL="0" distR="0">
            <wp:extent cx="5869773" cy="7032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773" cy="70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22" w:rsidRDefault="00BE0922">
      <w:r>
        <w:rPr>
          <w:noProof/>
          <w:lang w:eastAsia="ru-RU"/>
        </w:rPr>
        <w:lastRenderedPageBreak/>
        <w:drawing>
          <wp:inline distT="0" distB="0" distL="0" distR="0">
            <wp:extent cx="5940425" cy="6002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2880" w:type="dxa"/>
        <w:tblLook w:val="04A0" w:firstRow="1" w:lastRow="0" w:firstColumn="1" w:lastColumn="0" w:noHBand="0" w:noVBand="1"/>
      </w:tblPr>
      <w:tblGrid>
        <w:gridCol w:w="960"/>
        <w:gridCol w:w="996"/>
        <w:gridCol w:w="996"/>
      </w:tblGrid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</w:t>
            </w:r>
            <w:proofErr w:type="spellEnd"/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0,047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0,094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0,203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0,784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0,592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1,182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0,921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1,781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1,358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2,536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1,919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3,528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2,48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5,183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3,416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6,186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4,586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5,881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10,316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7,394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12,371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9,436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15,215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11,419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18,766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14,529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22,923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20,557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34,075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20,448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27,87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34,196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30,472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38,973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31,512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44,026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33,578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51,043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38,742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57,608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43,721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65,12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53,446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73,53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62,079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77,936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66,409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96,316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68,141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102,454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77,029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104,254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83,973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126,59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89,453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148,623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98,142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149,536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107,103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155,111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125,768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167,14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131,591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189,116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144,003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197,215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153,807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225,919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171,829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235,6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182,081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252,27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196,906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269,668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212,742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302,062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231,132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327,204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246,249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339,033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268,719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348,685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278,848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387,429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347,212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416,636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334,586</w:t>
            </w:r>
          </w:p>
        </w:tc>
      </w:tr>
      <w:tr w:rsidR="00BE0922" w:rsidRPr="00BE0922" w:rsidTr="007A5867">
        <w:trPr>
          <w:trHeight w:val="300"/>
        </w:trPr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441,271</w:t>
            </w:r>
          </w:p>
        </w:tc>
        <w:tc>
          <w:tcPr>
            <w:tcW w:w="960" w:type="dxa"/>
            <w:noWrap/>
            <w:hideMark/>
          </w:tcPr>
          <w:p w:rsidR="00BE0922" w:rsidRPr="00BE0922" w:rsidRDefault="00BE0922" w:rsidP="007A58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9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352,118</w:t>
            </w:r>
          </w:p>
        </w:tc>
      </w:tr>
    </w:tbl>
    <w:p w:rsidR="00BE0922" w:rsidRDefault="00BE0922"/>
    <w:p w:rsidR="00BE0922" w:rsidRDefault="00432817">
      <w:r>
        <w:rPr>
          <w:noProof/>
          <w:lang w:eastAsia="ru-RU"/>
        </w:rPr>
        <w:lastRenderedPageBreak/>
        <w:drawing>
          <wp:inline distT="0" distB="0" distL="0" distR="0" wp14:anchorId="6CD4D867" wp14:editId="1AFF32A3">
            <wp:extent cx="5940425" cy="4801266"/>
            <wp:effectExtent l="0" t="0" r="22225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0922" w:rsidRDefault="00BE0922">
      <w:r>
        <w:t xml:space="preserve">Из выше приведенных данных можно сделать вывод, что умножение матриц работает быстрее в реализации «в один массив» (вектора </w:t>
      </w:r>
      <w:proofErr w:type="spellStart"/>
      <w:r>
        <w:t>верхнетреугольной</w:t>
      </w:r>
      <w:proofErr w:type="spellEnd"/>
      <w:r>
        <w:t xml:space="preserve"> матрицы располагаются друг за другом в один массив), чем в реализации</w:t>
      </w:r>
      <w:r w:rsidR="00432817">
        <w:t xml:space="preserve"> «вектор векторов» (матрица как вектор векторных элементов (шаблоны))</w:t>
      </w:r>
      <w:bookmarkStart w:id="0" w:name="_GoBack"/>
      <w:bookmarkEnd w:id="0"/>
    </w:p>
    <w:sectPr w:rsidR="00BE0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22"/>
    <w:rsid w:val="00432817"/>
    <w:rsid w:val="00B17C4C"/>
    <w:rsid w:val="00B86F2D"/>
    <w:rsid w:val="00B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3;&#1072;&#1089;&#1090;&#1103;\Documents\&#1051;&#1072;&#1073;&#1072;%202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/>
              <a:t>Сравнение времени работы умножения матриц</a:t>
            </a:r>
          </a:p>
        </c:rich>
      </c:tx>
      <c:layout>
        <c:manualLayout>
          <c:xMode val="edge"/>
          <c:yMode val="edge"/>
          <c:x val="0.22728531529712631"/>
          <c:y val="1.706644227995505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3.0050105970284614E-2"/>
          <c:y val="8.3736435930583303E-2"/>
          <c:w val="0.92804997331994654"/>
          <c:h val="0.78665836173463388"/>
        </c:manualLayout>
      </c:layout>
      <c:lineChart>
        <c:grouping val="standard"/>
        <c:varyColors val="0"/>
        <c:ser>
          <c:idx val="0"/>
          <c:order val="0"/>
          <c:tx>
            <c:v>Вектор векторов</c:v>
          </c:tx>
          <c:spPr>
            <a:ln>
              <a:solidFill>
                <a:schemeClr val="accent3">
                  <a:lumMod val="50000"/>
                </a:schemeClr>
              </a:solidFill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>
                <a:solidFill>
                  <a:schemeClr val="accent3">
                    <a:lumMod val="50000"/>
                  </a:schemeClr>
                </a:solidFill>
              </a:ln>
            </c:spPr>
          </c:marker>
          <c:dLbls>
            <c:delete val="1"/>
          </c:dLbls>
          <c:cat>
            <c:numRef>
              <c:f>Лист1!$A$2:$A$51</c:f>
              <c:numCache>
                <c:formatCode>General</c:formatCode>
                <c:ptCount val="5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0.01</c:v>
                </c:pt>
                <c:pt idx="1">
                  <c:v>0.02</c:v>
                </c:pt>
                <c:pt idx="2">
                  <c:v>0.06</c:v>
                </c:pt>
                <c:pt idx="3">
                  <c:v>0.13</c:v>
                </c:pt>
                <c:pt idx="4">
                  <c:v>0.26</c:v>
                </c:pt>
                <c:pt idx="5">
                  <c:v>0.48</c:v>
                </c:pt>
                <c:pt idx="6">
                  <c:v>0.78400000000000003</c:v>
                </c:pt>
                <c:pt idx="7">
                  <c:v>1.1819999999999999</c:v>
                </c:pt>
                <c:pt idx="8">
                  <c:v>1.7809999999999999</c:v>
                </c:pt>
                <c:pt idx="9">
                  <c:v>2.536</c:v>
                </c:pt>
                <c:pt idx="10">
                  <c:v>3.528</c:v>
                </c:pt>
                <c:pt idx="11">
                  <c:v>5.1829999999999998</c:v>
                </c:pt>
                <c:pt idx="12">
                  <c:v>6.1859999999999999</c:v>
                </c:pt>
                <c:pt idx="13">
                  <c:v>7.86</c:v>
                </c:pt>
                <c:pt idx="14">
                  <c:v>10.316000000000001</c:v>
                </c:pt>
                <c:pt idx="15">
                  <c:v>12.371</c:v>
                </c:pt>
                <c:pt idx="16">
                  <c:v>15.215</c:v>
                </c:pt>
                <c:pt idx="17">
                  <c:v>18.765999999999998</c:v>
                </c:pt>
                <c:pt idx="18">
                  <c:v>22.922999999999998</c:v>
                </c:pt>
                <c:pt idx="19">
                  <c:v>34.075000000000003</c:v>
                </c:pt>
                <c:pt idx="20">
                  <c:v>30.3</c:v>
                </c:pt>
                <c:pt idx="21">
                  <c:v>34.195999999999998</c:v>
                </c:pt>
                <c:pt idx="22">
                  <c:v>38.972999999999999</c:v>
                </c:pt>
                <c:pt idx="23">
                  <c:v>44.026000000000003</c:v>
                </c:pt>
                <c:pt idx="24">
                  <c:v>51.042999999999999</c:v>
                </c:pt>
                <c:pt idx="25">
                  <c:v>57.607999999999997</c:v>
                </c:pt>
                <c:pt idx="26">
                  <c:v>65.12</c:v>
                </c:pt>
                <c:pt idx="27">
                  <c:v>73.53</c:v>
                </c:pt>
                <c:pt idx="28">
                  <c:v>77.936000000000007</c:v>
                </c:pt>
                <c:pt idx="29">
                  <c:v>96.316000000000003</c:v>
                </c:pt>
                <c:pt idx="30">
                  <c:v>102.45399999999999</c:v>
                </c:pt>
                <c:pt idx="31">
                  <c:v>104.254</c:v>
                </c:pt>
                <c:pt idx="32">
                  <c:v>126.59</c:v>
                </c:pt>
                <c:pt idx="33">
                  <c:v>148.62299999999999</c:v>
                </c:pt>
                <c:pt idx="34">
                  <c:v>149.536</c:v>
                </c:pt>
                <c:pt idx="35">
                  <c:v>155.11099999999999</c:v>
                </c:pt>
                <c:pt idx="36">
                  <c:v>167.14</c:v>
                </c:pt>
                <c:pt idx="37">
                  <c:v>189.11600000000001</c:v>
                </c:pt>
                <c:pt idx="38">
                  <c:v>197.215</c:v>
                </c:pt>
                <c:pt idx="39">
                  <c:v>225.91900000000001</c:v>
                </c:pt>
                <c:pt idx="40">
                  <c:v>235.6</c:v>
                </c:pt>
                <c:pt idx="41">
                  <c:v>252.27</c:v>
                </c:pt>
                <c:pt idx="42">
                  <c:v>269.66800000000001</c:v>
                </c:pt>
                <c:pt idx="43">
                  <c:v>302.06200000000001</c:v>
                </c:pt>
                <c:pt idx="44">
                  <c:v>327.20400000000001</c:v>
                </c:pt>
                <c:pt idx="45">
                  <c:v>339.03300000000002</c:v>
                </c:pt>
                <c:pt idx="46">
                  <c:v>348.685</c:v>
                </c:pt>
                <c:pt idx="47">
                  <c:v>387.42899999999997</c:v>
                </c:pt>
                <c:pt idx="48">
                  <c:v>416.63600000000002</c:v>
                </c:pt>
                <c:pt idx="49">
                  <c:v>441.27100000000002</c:v>
                </c:pt>
              </c:numCache>
            </c:numRef>
          </c:val>
          <c:smooth val="0"/>
        </c:ser>
        <c:ser>
          <c:idx val="1"/>
          <c:order val="1"/>
          <c:tx>
            <c:v>В один массив</c:v>
          </c:tx>
          <c:spPr>
            <a:ln>
              <a:solidFill>
                <a:srgbClr val="FF0000"/>
              </a:solidFill>
            </a:ln>
          </c:spPr>
          <c:marker>
            <c:symbol val="circle"/>
            <c:size val="4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dLbls>
            <c:delete val="1"/>
          </c:dLbls>
          <c:cat>
            <c:numRef>
              <c:f>Лист1!$A$2:$A$51</c:f>
              <c:numCache>
                <c:formatCode>General</c:formatCode>
                <c:ptCount val="5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</c:numCache>
            </c:numRef>
          </c:cat>
          <c:val>
            <c:numRef>
              <c:f>Лист1!$C$2:$C$51</c:f>
              <c:numCache>
                <c:formatCode>General</c:formatCode>
                <c:ptCount val="50"/>
                <c:pt idx="0">
                  <c:v>0</c:v>
                </c:pt>
                <c:pt idx="1">
                  <c:v>1.6E-2</c:v>
                </c:pt>
                <c:pt idx="2">
                  <c:v>4.7E-2</c:v>
                </c:pt>
                <c:pt idx="3">
                  <c:v>9.4E-2</c:v>
                </c:pt>
                <c:pt idx="4">
                  <c:v>0.20300000000000001</c:v>
                </c:pt>
                <c:pt idx="5">
                  <c:v>0.35899999999999999</c:v>
                </c:pt>
                <c:pt idx="6">
                  <c:v>0.59199999999999997</c:v>
                </c:pt>
                <c:pt idx="7">
                  <c:v>0.92100000000000004</c:v>
                </c:pt>
                <c:pt idx="8">
                  <c:v>1.3580000000000001</c:v>
                </c:pt>
                <c:pt idx="9">
                  <c:v>1.919</c:v>
                </c:pt>
                <c:pt idx="10">
                  <c:v>2.48</c:v>
                </c:pt>
                <c:pt idx="11">
                  <c:v>3.4159999999999999</c:v>
                </c:pt>
                <c:pt idx="12">
                  <c:v>4.5860000000000003</c:v>
                </c:pt>
                <c:pt idx="13">
                  <c:v>5.8810000000000002</c:v>
                </c:pt>
                <c:pt idx="14">
                  <c:v>7.3940000000000001</c:v>
                </c:pt>
                <c:pt idx="15">
                  <c:v>9.4359999999999999</c:v>
                </c:pt>
                <c:pt idx="16">
                  <c:v>11.419</c:v>
                </c:pt>
                <c:pt idx="17">
                  <c:v>14.529</c:v>
                </c:pt>
                <c:pt idx="18">
                  <c:v>20.556999999999999</c:v>
                </c:pt>
                <c:pt idx="19">
                  <c:v>20.448</c:v>
                </c:pt>
                <c:pt idx="20">
                  <c:v>27.87</c:v>
                </c:pt>
                <c:pt idx="21">
                  <c:v>30.472000000000001</c:v>
                </c:pt>
                <c:pt idx="22">
                  <c:v>31.512</c:v>
                </c:pt>
                <c:pt idx="23">
                  <c:v>33.578000000000003</c:v>
                </c:pt>
                <c:pt idx="24">
                  <c:v>38.741999999999997</c:v>
                </c:pt>
                <c:pt idx="25">
                  <c:v>43.720999999999997</c:v>
                </c:pt>
                <c:pt idx="26">
                  <c:v>53.445999999999998</c:v>
                </c:pt>
                <c:pt idx="27">
                  <c:v>62.079000000000001</c:v>
                </c:pt>
                <c:pt idx="28">
                  <c:v>66.409000000000006</c:v>
                </c:pt>
                <c:pt idx="29">
                  <c:v>68.141000000000005</c:v>
                </c:pt>
                <c:pt idx="30">
                  <c:v>77.028999999999996</c:v>
                </c:pt>
                <c:pt idx="31">
                  <c:v>83.972999999999999</c:v>
                </c:pt>
                <c:pt idx="32">
                  <c:v>89.453000000000003</c:v>
                </c:pt>
                <c:pt idx="33">
                  <c:v>98.141999999999996</c:v>
                </c:pt>
                <c:pt idx="34">
                  <c:v>107.10299999999999</c:v>
                </c:pt>
                <c:pt idx="35">
                  <c:v>125.768</c:v>
                </c:pt>
                <c:pt idx="36">
                  <c:v>131.59100000000001</c:v>
                </c:pt>
                <c:pt idx="37">
                  <c:v>144.00299999999999</c:v>
                </c:pt>
                <c:pt idx="38">
                  <c:v>153.80699999999999</c:v>
                </c:pt>
                <c:pt idx="39">
                  <c:v>171.82900000000001</c:v>
                </c:pt>
                <c:pt idx="40">
                  <c:v>182.08099999999999</c:v>
                </c:pt>
                <c:pt idx="41">
                  <c:v>196.90600000000001</c:v>
                </c:pt>
                <c:pt idx="42">
                  <c:v>212.74199999999999</c:v>
                </c:pt>
                <c:pt idx="43">
                  <c:v>231.13200000000001</c:v>
                </c:pt>
                <c:pt idx="44">
                  <c:v>246.249</c:v>
                </c:pt>
                <c:pt idx="45">
                  <c:v>268.71899999999999</c:v>
                </c:pt>
                <c:pt idx="46">
                  <c:v>278.84800000000001</c:v>
                </c:pt>
                <c:pt idx="47">
                  <c:v>347.21199999999999</c:v>
                </c:pt>
                <c:pt idx="48">
                  <c:v>334.58600000000001</c:v>
                </c:pt>
                <c:pt idx="49">
                  <c:v>352.11799999999999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8060416"/>
        <c:axId val="128066688"/>
      </c:lineChart>
      <c:catAx>
        <c:axId val="12806041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none"/>
        <c:minorTickMark val="none"/>
        <c:tickLblPos val="nextTo"/>
        <c:crossAx val="128066688"/>
        <c:crosses val="autoZero"/>
        <c:auto val="1"/>
        <c:lblAlgn val="ctr"/>
        <c:lblOffset val="100"/>
        <c:noMultiLvlLbl val="0"/>
      </c:catAx>
      <c:valAx>
        <c:axId val="12806668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none"/>
        <c:minorTickMark val="none"/>
        <c:tickLblPos val="nextTo"/>
        <c:crossAx val="1280604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2015-11-22T06:04:00Z</dcterms:created>
  <dcterms:modified xsi:type="dcterms:W3CDTF">2015-11-22T06:20:00Z</dcterms:modified>
</cp:coreProperties>
</file>