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Machine Learning Approaches for Violent Extremist Organization Classification: A Comparative Study of Taliban and ISIS-K Attacks in Afghanistan</w:t>
      </w:r>
    </w:p>
    <w:p w:rsidR="00000000" w:rsidDel="00000000" w:rsidP="00000000" w:rsidRDefault="00000000" w:rsidRPr="00000000" w14:paraId="00000002">
      <w:pPr>
        <w:spacing w:after="120" w:lineRule="auto"/>
        <w:jc w:val="center"/>
        <w:rPr/>
      </w:pPr>
      <w:r w:rsidDel="00000000" w:rsidR="00000000" w:rsidRPr="00000000">
        <w:rPr>
          <w:sz w:val="24"/>
          <w:szCs w:val="24"/>
          <w:rtl w:val="0"/>
        </w:rPr>
        <w:t xml:space="preserve">Stephen Davanzo</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sz w:val="22"/>
          <w:szCs w:val="22"/>
          <w:rtl w:val="0"/>
        </w:rPr>
        <w:t xml:space="preserve">George Washington University</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72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Accurate attribution of violent attacks to specific actors remains a critical challenge in conflict analysis, with approximately 90% of recorded attacks worldwide going unattributed. This study presents the first systematic comparison of machine learning approaches for classifying attacks between the Taliban and Islamic State-Khorasan Province (ISIS-K) in Afghanistan using Armed Conflict Location &amp; Event Data (ACLED) from 2017-2021. We evaluate 22 model configurations across classical machine learning, transformer-based, and hybrid architectures on a severely imbalanced dataset (49:1 ratio). Our results demonstrate that </w:t>
      </w:r>
      <w:r w:rsidDel="00000000" w:rsidR="00000000" w:rsidRPr="00000000">
        <w:rPr>
          <w:i w:val="1"/>
          <w:iCs w:val="1"/>
          <w:sz w:val="22"/>
          <w:szCs w:val="22"/>
          <w:rtl w:val="0"/>
        </w:rPr>
        <w:t xml:space="preserve">a Hybrid BERT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model</w:t>
      </w:r>
      <w:r w:rsidDel="00000000" w:rsidR="00000000" w:rsidRPr="00000000">
        <w:rPr>
          <w:i w:val="1"/>
          <w:iCs w:val="1"/>
          <w:sz w:val="22"/>
          <w:szCs w:val="22"/>
          <w:rtl w:val="0"/>
        </w:rPr>
        <w:t xml:space="preserve">, “Feature Fusion”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achieves the best precision-recall balance.Explainable AI analysis confirms that models learn meaningful operational patterns rather than spurious correlations. These findings establish performance benchmarks for VEO classification and provide practical guidance for deploying machine learning in conflict analysis.</w:t>
      </w:r>
    </w:p>
    <w:p w:rsidR="00000000" w:rsidDel="00000000" w:rsidP="00000000" w:rsidRDefault="00000000" w:rsidRPr="00000000" w14:paraId="00000006">
      <w:pPr>
        <w:spacing w:after="360" w:before="24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Introduction</w:t>
      </w:r>
    </w:p>
    <w:p w:rsidR="00000000" w:rsidDel="00000000" w:rsidP="00000000" w:rsidRDefault="00000000" w:rsidRPr="00000000" w14:paraId="00000008">
      <w:pPr>
        <w:spacing w:after="200" w:lineRule="auto"/>
        <w:rPr/>
      </w:pPr>
      <w:r w:rsidDel="00000000" w:rsidR="00000000" w:rsidRPr="00000000">
        <w:rPr>
          <w:rtl w:val="0"/>
        </w:rPr>
        <w:t xml:space="preserve">A striking proportion of violent extremist organization (VEO) attacks are never confidently attributed to any perpetrator. Analyses of the Global Terrorism Database indicate that only approximately ten percent of recorded attacks worldwide are attributed to a specific actor, creating significant blind spots in counterterrorism and academic analysis (Christie, 2019; Bauer et al., 2017). This attribution gap prevents policymakers from properly targeting responses, allocating resources, and evaluating interventions.</w:t>
      </w:r>
    </w:p>
    <w:p w:rsidR="00000000" w:rsidDel="00000000" w:rsidP="00000000" w:rsidRDefault="00000000" w:rsidRPr="00000000" w14:paraId="00000009">
      <w:pPr>
        <w:spacing w:after="200" w:lineRule="auto"/>
        <w:rPr/>
      </w:pPr>
      <w:r w:rsidDel="00000000" w:rsidR="00000000" w:rsidRPr="00000000">
        <w:rPr>
          <w:rtl w:val="0"/>
        </w:rPr>
        <w:t xml:space="preserve">Afghanistan presents a particularly challenging case for conflict classification. The period from 2017 to 2021 witnessed complex violence dynamics involving multiple actors, primarily the Taliban and ISIS-K, with attacks exhibiting overlapping tactical signatures. Machine learning offers a promising avenue for automated attribution, yet the extreme class imbalance typical of conflict data—our dataset exhibits a 49:1 ratio of Taliban to ISIS-K attacks—poses fundamental methodological challenges.</w:t>
      </w:r>
    </w:p>
    <w:p w:rsidR="00000000" w:rsidDel="00000000" w:rsidP="00000000" w:rsidRDefault="00000000" w:rsidRPr="00000000" w14:paraId="0000000A">
      <w:pPr>
        <w:spacing w:after="200" w:lineRule="auto"/>
        <w:rPr/>
      </w:pPr>
      <w:r w:rsidDel="00000000" w:rsidR="00000000" w:rsidRPr="00000000">
        <w:rPr>
          <w:rtl w:val="0"/>
        </w:rPr>
        <w:t xml:space="preserve">This paper makes three primary contributions: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Benchmarking: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provide the first systematic comparison of classical machine learning, deep learning, and hybrid approaches for VEO classification using ACLED data, evaluating 22 model configurations with various resampling strategies.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Innovation: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develop and evaluate a feature fusion architecture that combines BERT's contextual embeddings with 23 manually engineered features capturing casualty patterns, attack types, and tactical signatures specific to conflict data.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Insights: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rigorous experimentation, we demonstrate that while classical models with aggressive oversampling achieve high recall (79.8%), transformer-based approaches provide superior precision-recall balance, with</w:t>
      </w:r>
      <w:r w:rsidDel="00000000" w:rsidR="00000000" w:rsidRPr="00000000">
        <w:rPr>
          <w:rtl w:val="0"/>
        </w:rPr>
        <w:t xml:space="preserve"> Feature Fusion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achieving </w:t>
      </w:r>
      <w:r w:rsidDel="00000000" w:rsidR="00000000" w:rsidRPr="00000000">
        <w:rPr>
          <w:rtl w:val="0"/>
        </w:rPr>
        <w:t xml:space="preserve">60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 at 70.</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recall for ISIS-K detection.</w:t>
      </w:r>
    </w:p>
    <w:p w:rsidR="00000000" w:rsidDel="00000000" w:rsidP="00000000" w:rsidRDefault="00000000" w:rsidRPr="00000000" w14:paraId="0000000E">
      <w:pPr>
        <w:pStyle w:val="Heading1"/>
        <w:rPr/>
      </w:pPr>
      <w:r w:rsidDel="00000000" w:rsidR="00000000" w:rsidRPr="00000000">
        <w:rPr>
          <w:rtl w:val="0"/>
        </w:rPr>
        <w:t xml:space="preserve">2. Methodology</w:t>
      </w:r>
    </w:p>
    <w:p w:rsidR="00000000" w:rsidDel="00000000" w:rsidP="00000000" w:rsidRDefault="00000000" w:rsidRPr="00000000" w14:paraId="0000000F">
      <w:pPr>
        <w:pStyle w:val="Heading2"/>
        <w:rPr/>
      </w:pPr>
      <w:r w:rsidDel="00000000" w:rsidR="00000000" w:rsidRPr="00000000">
        <w:rPr>
          <w:rtl w:val="0"/>
        </w:rPr>
        <w:t xml:space="preserve">2.1 Data and Preprocessing</w:t>
      </w:r>
    </w:p>
    <w:p w:rsidR="00000000" w:rsidDel="00000000" w:rsidP="00000000" w:rsidRDefault="00000000" w:rsidRPr="00000000" w14:paraId="00000010">
      <w:pPr>
        <w:spacing w:after="200" w:lineRule="auto"/>
        <w:rPr/>
      </w:pPr>
      <w:r w:rsidDel="00000000" w:rsidR="00000000" w:rsidRPr="00000000">
        <w:rPr>
          <w:rtl w:val="0"/>
        </w:rPr>
        <w:t xml:space="preserve">We utilize ACLED event records from Afghanistan covering 2017-2021, comprising approximately 25,000 events. The dataset exhibits severe class imbalance: Taliban attacks represent 98% of labeled events (10,009 test samples) while ISIS-K comprises only 2% (204 test samples). To prevent information leakage and ensure generalization, we implement systematic semantic masking that removes explicit actor names and location identifiers from event descriptions.</w:t>
      </w:r>
    </w:p>
    <w:p w:rsidR="00000000" w:rsidDel="00000000" w:rsidP="00000000" w:rsidRDefault="00000000" w:rsidRPr="00000000" w14:paraId="00000011">
      <w:pPr>
        <w:pStyle w:val="Heading2"/>
        <w:rPr/>
      </w:pPr>
      <w:r w:rsidDel="00000000" w:rsidR="00000000" w:rsidRPr="00000000">
        <w:rPr>
          <w:rtl w:val="0"/>
        </w:rPr>
        <w:t xml:space="preserve">2.2 Feature Engineering</w:t>
      </w:r>
    </w:p>
    <w:p w:rsidR="00000000" w:rsidDel="00000000" w:rsidP="00000000" w:rsidRDefault="00000000" w:rsidRPr="00000000" w14:paraId="00000012">
      <w:pPr>
        <w:spacing w:after="200" w:lineRule="auto"/>
        <w:rPr/>
      </w:pPr>
      <w:r w:rsidDel="00000000" w:rsidR="00000000" w:rsidRPr="00000000">
        <w:rPr>
          <w:rtl w:val="0"/>
        </w:rPr>
        <w:t xml:space="preserve">We engineer 23 domain-specific features capturing three dimensions: (1) casualty patterns including fatality counts, civilian targeting indicators, and severity thresholds; (2) attack type encodings covering suicide bombings, IEDs, armed clashes, and territorial control events; and (3) tactical signatures such as coordinated and series attacks. For classical models, we additionally generate 384-dimensional sentence embeddings using Sentence Transformers to capture semantic content.</w:t>
      </w:r>
    </w:p>
    <w:p w:rsidR="00000000" w:rsidDel="00000000" w:rsidP="00000000" w:rsidRDefault="00000000" w:rsidRPr="00000000" w14:paraId="00000013">
      <w:pPr>
        <w:pStyle w:val="Heading2"/>
        <w:rPr/>
      </w:pPr>
      <w:r w:rsidDel="00000000" w:rsidR="00000000" w:rsidRPr="00000000">
        <w:rPr>
          <w:rtl w:val="0"/>
        </w:rPr>
        <w:t xml:space="preserve">2.3 Model Architectures</w:t>
      </w:r>
    </w:p>
    <w:p w:rsidR="00000000" w:rsidDel="00000000" w:rsidP="00000000" w:rsidRDefault="00000000" w:rsidRPr="00000000" w14:paraId="00000014">
      <w:pPr>
        <w:spacing w:after="200" w:lineRule="auto"/>
        <w:rPr/>
      </w:pPr>
      <w:r w:rsidDel="00000000" w:rsidR="00000000" w:rsidRPr="00000000">
        <w:rPr>
          <w:b w:val="1"/>
          <w:bCs w:val="1"/>
          <w:rtl w:val="0"/>
        </w:rPr>
        <w:t xml:space="preserve">Classical Models. </w:t>
      </w:r>
      <w:r w:rsidDel="00000000" w:rsidR="00000000" w:rsidRPr="00000000">
        <w:rPr>
          <w:rtl w:val="0"/>
        </w:rPr>
        <w:t xml:space="preserve">We evaluate Random Forest, XGBoost, and Multi-Layer Perceptron classifiers combined with seven resampling strategies: SMOTE, ADASYN, Borderline-SMOTE, SVM-SMOTE, Random Oversampling, SMOTE-ENN, and SMOTE-Tomek. All models undergo standardization and 5-fold stratified cross-validation.</w:t>
      </w:r>
    </w:p>
    <w:p w:rsidR="00000000" w:rsidDel="00000000" w:rsidP="00000000" w:rsidRDefault="00000000" w:rsidRPr="00000000" w14:paraId="00000015">
      <w:pPr>
        <w:spacing w:after="200" w:lineRule="auto"/>
        <w:rPr/>
      </w:pPr>
      <w:r w:rsidDel="00000000" w:rsidR="00000000" w:rsidRPr="00000000">
        <w:rPr>
          <w:b w:val="1"/>
          <w:bCs w:val="1"/>
          <w:rtl w:val="0"/>
        </w:rPr>
        <w:t xml:space="preserve">BERT Classifier. </w:t>
      </w:r>
      <w:r w:rsidDel="00000000" w:rsidR="00000000" w:rsidRPr="00000000">
        <w:rPr>
          <w:rtl w:val="0"/>
        </w:rPr>
        <w:t xml:space="preserve">We fine-tune bert-base-uncased with selective layer freezing (top 4 layers unfrozen), focal loss (α=0.65, γ=2.0), and batch balancing via WeightedRandomSampler. Training employs gradient accumulation with effective batch size 32 and early stopping based on validation macro F1.</w:t>
      </w:r>
    </w:p>
    <w:p w:rsidR="00000000" w:rsidDel="00000000" w:rsidP="00000000" w:rsidRDefault="00000000" w:rsidRPr="00000000" w14:paraId="00000016">
      <w:pPr>
        <w:spacing w:after="200" w:lineRule="auto"/>
        <w:rPr/>
      </w:pPr>
      <w:r w:rsidDel="00000000" w:rsidR="00000000" w:rsidRPr="00000000">
        <w:rPr>
          <w:b w:val="1"/>
          <w:bCs w:val="1"/>
          <w:rtl w:val="0"/>
        </w:rPr>
        <w:t xml:space="preserve">Feature Fusion Architecture. </w:t>
      </w:r>
      <w:sdt>
        <w:sdtPr>
          <w:id w:val="770021857"/>
          <w:tag w:val="goog_rdk_0"/>
        </w:sdtPr>
        <w:sdtContent>
          <w:r w:rsidDel="00000000" w:rsidR="00000000" w:rsidRPr="00000000">
            <w:rPr>
              <w:rFonts w:ascii="Cardo" w:cs="Cardo" w:eastAsia="Cardo" w:hAnsi="Cardo"/>
              <w:rtl w:val="0"/>
            </w:rPr>
            <w:t xml:space="preserve">Our proposed hybrid architecture concatenates the [CLS] token embedding (768 dimensions) from BERT with manually engineered features processed through a linear projection layer (23→128 dimensions). The fused 256-dimensional representation passes through a final classification layer. This architecture enables the model to leverage both rich contextual text representations and structured domain knowledge.</w:t>
          </w:r>
        </w:sdtContent>
      </w:sdt>
    </w:p>
    <w:p w:rsidR="00000000" w:rsidDel="00000000" w:rsidP="00000000" w:rsidRDefault="00000000" w:rsidRPr="00000000" w14:paraId="00000017">
      <w:pPr>
        <w:pStyle w:val="Heading1"/>
        <w:rPr/>
      </w:pPr>
      <w:r w:rsidDel="00000000" w:rsidR="00000000" w:rsidRPr="00000000">
        <w:rPr>
          <w:rtl w:val="0"/>
        </w:rPr>
        <w:t xml:space="preserve">3. Results</w:t>
      </w:r>
    </w:p>
    <w:p w:rsidR="00000000" w:rsidDel="00000000" w:rsidP="00000000" w:rsidRDefault="00000000" w:rsidRPr="00000000" w14:paraId="00000018">
      <w:pPr>
        <w:pStyle w:val="Heading2"/>
        <w:rPr/>
      </w:pPr>
      <w:r w:rsidDel="00000000" w:rsidR="00000000" w:rsidRPr="00000000">
        <w:rPr>
          <w:rtl w:val="0"/>
        </w:rPr>
        <w:t xml:space="preserve">3.1 Performance Comparison</w:t>
      </w:r>
    </w:p>
    <w:p w:rsidR="00000000" w:rsidDel="00000000" w:rsidP="00000000" w:rsidRDefault="00000000" w:rsidRPr="00000000" w14:paraId="00000019">
      <w:pPr>
        <w:spacing w:after="200" w:lineRule="auto"/>
        <w:rPr/>
      </w:pPr>
      <w:r w:rsidDel="00000000" w:rsidR="00000000" w:rsidRPr="00000000">
        <w:rPr>
          <w:rtl w:val="0"/>
        </w:rPr>
        <w:t xml:space="preserve">Table 1 presents performance metrics across model families on the held-out test set. Both deep learning approaches substantially outperform classical baselines, particularly on minority class metrics.</w:t>
      </w:r>
    </w:p>
    <w:p w:rsidR="00000000" w:rsidDel="00000000" w:rsidP="00000000" w:rsidRDefault="00000000" w:rsidRPr="00000000" w14:paraId="0000001A">
      <w:pPr>
        <w:spacing w:after="60" w:before="120" w:lineRule="auto"/>
        <w:jc w:val="center"/>
        <w:rPr/>
      </w:pPr>
      <w:r w:rsidDel="00000000" w:rsidR="00000000" w:rsidRPr="00000000">
        <w:rPr>
          <w:b w:val="1"/>
          <w:bCs w:val="1"/>
          <w:sz w:val="22"/>
          <w:szCs w:val="22"/>
          <w:rtl w:val="0"/>
        </w:rPr>
        <w:t xml:space="preserve">Table 1: Model Performance Comparison on Test Set</w:t>
      </w:r>
      <w:r w:rsidDel="00000000" w:rsidR="00000000" w:rsidRPr="00000000">
        <w:rPr>
          <w:rtl w:val="0"/>
        </w:rPr>
      </w:r>
    </w:p>
    <w:tbl>
      <w:tblPr>
        <w:tblStyle w:val="Table1"/>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1200"/>
        <w:gridCol w:w="1200"/>
        <w:gridCol w:w="1200"/>
        <w:tblGridChange w:id="0">
          <w:tblGrid>
            <w:gridCol w:w="2200"/>
            <w:gridCol w:w="1200"/>
            <w:gridCol w:w="1200"/>
            <w:gridCol w:w="1200"/>
            <w:gridCol w:w="120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B">
            <w:pPr>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C">
            <w:pPr>
              <w:jc w:val="center"/>
              <w:rPr/>
            </w:pPr>
            <w:r w:rsidDel="00000000" w:rsidR="00000000" w:rsidRPr="00000000">
              <w:rPr>
                <w:b w:val="1"/>
                <w:bCs w:val="1"/>
                <w:sz w:val="20"/>
                <w:szCs w:val="20"/>
                <w:rtl w:val="0"/>
              </w:rPr>
              <w:t xml:space="preserve">Macro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D">
            <w:pPr>
              <w:jc w:val="center"/>
              <w:rPr/>
            </w:pPr>
            <w:r w:rsidDel="00000000" w:rsidR="00000000" w:rsidRPr="00000000">
              <w:rPr>
                <w:b w:val="1"/>
                <w:bCs w:val="1"/>
                <w:sz w:val="20"/>
                <w:szCs w:val="20"/>
                <w:rtl w:val="0"/>
              </w:rPr>
              <w:t xml:space="preserve">Min.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E">
            <w:pPr>
              <w:jc w:val="center"/>
              <w:rPr/>
            </w:pPr>
            <w:r w:rsidDel="00000000" w:rsidR="00000000" w:rsidRPr="00000000">
              <w:rPr>
                <w:b w:val="1"/>
                <w:bCs w:val="1"/>
                <w:sz w:val="20"/>
                <w:szCs w:val="20"/>
                <w:rtl w:val="0"/>
              </w:rPr>
              <w:t xml:space="preserve">Min. Prec.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Min. Rec.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20">
            <w:pPr>
              <w:jc w:val="center"/>
              <w:rPr/>
            </w:pPr>
            <w:r w:rsidDel="00000000" w:rsidR="00000000" w:rsidRPr="00000000">
              <w:rPr>
                <w:b w:val="1"/>
                <w:bCs w:val="1"/>
                <w:sz w:val="20"/>
                <w:szCs w:val="20"/>
                <w:rtl w:val="0"/>
              </w:rPr>
              <w:t xml:space="preserve">ROC-AUC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rPr/>
            </w:pPr>
            <w:r w:rsidDel="00000000" w:rsidR="00000000" w:rsidRPr="00000000">
              <w:rPr>
                <w:sz w:val="20"/>
                <w:szCs w:val="20"/>
                <w:rtl w:val="0"/>
              </w:rPr>
              <w:t xml:space="preserve">XGBoost + SVM-SMOTE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jc w:val="center"/>
              <w:rPr/>
            </w:pPr>
            <w:r w:rsidDel="00000000" w:rsidR="00000000" w:rsidRPr="00000000">
              <w:rPr>
                <w:sz w:val="20"/>
                <w:szCs w:val="20"/>
                <w:rtl w:val="0"/>
              </w:rPr>
              <w:t xml:space="preserve">0.698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jc w:val="center"/>
              <w:rPr/>
            </w:pPr>
            <w:r w:rsidDel="00000000" w:rsidR="00000000" w:rsidRPr="00000000">
              <w:rPr>
                <w:sz w:val="20"/>
                <w:szCs w:val="20"/>
                <w:rtl w:val="0"/>
              </w:rPr>
              <w:t xml:space="preserve">0.415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jc w:val="center"/>
              <w:rPr/>
            </w:pPr>
            <w:r w:rsidDel="00000000" w:rsidR="00000000" w:rsidRPr="00000000">
              <w:rPr>
                <w:sz w:val="20"/>
                <w:szCs w:val="20"/>
                <w:rtl w:val="0"/>
              </w:rPr>
              <w:t xml:space="preserve">0.281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jc w:val="center"/>
              <w:rPr/>
            </w:pPr>
            <w:r w:rsidDel="00000000" w:rsidR="00000000" w:rsidRPr="00000000">
              <w:rPr>
                <w:sz w:val="20"/>
                <w:szCs w:val="20"/>
                <w:rtl w:val="0"/>
              </w:rPr>
              <w:t xml:space="preserve">0.798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jc w:val="center"/>
              <w:rPr/>
            </w:pPr>
            <w:r w:rsidDel="00000000" w:rsidR="00000000" w:rsidRPr="00000000">
              <w:rPr>
                <w:sz w:val="20"/>
                <w:szCs w:val="20"/>
                <w:rtl w:val="0"/>
              </w:rPr>
              <w:t xml:space="preserve">0.907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rPr/>
            </w:pPr>
            <w:r w:rsidDel="00000000" w:rsidR="00000000" w:rsidRPr="00000000">
              <w:rPr>
                <w:sz w:val="20"/>
                <w:szCs w:val="20"/>
                <w:rtl w:val="0"/>
              </w:rPr>
              <w:t xml:space="preserve">RF + 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jc w:val="center"/>
              <w:rPr/>
            </w:pPr>
            <w:r w:rsidDel="00000000" w:rsidR="00000000" w:rsidRPr="00000000">
              <w:rPr>
                <w:sz w:val="20"/>
                <w:szCs w:val="20"/>
                <w:rtl w:val="0"/>
              </w:rPr>
              <w:t xml:space="preserve">0.692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jc w:val="center"/>
              <w:rPr/>
            </w:pPr>
            <w:r w:rsidDel="00000000" w:rsidR="00000000" w:rsidRPr="00000000">
              <w:rPr>
                <w:sz w:val="20"/>
                <w:szCs w:val="20"/>
                <w:rtl w:val="0"/>
              </w:rPr>
              <w:t xml:space="preserve">0.401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jc w:val="center"/>
              <w:rPr/>
            </w:pPr>
            <w:r w:rsidDel="00000000" w:rsidR="00000000" w:rsidRPr="00000000">
              <w:rPr>
                <w:sz w:val="20"/>
                <w:szCs w:val="20"/>
                <w:rtl w:val="0"/>
              </w:rPr>
              <w:t xml:space="preserve">0.267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jc w:val="center"/>
              <w:rPr/>
            </w:pPr>
            <w:r w:rsidDel="00000000" w:rsidR="00000000" w:rsidRPr="00000000">
              <w:rPr>
                <w:sz w:val="20"/>
                <w:szCs w:val="20"/>
                <w:rtl w:val="0"/>
              </w:rPr>
              <w:t xml:space="preserve">0.804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jc w:val="center"/>
              <w:rPr/>
            </w:pPr>
            <w:r w:rsidDel="00000000" w:rsidR="00000000" w:rsidRPr="00000000">
              <w:rPr>
                <w:sz w:val="20"/>
                <w:szCs w:val="20"/>
                <w:rtl w:val="0"/>
              </w:rPr>
              <w:t xml:space="preserve">0.897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2D">
            <w:pPr>
              <w:rPr/>
            </w:pPr>
            <w:r w:rsidDel="00000000" w:rsidR="00000000" w:rsidRPr="00000000">
              <w:rPr>
                <w:b w:val="1"/>
                <w:bCs w:val="1"/>
                <w:sz w:val="20"/>
                <w:szCs w:val="20"/>
                <w:rtl w:val="0"/>
              </w:rPr>
              <w:t xml:space="preserve">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2E">
            <w:pPr>
              <w:jc w:val="center"/>
              <w:rPr/>
            </w:pPr>
            <w:r w:rsidDel="00000000" w:rsidR="00000000" w:rsidRPr="00000000">
              <w:rPr>
                <w:b w:val="1"/>
                <w:bCs w:val="1"/>
                <w:sz w:val="20"/>
                <w:szCs w:val="20"/>
                <w:rtl w:val="0"/>
              </w:rPr>
              <w:t xml:space="preserve">0.836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2F">
            <w:pPr>
              <w:jc w:val="center"/>
              <w:rPr/>
            </w:pPr>
            <w:r w:rsidDel="00000000" w:rsidR="00000000" w:rsidRPr="00000000">
              <w:rPr>
                <w:b w:val="1"/>
                <w:bCs w:val="1"/>
                <w:sz w:val="20"/>
                <w:szCs w:val="20"/>
                <w:rtl w:val="0"/>
              </w:rPr>
              <w:t xml:space="preserve">0.678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0">
            <w:pPr>
              <w:jc w:val="center"/>
              <w:rPr/>
            </w:pPr>
            <w:r w:rsidDel="00000000" w:rsidR="00000000" w:rsidRPr="00000000">
              <w:rPr>
                <w:b w:val="1"/>
                <w:bCs w:val="1"/>
                <w:sz w:val="20"/>
                <w:szCs w:val="20"/>
                <w:rtl w:val="0"/>
              </w:rPr>
              <w:t xml:space="preserve">0.791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1">
            <w:pPr>
              <w:jc w:val="center"/>
              <w:rPr/>
            </w:pPr>
            <w:r w:rsidDel="00000000" w:rsidR="00000000" w:rsidRPr="00000000">
              <w:rPr>
                <w:sz w:val="20"/>
                <w:szCs w:val="20"/>
                <w:rtl w:val="0"/>
              </w:rPr>
              <w:t xml:space="preserve">0.593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2">
            <w:pPr>
              <w:jc w:val="center"/>
              <w:rPr/>
            </w:pPr>
            <w:r w:rsidDel="00000000" w:rsidR="00000000" w:rsidRPr="00000000">
              <w:rPr>
                <w:sz w:val="20"/>
                <w:szCs w:val="20"/>
                <w:rtl w:val="0"/>
              </w:rPr>
              <w:t xml:space="preserve">0.966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3">
            <w:pPr>
              <w:rPr/>
            </w:pPr>
            <w:r w:rsidDel="00000000" w:rsidR="00000000" w:rsidRPr="00000000">
              <w:rPr>
                <w:b w:val="1"/>
                <w:bCs w:val="1"/>
                <w:sz w:val="20"/>
                <w:szCs w:val="20"/>
                <w:rtl w:val="0"/>
              </w:rPr>
              <w:t xml:space="preserve">Feature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4">
            <w:pPr>
              <w:jc w:val="center"/>
              <w:rPr/>
            </w:pPr>
            <w:r w:rsidDel="00000000" w:rsidR="00000000" w:rsidRPr="00000000">
              <w:rPr>
                <w:sz w:val="20"/>
                <w:szCs w:val="20"/>
                <w:rtl w:val="0"/>
              </w:rPr>
              <w:t xml:space="preserve">0.823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5">
            <w:pPr>
              <w:jc w:val="center"/>
              <w:rPr/>
            </w:pPr>
            <w:r w:rsidDel="00000000" w:rsidR="00000000" w:rsidRPr="00000000">
              <w:rPr>
                <w:sz w:val="20"/>
                <w:szCs w:val="20"/>
                <w:rtl w:val="0"/>
              </w:rPr>
              <w:t xml:space="preserve">0.654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6">
            <w:pPr>
              <w:jc w:val="center"/>
              <w:rPr/>
            </w:pPr>
            <w:r w:rsidDel="00000000" w:rsidR="00000000" w:rsidRPr="00000000">
              <w:rPr>
                <w:sz w:val="20"/>
                <w:szCs w:val="20"/>
                <w:rtl w:val="0"/>
              </w:rPr>
              <w:t xml:space="preserve">0.608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7">
            <w:pPr>
              <w:jc w:val="center"/>
              <w:rPr/>
            </w:pPr>
            <w:r w:rsidDel="00000000" w:rsidR="00000000" w:rsidRPr="00000000">
              <w:rPr>
                <w:b w:val="1"/>
                <w:bCs w:val="1"/>
                <w:sz w:val="20"/>
                <w:szCs w:val="20"/>
                <w:rtl w:val="0"/>
              </w:rPr>
              <w:t xml:space="preserve">0.706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38">
            <w:pPr>
              <w:jc w:val="center"/>
              <w:rPr/>
            </w:pPr>
            <w:r w:rsidDel="00000000" w:rsidR="00000000" w:rsidRPr="00000000">
              <w:rPr>
                <w:b w:val="1"/>
                <w:bCs w:val="1"/>
                <w:sz w:val="20"/>
                <w:szCs w:val="20"/>
                <w:rtl w:val="0"/>
              </w:rPr>
              <w:t xml:space="preserve">0.978</w:t>
            </w:r>
            <w:r w:rsidDel="00000000" w:rsidR="00000000" w:rsidRPr="00000000">
              <w:rPr>
                <w:rtl w:val="0"/>
              </w:rPr>
            </w:r>
          </w:p>
        </w:tc>
      </w:tr>
    </w:tbl>
    <w:p w:rsidR="00000000" w:rsidDel="00000000" w:rsidP="00000000" w:rsidRDefault="00000000" w:rsidRPr="00000000" w14:paraId="00000039">
      <w:pPr>
        <w:spacing w:after="240" w:lineRule="auto"/>
        <w:jc w:val="center"/>
        <w:rPr/>
      </w:pPr>
      <w:r w:rsidDel="00000000" w:rsidR="00000000" w:rsidRPr="00000000">
        <w:rPr>
          <w:i w:val="1"/>
          <w:iCs w:val="1"/>
          <w:sz w:val="20"/>
          <w:szCs w:val="20"/>
          <w:rtl w:val="0"/>
        </w:rPr>
        <w:t xml:space="preserve">Note: Min. = Minority class (ISIS-K). Bold indicates best performance per metric.</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BERT achieves the highest macro F1 (0.836) and minority class precision (79.1%), generating only 32 false positives compared to 555 for XGBoost with SVM-SMOTE. The feature fusion model achieves the highest ROC-AUC (0.978) and minority recall (70.6%), detecting 23 additional ISIS-K attacks compared to BERT while maintaining substantially better precision than classical approaches.</w:t>
      </w:r>
    </w:p>
    <w:p w:rsidR="00000000" w:rsidDel="00000000" w:rsidP="00000000" w:rsidRDefault="00000000" w:rsidRPr="00000000" w14:paraId="0000003B">
      <w:pPr>
        <w:pStyle w:val="Heading2"/>
        <w:rPr/>
      </w:pPr>
      <w:r w:rsidDel="00000000" w:rsidR="00000000" w:rsidRPr="00000000">
        <w:rPr>
          <w:rtl w:val="0"/>
        </w:rPr>
        <w:t xml:space="preserve">3.2 Resampling Strategy Analysis</w:t>
      </w:r>
    </w:p>
    <w:p w:rsidR="00000000" w:rsidDel="00000000" w:rsidP="00000000" w:rsidRDefault="00000000" w:rsidRPr="00000000" w14:paraId="0000003C">
      <w:pPr>
        <w:spacing w:after="200" w:lineRule="auto"/>
        <w:rPr/>
      </w:pPr>
      <w:r w:rsidDel="00000000" w:rsidR="00000000" w:rsidRPr="00000000">
        <w:rPr>
          <w:rtl w:val="0"/>
        </w:rPr>
        <w:t xml:space="preserve">Evaluation of seven resampling techniques reveals that SVM-SMOTE consistently provides the best balance for classical models, while SMOTE-ENN achieves extreme recall (94.5%) at the cost of impractical precision (13.5%). For neural approaches, batch balancing through WeightedRandomSampler combined with focal loss proves most effective, avoiding the overfitting risks associated with repeated minority sample exposure.</w:t>
      </w:r>
    </w:p>
    <w:p w:rsidR="00000000" w:rsidDel="00000000" w:rsidP="00000000" w:rsidRDefault="00000000" w:rsidRPr="00000000" w14:paraId="0000003D">
      <w:pPr>
        <w:pStyle w:val="Heading2"/>
        <w:rPr/>
      </w:pPr>
      <w:r w:rsidDel="00000000" w:rsidR="00000000" w:rsidRPr="00000000">
        <w:rPr>
          <w:rtl w:val="0"/>
        </w:rPr>
        <w:t xml:space="preserve">3.3 Explainability Analysis</w:t>
      </w:r>
    </w:p>
    <w:p w:rsidR="00000000" w:rsidDel="00000000" w:rsidP="00000000" w:rsidRDefault="00000000" w:rsidRPr="00000000" w14:paraId="0000003E">
      <w:pPr>
        <w:spacing w:after="200" w:lineRule="auto"/>
        <w:rPr/>
      </w:pPr>
      <w:r w:rsidDel="00000000" w:rsidR="00000000" w:rsidRPr="00000000">
        <w:rPr>
          <w:rtl w:val="0"/>
        </w:rPr>
        <w:t xml:space="preserve">We apply LIME for word-level importance analysis on BERT and SHAP for feature attribution on classical models. For Taliban predictions, BERT identifies "district" as the strongest predictor (importance: 3.4), reflecting the group's rural territorial focus, along with military terminology ("soldiers," "forces") and references to local militias ("Arbaki"). For ISIS-K predictions, "militants" (importance: 6.2) and "claimed" (importance: 2.2) emerge as top features, capturing ISIS-K's distinct media framing and formal responsibility claims. Critically, explicit group identifiers are absent from top features, confirming successful semantic masking.</w:t>
      </w:r>
    </w:p>
    <w:p w:rsidR="00000000" w:rsidDel="00000000" w:rsidP="00000000" w:rsidRDefault="00000000" w:rsidRPr="00000000" w14:paraId="0000003F">
      <w:pPr>
        <w:spacing w:after="200" w:lineRule="auto"/>
        <w:rPr/>
      </w:pPr>
      <w:r w:rsidDel="00000000" w:rsidR="00000000" w:rsidRPr="00000000">
        <w:rPr>
          <w:rtl w:val="0"/>
        </w:rPr>
        <w:t xml:space="preserve">The feature fusion model reveals that "violence_against_women" is the dominant manual feature for ISIS-K prediction (importance: 4.8), aligning with documented targeting patterns. These findings validate that models learn meaningful operational differences—ISIS-K's preference for suicide operations, sectarian targeting, and higher casualty attacks versus Taliban's territorial engagement through armed clashes.</w:t>
      </w:r>
    </w:p>
    <w:p w:rsidR="00000000" w:rsidDel="00000000" w:rsidP="00000000" w:rsidRDefault="00000000" w:rsidRPr="00000000" w14:paraId="00000040">
      <w:pPr>
        <w:pStyle w:val="Heading2"/>
        <w:rPr/>
      </w:pPr>
      <w:r w:rsidDel="00000000" w:rsidR="00000000" w:rsidRPr="00000000">
        <w:rPr>
          <w:rtl w:val="0"/>
        </w:rPr>
        <w:t xml:space="preserve">3.4 Alignment with Qualitative Understanding</w:t>
      </w:r>
    </w:p>
    <w:p w:rsidR="00000000" w:rsidDel="00000000" w:rsidP="00000000" w:rsidRDefault="00000000" w:rsidRPr="00000000" w14:paraId="00000041">
      <w:pPr>
        <w:spacing w:after="200" w:lineRule="auto"/>
        <w:rPr/>
      </w:pPr>
      <w:r w:rsidDel="00000000" w:rsidR="00000000" w:rsidRPr="00000000">
        <w:rPr>
          <w:rtl w:val="0"/>
        </w:rPr>
        <w:t xml:space="preserve">Despite the methodological caveats noted below, the XAI analysis broadly confirms established qualitative understanding of how these two groups operate. The Taliban's learned signature—centered on "district," "soldiers," "Arbaki" (local militias), and "clashes"—reflects their well-documented strategy of rural territorial control through sustained engagement with Afghan government forces and local defense units. The consensus importance of "Armed clash" across 100% of classical models reinforces this characterization of the Taliban as a quasi-state actor pursuing conventional territorial warfare. In contrast, ISIS-K's learned signature captures their documented modus operandi as an urban terrorist organization: "suicide," "bomber," and "claimed" reflect their preference for high-impact attacks with formal responsibility claims through official media channels, while "Shiite" and "beheaded" capture their sectarian targeting and brutal tactics against religious minorities—patterns absent from Taliban operations. The dominance of "fatalities" in SHAP analysis (appearing in 100% of model configurations) aligns with ISIS-K's higher average casualty rates per attack. These convergent signals across multiple model architectures and explanation methods suggest the classifiers have learned substantive operational distinctions rather than artifacts, though researchers should remain cautious given the frequency biases and aggregation limitations inherent in the explainability methods employed.</w:t>
      </w:r>
    </w:p>
    <w:p w:rsidR="00000000" w:rsidDel="00000000" w:rsidP="00000000" w:rsidRDefault="00000000" w:rsidRPr="00000000" w14:paraId="00000042">
      <w:pPr>
        <w:pStyle w:val="Heading2"/>
        <w:rPr/>
      </w:pPr>
      <w:r w:rsidDel="00000000" w:rsidR="00000000" w:rsidRPr="00000000">
        <w:rPr>
          <w:rtl w:val="0"/>
        </w:rPr>
        <w:t xml:space="preserve">3.5 XAI Methodology Limitations</w:t>
      </w:r>
    </w:p>
    <w:p w:rsidR="00000000" w:rsidDel="00000000" w:rsidP="00000000" w:rsidRDefault="00000000" w:rsidRPr="00000000" w14:paraId="00000043">
      <w:pPr>
        <w:spacing w:after="200" w:lineRule="auto"/>
        <w:rPr/>
      </w:pPr>
      <w:r w:rsidDel="00000000" w:rsidR="00000000" w:rsidRPr="00000000">
        <w:rPr>
          <w:rtl w:val="0"/>
        </w:rPr>
        <w:t xml:space="preserve">Several limitations of our explainability analysis warrant acknowledgment. First, our LIME-based word importance analysis does not incorporate stop word filtering or TF-IDF weighting; consequently, frequent words may accumulate high importance scores through aggregation even if their individual discriminative contributions are modest. Our aggregation method sums importance across samples, inherently favoring words appearing in many events over rare but highly discriminative terms.</w:t>
      </w:r>
    </w:p>
    <w:p w:rsidR="00000000" w:rsidDel="00000000" w:rsidP="00000000" w:rsidRDefault="00000000" w:rsidRPr="00000000" w14:paraId="00000044">
      <w:pPr>
        <w:spacing w:after="200" w:lineRule="auto"/>
        <w:rPr/>
      </w:pPr>
      <w:r w:rsidDel="00000000" w:rsidR="00000000" w:rsidRPr="00000000">
        <w:rPr>
          <w:rtl w:val="0"/>
        </w:rPr>
        <w:t xml:space="preserve">Second, LIME explanations are designed to be locally faithful around individual predictions but may not perfectly reflect global decision boundaries. The perturbation-based approach can produce explanations sensitive to word removal order, and LIME's linear local approximation may struggle to capture complex non-linear interactions that transformer models learn. Third, SHAP values for classical models assume feature independence, which may not hold for correlated text embedding dimensions—when sentence transformer embeddings capture similar semantic content across dimensions, SHAP attributions may not accurately reflect true contributions of underlying concepts.</w:t>
      </w:r>
    </w:p>
    <w:p w:rsidR="00000000" w:rsidDel="00000000" w:rsidP="00000000" w:rsidRDefault="00000000" w:rsidRPr="00000000" w14:paraId="00000045">
      <w:pPr>
        <w:spacing w:after="200" w:lineRule="auto"/>
        <w:rPr/>
      </w:pPr>
      <w:r w:rsidDel="00000000" w:rsidR="00000000" w:rsidRPr="00000000">
        <w:rPr>
          <w:rtl w:val="0"/>
        </w:rPr>
        <w:t xml:space="preserve">Finally, some counterintuitive results, such as suicide bombing appearing as a Taliban indicator despite ISIS-K's known preference for this tactic, likely reflect base rate effects: the Taliban conducted significantly more attacks overall, meaning even tactics they used proportionally less frequently could still appear as Taliban indicators due to absolute numbers. Future work should incorporate stop word removal, inverse document frequency weighting, and instance-level analysis of misclassified samples validated against domain expert assessments.</w:t>
      </w:r>
    </w:p>
    <w:p w:rsidR="00000000" w:rsidDel="00000000" w:rsidP="00000000" w:rsidRDefault="00000000" w:rsidRPr="00000000" w14:paraId="00000046">
      <w:pPr>
        <w:pStyle w:val="Heading1"/>
        <w:rPr/>
      </w:pPr>
      <w:r w:rsidDel="00000000" w:rsidR="00000000" w:rsidRPr="00000000">
        <w:rPr>
          <w:rtl w:val="0"/>
        </w:rPr>
        <w:t xml:space="preserve">4. Discussion</w:t>
      </w:r>
    </w:p>
    <w:p w:rsidR="00000000" w:rsidDel="00000000" w:rsidP="00000000" w:rsidRDefault="00000000" w:rsidRPr="00000000" w14:paraId="00000047">
      <w:pPr>
        <w:spacing w:after="200" w:lineRule="auto"/>
        <w:rPr/>
      </w:pPr>
      <w:r w:rsidDel="00000000" w:rsidR="00000000" w:rsidRPr="00000000">
        <w:rPr>
          <w:rtl w:val="0"/>
        </w:rPr>
        <w:t xml:space="preserve">Our results reveal three distinct performance profiles suited to different operational requirements. Classical models with aggressive oversampling excel at recall, making them suitable for initial screening where missing attacks is costlier than false alarms. BERT provides the best precision-recall balance, with 79.1% precision supporting operational deployment where false positives carry significant costs. The feature fusion architecture offers a practical middle ground, with domain features helping identify ISIS-K patterns missed by text alone—improving recall by 19% over BERT.</w:t>
      </w:r>
    </w:p>
    <w:p w:rsidR="00000000" w:rsidDel="00000000" w:rsidP="00000000" w:rsidRDefault="00000000" w:rsidRPr="00000000" w14:paraId="00000048">
      <w:pPr>
        <w:spacing w:after="200" w:lineRule="auto"/>
        <w:rPr/>
      </w:pPr>
      <w:r w:rsidDel="00000000" w:rsidR="00000000" w:rsidRPr="00000000">
        <w:rPr>
          <w:rtl w:val="0"/>
        </w:rPr>
        <w:t xml:space="preserve">For practical deployment, we recommend a tiered classification system: classical models for initial screening (Level 1), BERT for high-confidence verification (Level 2), and human expert review for uncertain cases (Level 3). With 79.1% precision, BERT classifications can directly inform resource allocation, potentially reducing analyst workload by approximately 60%.</w:t>
      </w:r>
    </w:p>
    <w:p w:rsidR="00000000" w:rsidDel="00000000" w:rsidP="00000000" w:rsidRDefault="00000000" w:rsidRPr="00000000" w14:paraId="00000049">
      <w:pPr>
        <w:spacing w:after="200" w:lineRule="auto"/>
        <w:rPr/>
      </w:pPr>
      <w:r w:rsidDel="00000000" w:rsidR="00000000" w:rsidRPr="00000000">
        <w:rPr>
          <w:rtl w:val="0"/>
        </w:rPr>
        <w:t xml:space="preserve">Several limitations warrant consideration. Models trained on 2017-2021 data may not generalize to post-Taliban takeover dynamics, Afghanistan-specific features limit transferability to other conflict zones, and performance degrades for events with minimal text descriptions. Future work should explore temporal transfer learning, multi-label classification for complex incidents, and cross-regional model adaptation.</w:t>
      </w:r>
    </w:p>
    <w:p w:rsidR="00000000" w:rsidDel="00000000" w:rsidP="00000000" w:rsidRDefault="00000000" w:rsidRPr="00000000" w14:paraId="0000004A">
      <w:pPr>
        <w:pStyle w:val="Heading1"/>
        <w:rPr/>
      </w:pPr>
      <w:r w:rsidDel="00000000" w:rsidR="00000000" w:rsidRPr="00000000">
        <w:rPr>
          <w:rtl w:val="0"/>
        </w:rPr>
        <w:t xml:space="preserve">5. Conclusion</w:t>
      </w:r>
    </w:p>
    <w:p w:rsidR="00000000" w:rsidDel="00000000" w:rsidP="00000000" w:rsidRDefault="00000000" w:rsidRPr="00000000" w14:paraId="0000004B">
      <w:pPr>
        <w:spacing w:after="200" w:lineRule="auto"/>
        <w:rPr/>
      </w:pPr>
      <w:r w:rsidDel="00000000" w:rsidR="00000000" w:rsidRPr="00000000">
        <w:rPr>
          <w:rtl w:val="0"/>
        </w:rPr>
        <w:t xml:space="preserve">This study presents the first comprehensive benchmark of machine learning approaches for VEO classification using ACLED conflict data. Through systematic evaluation of 22 model configurations, we demonstrate that transformer-based approaches substantially outperform classical methods on severely imbalanced conflict data (49:1 ratio). Our feature fusion architecture, combining BERT embeddings with 23 domain-specific features, achieves the highest minority class recall (70.6%) while maintaining practical precision levels. Explainable AI analysis confirms that models learn substantive operational and tactical differences between armed groups rather than spurious correlations. These findings establish performance benchmarks for automated conflict attribution and provide actionable guidance for deploying machine learning in security and policy analysis contexts.</w:t>
      </w:r>
    </w:p>
    <w:p w:rsidR="00000000" w:rsidDel="00000000" w:rsidP="00000000" w:rsidRDefault="00000000" w:rsidRPr="00000000" w14:paraId="0000004C">
      <w:pPr>
        <w:pStyle w:val="Heading1"/>
        <w:rPr/>
      </w:pPr>
      <w:r w:rsidDel="00000000" w:rsidR="00000000" w:rsidRPr="00000000">
        <w:rPr>
          <w:rtl w:val="0"/>
        </w:rPr>
        <w:t xml:space="preserve">References</w:t>
      </w:r>
    </w:p>
    <w:p w:rsidR="00000000" w:rsidDel="00000000" w:rsidP="00000000" w:rsidRDefault="00000000" w:rsidRPr="00000000" w14:paraId="0000004D">
      <w:pPr>
        <w:spacing w:after="120" w:lineRule="auto"/>
        <w:ind w:left="720" w:hanging="720"/>
        <w:rPr/>
      </w:pPr>
      <w:r w:rsidDel="00000000" w:rsidR="00000000" w:rsidRPr="00000000">
        <w:rPr>
          <w:sz w:val="22"/>
          <w:szCs w:val="22"/>
          <w:rtl w:val="0"/>
        </w:rPr>
        <w:t xml:space="preserve">Bauer, K., Ruby, K., &amp; Pape, R. (2017). Solving the problem of unattributed political violence. </w:t>
      </w:r>
      <w:r w:rsidDel="00000000" w:rsidR="00000000" w:rsidRPr="00000000">
        <w:rPr>
          <w:i w:val="1"/>
          <w:iCs w:val="1"/>
          <w:sz w:val="22"/>
          <w:szCs w:val="22"/>
          <w:rtl w:val="0"/>
        </w:rPr>
        <w:t xml:space="preserve">Journal of Conflict Resolution, 61</w:t>
      </w:r>
      <w:r w:rsidDel="00000000" w:rsidR="00000000" w:rsidRPr="00000000">
        <w:rPr>
          <w:sz w:val="22"/>
          <w:szCs w:val="22"/>
          <w:rtl w:val="0"/>
        </w:rPr>
        <w:t xml:space="preserve">(7), 1537-1564.</w:t>
      </w:r>
      <w:r w:rsidDel="00000000" w:rsidR="00000000" w:rsidRPr="00000000">
        <w:rPr>
          <w:rtl w:val="0"/>
        </w:rPr>
      </w:r>
    </w:p>
    <w:p w:rsidR="00000000" w:rsidDel="00000000" w:rsidP="00000000" w:rsidRDefault="00000000" w:rsidRPr="00000000" w14:paraId="0000004E">
      <w:pPr>
        <w:spacing w:after="120" w:lineRule="auto"/>
        <w:ind w:left="720" w:hanging="720"/>
        <w:rPr/>
      </w:pPr>
      <w:r w:rsidDel="00000000" w:rsidR="00000000" w:rsidRPr="00000000">
        <w:rPr>
          <w:sz w:val="22"/>
          <w:szCs w:val="22"/>
          <w:rtl w:val="0"/>
        </w:rPr>
        <w:t xml:space="preserve">Christie, E. (2019). Understanding the dynamics of unclaimed terrorism events in Pakistan: A machine learning approach. </w:t>
      </w:r>
      <w:r w:rsidDel="00000000" w:rsidR="00000000" w:rsidRPr="00000000">
        <w:rPr>
          <w:i w:val="1"/>
          <w:iCs w:val="1"/>
          <w:sz w:val="22"/>
          <w:szCs w:val="22"/>
          <w:rtl w:val="0"/>
        </w:rPr>
        <w:t xml:space="preserve">Electronic Theses and Dissertations</w:t>
      </w:r>
      <w:r w:rsidDel="00000000" w:rsidR="00000000" w:rsidRPr="00000000">
        <w:rPr>
          <w:sz w:val="22"/>
          <w:szCs w:val="22"/>
          <w:rtl w:val="0"/>
        </w:rPr>
        <w:t xml:space="preserve">, 3093.</w:t>
      </w:r>
      <w:r w:rsidDel="00000000" w:rsidR="00000000" w:rsidRPr="00000000">
        <w:rPr>
          <w:rtl w:val="0"/>
        </w:rPr>
      </w:r>
    </w:p>
    <w:p w:rsidR="00000000" w:rsidDel="00000000" w:rsidP="00000000" w:rsidRDefault="00000000" w:rsidRPr="00000000" w14:paraId="0000004F">
      <w:pPr>
        <w:spacing w:after="120" w:lineRule="auto"/>
        <w:ind w:left="720" w:hanging="720"/>
        <w:rPr/>
      </w:pPr>
      <w:r w:rsidDel="00000000" w:rsidR="00000000" w:rsidRPr="00000000">
        <w:rPr>
          <w:sz w:val="22"/>
          <w:szCs w:val="22"/>
          <w:rtl w:val="0"/>
        </w:rPr>
        <w:t xml:space="preserve">Devlin, J., Chang, M. W., Lee, K., &amp; Toutanova, K. (2018). BERT: Pre-training of deep bidirectional transformers for language understanding. </w:t>
      </w:r>
      <w:r w:rsidDel="00000000" w:rsidR="00000000" w:rsidRPr="00000000">
        <w:rPr>
          <w:i w:val="1"/>
          <w:iCs w:val="1"/>
          <w:sz w:val="22"/>
          <w:szCs w:val="22"/>
          <w:rtl w:val="0"/>
        </w:rPr>
        <w:t xml:space="preserve">arXiv preprint arXiv:1810.04805</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0">
      <w:pPr>
        <w:spacing w:after="120" w:lineRule="auto"/>
        <w:ind w:left="720" w:hanging="720"/>
        <w:rPr/>
      </w:pPr>
      <w:r w:rsidDel="00000000" w:rsidR="00000000" w:rsidRPr="00000000">
        <w:rPr>
          <w:sz w:val="22"/>
          <w:szCs w:val="22"/>
          <w:rtl w:val="0"/>
        </w:rPr>
        <w:t xml:space="preserve">Lin, T. Y., Goyal, P., Girshick, R., He, K., &amp; Dollár, P. (2017). Focal loss for dense object detection. In </w:t>
      </w:r>
      <w:r w:rsidDel="00000000" w:rsidR="00000000" w:rsidRPr="00000000">
        <w:rPr>
          <w:i w:val="1"/>
          <w:iCs w:val="1"/>
          <w:sz w:val="22"/>
          <w:szCs w:val="22"/>
          <w:rtl w:val="0"/>
        </w:rPr>
        <w:t xml:space="preserve">Proceedings of the IEEE International Conference on Computer Vision</w:t>
      </w:r>
      <w:r w:rsidDel="00000000" w:rsidR="00000000" w:rsidRPr="00000000">
        <w:rPr>
          <w:sz w:val="22"/>
          <w:szCs w:val="22"/>
          <w:rtl w:val="0"/>
        </w:rPr>
        <w:t xml:space="preserve"> (pp. 2980-2988).</w:t>
      </w:r>
      <w:r w:rsidDel="00000000" w:rsidR="00000000" w:rsidRPr="00000000">
        <w:rPr>
          <w:rtl w:val="0"/>
        </w:rPr>
      </w:r>
    </w:p>
    <w:p w:rsidR="00000000" w:rsidDel="00000000" w:rsidP="00000000" w:rsidRDefault="00000000" w:rsidRPr="00000000" w14:paraId="00000051">
      <w:pPr>
        <w:spacing w:after="120" w:lineRule="auto"/>
        <w:ind w:left="720" w:hanging="720"/>
        <w:rPr/>
      </w:pPr>
      <w:r w:rsidDel="00000000" w:rsidR="00000000" w:rsidRPr="00000000">
        <w:rPr>
          <w:sz w:val="22"/>
          <w:szCs w:val="22"/>
          <w:rtl w:val="0"/>
        </w:rPr>
        <w:t xml:space="preserve">Raleigh, C., Linke, A., Hegre, H., &amp; Karlsen, J. (2010). Introducing ACLED: An armed conflict location and event dataset. </w:t>
      </w:r>
      <w:r w:rsidDel="00000000" w:rsidR="00000000" w:rsidRPr="00000000">
        <w:rPr>
          <w:i w:val="1"/>
          <w:iCs w:val="1"/>
          <w:sz w:val="22"/>
          <w:szCs w:val="22"/>
          <w:rtl w:val="0"/>
        </w:rPr>
        <w:t xml:space="preserve">Journal of Peace Research, 47</w:t>
      </w:r>
      <w:r w:rsidDel="00000000" w:rsidR="00000000" w:rsidRPr="00000000">
        <w:rPr>
          <w:sz w:val="22"/>
          <w:szCs w:val="22"/>
          <w:rtl w:val="0"/>
        </w:rPr>
        <w:t xml:space="preserve">(5), 651-660.</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i w:val="1"/>
        <w:iCs w:val="1"/>
        <w:sz w:val="20"/>
        <w:szCs w:val="20"/>
        <w:rtl w:val="0"/>
      </w:rPr>
      <w:t xml:space="preserve">VEO Classification Using Machine Learning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Abstract">
    <w:name w:val="Abstract"/>
    <w:basedOn w:val="Normal"/>
    <w:pPr>
      <w:spacing w:after="240"/>
      <w:ind w:left="720" w:right="720"/>
    </w:pPr>
    <w:rPr>
      <w:rFonts w:ascii="Times New Roman" w:cs="Times New Roman" w:eastAsia="Times New Roman" w:hAnsi="Times New Roman"/>
      <w:i w:val="1"/>
      <w:iCs w:val="1"/>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hKz2A4SeiZTAdpRucNfsXkx/HQ==">CgMxLjAaEgoBMBINCgsIB0IHEgVDYXJkbzgAciExMWJsdzNTV1ZaZ2xLVlcyNGtBa2xVZ0VrX1M0dVU2cXg=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2025-12-02T23:48:41.772Z</dcterms:created>
  <dc:creator>Un-named</dc:creator>
</cp:coreProperties>
</file>

<file path=docProps/custom.xml><?xml version="1.0" encoding="utf-8"?>
<Properties xmlns="http://schemas.openxmlformats.org/officeDocument/2006/custom-properties" xmlns:vt="http://schemas.openxmlformats.org/officeDocument/2006/docPropsVTypes"/>
</file>