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B4F72"/>
          <w:sz w:val="22"/>
          <w:szCs w:val="22"/>
        </w:rPr>
        <w:t xml:space="preserve">ConsentShield — Master Design Document</w:t>
      </w:r>
      <w:r>
        <w:rPr>
          <w:color w:val="5D6D7E"/>
          <w:sz w:val="22"/>
          <w:szCs w:val="22"/>
        </w:rPr>
        <w:t xml:space="preserve">   |   </w:t>
      </w:r>
      <w:r>
        <w:rPr>
          <w:i/>
          <w:iCs/>
          <w:color w:val="5D6D7E"/>
          <w:sz w:val="22"/>
          <w:szCs w:val="22"/>
        </w:rPr>
        <w:t xml:space="preserve">Confidential — April 2026</w:t>
      </w:r>
    </w:p>
    <w:p>
      <w:pPr>
        <w:spacing w:after="60" w:before="60"/>
      </w:pPr>
      <w:r>
        <w:rPr>
          <w:b/>
          <w:bCs/>
          <w:color w:val="1C1C1C"/>
          <w:sz w:val="20"/>
          <w:szCs w:val="20"/>
        </w:rPr>
        <w:t xml:space="preserve">CONFIDENTIAL — INTERNAL MASTER DOCUMENT</w:t>
      </w:r>
    </w:p>
    <w:p>
      <w:pPr>
        <w:spacing w:after="60" w:before="60"/>
      </w:pPr>
      <w:r>
        <w:rPr>
          <w:b/>
          <w:bCs/>
          <w:color w:val="1C1C1C"/>
          <w:sz w:val="20"/>
          <w:szCs w:val="20"/>
        </w:rPr>
        <w:t xml:space="preserve">ConsentShield</w:t>
      </w:r>
    </w:p>
    <w:p>
      <w:pPr>
        <w:spacing w:after="60" w:before="60"/>
      </w:pPr>
      <w:r>
        <w:rPr>
          <w:i/>
          <w:iCs/>
          <w:color w:val="1C1C1C"/>
          <w:sz w:val="20"/>
          <w:szCs w:val="20"/>
        </w:rPr>
        <w:t xml:space="preserve">India</w:t>
      </w:r>
      <w:r>
        <w:rPr>
          <w:i/>
          <w:iCs/>
          <w:color w:val="1C1C1C"/>
          <w:sz w:val="20"/>
          <w:szCs w:val="20"/>
        </w:rPr>
        <w:t xml:space="preserve">'</w:t>
      </w:r>
      <w:r>
        <w:rPr>
          <w:i/>
          <w:iCs/>
          <w:color w:val="1C1C1C"/>
          <w:sz w:val="20"/>
          <w:szCs w:val="20"/>
        </w:rPr>
        <w:t xml:space="preserve">s DPDP Compliance Operating System for Digital-First Businesses</w:t>
      </w:r>
    </w:p>
    <w:p>
      <w:pPr>
        <w:spacing w:after="60" w:before="60"/>
      </w:pPr>
      <w:r>
        <w:rPr>
          <w:b/>
          <w:bCs/>
          <w:color w:val="1C1C1C"/>
          <w:sz w:val="20"/>
          <w:szCs w:val="20"/>
        </w:rPr>
        <w:t xml:space="preserve">MASTER DESIGN DOCUMENT</w:t>
      </w:r>
    </w:p>
    <w:p>
      <w:pPr>
        <w:spacing w:after="60" w:before="60"/>
      </w:pPr>
      <w:r>
        <w:rPr>
          <w:color w:val="1C1C1C"/>
          <w:sz w:val="20"/>
          <w:szCs w:val="20"/>
        </w:rPr>
        <w:t xml:space="preserve">Marketing · Product Positioning · App Design Blueprint</w:t>
      </w:r>
    </w:p>
    <w:p>
      <w:pPr>
        <w:spacing w:after="60" w:before="60"/>
      </w:pPr>
      <w:r>
        <w:rPr>
          <w:color w:val="1C1C1C"/>
          <w:sz w:val="20"/>
          <w:szCs w:val="20"/>
        </w:rPr>
        <w:t xml:space="preserve">Version 1.0  ·  April 2026</w:t>
      </w:r>
    </w:p>
    <w:p>
      <w:pPr>
        <w:spacing w:after="60" w:before="60"/>
      </w:pPr>
      <w:r>
        <w:rPr>
          <w:color w:val="1C1C1C"/>
          <w:sz w:val="20"/>
          <w:szCs w:val="20"/>
        </w:rPr>
        <w:t xml:space="preserve">Hyderabad, India</w:t>
      </w:r>
    </w:p>
    <w:p>
      <w:pPr>
        <w:spacing w:after="0" w:before="200"/>
      </w:pPr>
    </w:p>
    <w:p>
      <w:pPr>
        <w:pStyle w:val="Heading1"/>
        <w:spacing w:after="60" w:before="0"/>
      </w:pPr>
      <w:r>
        <w:rPr>
          <w:rFonts w:ascii="Arial" w:cs="Arial" w:eastAsia="Arial" w:hAnsi="Arial"/>
          <w:b/>
          <w:bCs/>
          <w:color w:val="1B4F72"/>
          <w:sz w:val="40"/>
          <w:szCs w:val="40"/>
        </w:rPr>
        <w:t xml:space="preserve">1. Executive Summary</w:t>
      </w:r>
    </w:p>
    <w:p>
      <w:pPr>
        <w:pBdr>
          <w:bottom w:val="single" w:color="AED6F1"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thick" w:color="2E86AB" w:sz="12"/>
              <w:bottom w:val="single" w:color="AED6F1" w:sz="1"/>
              <w:right w:val="single" w:color="AED6F1" w:sz="1"/>
            </w:tcBorders>
            <w:shd w:fill="EAF4FB" w:val="clear"/>
            <w:tcMar>
              <w:top w:type="dxa" w:w="100"/>
              <w:left w:type="dxa" w:w="180"/>
              <w:bottom w:type="dxa" w:w="100"/>
              <w:right w:type="dxa" w:w="140"/>
            </w:tcMar>
          </w:tcPr>
          <w:p>
            <w:pPr>
              <w:spacing w:after="0" w:before="0"/>
            </w:pPr>
            <w:r>
              <w:rPr>
                <w:b w:val="false"/>
                <w:bCs w:val="false"/>
                <w:i/>
                <w:iCs/>
                <w:color w:val="1B4F72"/>
                <w:sz w:val="20"/>
                <w:szCs w:val="20"/>
              </w:rPr>
              <w:t xml:space="preserve">ConsentShield is a B2B SaaS product that transforms DPDP Act compliance from a legal burden into an operational system — giving Indian startups, SaaS companies, and healthcare businesses the tools to achieve, demonstrate, and maintain compliance automatically.</w:t>
            </w:r>
          </w:p>
        </w:tc>
      </w:tr>
    </w:tbl>
    <w:p>
      <w:pPr>
        <w:spacing w:after="0" w:before="80"/>
      </w:pPr>
    </w:p>
    <w:p>
      <w:pPr>
        <w:spacing w:after="0" w:before="140"/>
      </w:pPr>
    </w:p>
    <w:p>
      <w:pPr>
        <w:pStyle w:val="Heading2"/>
        <w:spacing w:after="80" w:before="0"/>
      </w:pPr>
      <w:r>
        <w:rPr>
          <w:rFonts w:ascii="Arial" w:cs="Arial" w:eastAsia="Arial" w:hAnsi="Arial"/>
          <w:b/>
          <w:bCs/>
          <w:color w:val="2E86AB"/>
          <w:sz w:val="28"/>
          <w:szCs w:val="28"/>
        </w:rPr>
        <w:t xml:space="preserve">The Opportunity in One Paragraph</w:t>
      </w:r>
    </w:p>
    <w:p>
      <w:pPr>
        <w:spacing w:after="60" w:before="60"/>
      </w:pPr>
      <w:r>
        <w:rPr>
          <w:color w:val="1C1C1C"/>
          <w:sz w:val="20"/>
          <w:szCs w:val="20"/>
        </w:rPr>
        <w:t xml:space="preserve">India's Digital Personal Data Protection (DPDP) Rules were notified on 13 November 2025. The full penalty and rights architecture becomes enforceable on 13 May 2027. A single breach can expose a company to cumulative penalties of ₹650 crore across multiple violation categories. Every company processing Indian user data — from a 5-person SaaS startup to a 500-bed hospital — now needs a compliant consent system, a data inventory, a rights-management workflow, and an audit trail. No India-native SaaS product owns this space. The window to capture it is approximately 12 months before large GRC incumbents enter.</w:t>
      </w:r>
    </w:p>
    <w:p>
      <w:pPr>
        <w:spacing w:after="0" w:before="140"/>
      </w:pPr>
    </w:p>
    <w:p>
      <w:pPr>
        <w:pStyle w:val="Heading2"/>
        <w:spacing w:after="80" w:before="0"/>
      </w:pPr>
      <w:r>
        <w:rPr>
          <w:rFonts w:ascii="Arial" w:cs="Arial" w:eastAsia="Arial" w:hAnsi="Arial"/>
          <w:b/>
          <w:bCs/>
          <w:color w:val="2E86AB"/>
          <w:sz w:val="28"/>
          <w:szCs w:val="28"/>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thick" w:color="2E86AB" w:sz="12"/>
              <w:bottom w:val="single" w:color="AED6F1" w:sz="1"/>
              <w:right w:val="single" w:color="AED6F1" w:sz="1"/>
            </w:tcBorders>
            <w:shd w:fill="EAF4FB" w:val="clear"/>
            <w:tcMar>
              <w:top w:type="dxa" w:w="100"/>
              <w:left w:type="dxa" w:w="180"/>
              <w:bottom w:type="dxa" w:w="100"/>
              <w:right w:type="dxa" w:w="140"/>
            </w:tcMar>
          </w:tcPr>
          <w:p>
            <w:pPr>
              <w:spacing w:after="0" w:before="0"/>
            </w:pPr>
            <w:r>
              <w:rPr>
                <w:b/>
                <w:bCs/>
                <w:color w:val="1B4F72"/>
                <w:sz w:val="20"/>
                <w:szCs w:val="20"/>
              </w:rPr>
              <w:t xml:space="preserve">Core Promise: </w:t>
            </w:r>
            <w:r>
              <w:rPr>
                <w:b/>
                <w:bCs/>
                <w:color w:val="1B4F72"/>
                <w:sz w:val="20"/>
                <w:szCs w:val="20"/>
              </w:rPr>
              <w:t xml:space="preserve">Compliance in a day, not a quarter. ConsentShield replaces a 3-month legal engagement with a self-serve SaaS product any technical founder can deploy in under 48 hours.</w:t>
            </w:r>
          </w:p>
        </w:tc>
      </w:tr>
    </w:tbl>
    <w:p>
      <w:pPr>
        <w:spacing w:after="0" w:before="80"/>
      </w:pPr>
    </w:p>
    <w:p>
      <w:pPr>
        <w:spacing w:after="0" w:before="140"/>
      </w:pPr>
    </w:p>
    <w:p>
      <w:pPr>
        <w:pStyle w:val="Heading2"/>
        <w:spacing w:after="80" w:before="0"/>
      </w:pPr>
      <w:r>
        <w:rPr>
          <w:rFonts w:ascii="Arial" w:cs="Arial" w:eastAsia="Arial" w:hAnsi="Arial"/>
          <w:b/>
          <w:bCs/>
          <w:color w:val="2E86AB"/>
          <w:sz w:val="28"/>
          <w:szCs w:val="28"/>
        </w:rPr>
        <w:t xml:space="preserve">Key Financial Targets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Milestone</w:t>
            </w:r>
          </w:p>
        </w:tc>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Target MRR</w:t>
            </w:r>
          </w:p>
        </w:tc>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Customer Count</w:t>
            </w:r>
          </w:p>
        </w:tc>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Key Driver</w:t>
            </w:r>
          </w:p>
        </w:tc>
      </w:tr>
      <w:tr>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Month 3</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₹15,000</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 customers</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Direct outreach, SaaSBoomi network</w:t>
            </w:r>
          </w:p>
        </w:tc>
      </w:tr>
      <w:tr>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Month 6</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₹1,00,000</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25 customers</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Content + community inbound</w:t>
            </w:r>
          </w:p>
        </w:tc>
      </w:tr>
      <w:tr>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Month 12</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₹4,00,000</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80 customers</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CA partner channel + healthcare bundle</w:t>
            </w:r>
          </w:p>
        </w:tc>
      </w:tr>
      <w:tr>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Month 24</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₹12,00,000</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200+ customers</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Multi-vertical + ABDM bundle</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2. Market Opportunity</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The DPDP Enforcement Timeline</w:t>
      </w:r>
    </w:p>
    <w:p>
      <w:pPr>
        <w:spacing w:after="60" w:before="60"/>
      </w:pPr>
      <w:r>
        <w:rPr>
          <w:color w:val="1C1C1C"/>
          <w:sz w:val="20"/>
          <w:szCs w:val="20"/>
        </w:rPr>
        <w:t xml:space="preserve">Three dates define the compliance urgency curve. All sales conversations in 2026 should be anchored to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Date</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Event</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Impact on Buyers</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13 Nov 2025</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DPDP Rules notified. Data Protection Board established.</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Legal obligation confirmed. Planning mode begins.</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13 Nov 2026</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Consent Manager framework becomes operational. Registration opens.</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Companies must have a registered Consent Manager or use one.</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13 May 2027</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Full enforcement: processing obligations, rights architecture, and penalties.</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₹250 crore per violation. Cumulative exposure up to ₹650 crore.</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Total Addressable Market</w:t>
      </w:r>
    </w:p>
    <w:p>
      <w:pPr>
        <w:spacing w:after="60" w:before="60"/>
      </w:pPr>
      <w:r>
        <w:rPr>
          <w:color w:val="1C1C1C"/>
          <w:sz w:val="20"/>
          <w:szCs w:val="20"/>
        </w:rPr>
        <w:t xml:space="preserve">The immediate TAM is every company in India that processes personal data of Indian users — estimated at 400,000+ businesses. The serviceable addressable market for a solo-dev SaaS in 2026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Indian SaaS Startups</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~15,000 active startups. Technically sophisticated, self-serve buyers. Highest urgency because their product IS the data-processing mechanism.</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Edtech Platforms</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~3,000 platforms. Children's data provisions under DPDP are the strictest — separate consent, no behavioural advertising, highest penalty multiplier.</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D2C E-commerce</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~25,000 brands. Large user databases, cookie-based marketing, email lists — all immediately regulated. Penalty risk is proportional to user base.</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HR Tech Platforms</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~2,000 platforms. Employee data has explicit obligations around purpose limitation and retention.</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Independent Clinics</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438,000 ABDM-registered facilities. Health data attracts the highest penalty tier. The DPDP + ABDM bundle is the premium play.</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Competitor</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Type</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Gap / Why ConsentShield Wins</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OneTrust</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US GRC Platform</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Costs $50,000+/year. Built for GDPR. No India-specific templates, no DPDP-specific consent artefacts.</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Scrut.io</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Indian GRC (SOC 2)</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Focused on SOC 2 / ISO 27001 audit prep. No DPDP module as of April 2026.</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Zoho Compliance</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Suite add-on (rumoured)</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Not shipped. Even if shipped, a generic add-on in a 50-product suite is hard to position as a DPDP specialist.</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ClearTax</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Tax &amp; compliance SaaS</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Strong in GST. No personal data compliance product. Different buyer (CFO vs CTO).</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Law Firms</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Manual legal advisory</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₹5–25 lakh per engagement. One-time document, not a living system. No operational tooling.</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12-Month Window: </w:t>
            </w:r>
            <w:r>
              <w:rPr>
                <w:b w:val="false"/>
                <w:bCs w:val="false"/>
                <w:color w:val="1C1C1C"/>
                <w:sz w:val="19"/>
                <w:szCs w:val="19"/>
              </w:rPr>
              <w:t xml:space="preserve">Every conversation with a buyer who says 'we're evaluating options' is a conversation you need to win before Zoho, Tata Consultancy, or a well-funded GDPR tool clones this for India. The window is real and finite.</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3. Product Positioning</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thick" w:color="2E86AB" w:sz="12"/>
              <w:bottom w:val="single" w:color="AED6F1" w:sz="1"/>
              <w:right w:val="single" w:color="AED6F1" w:sz="1"/>
            </w:tcBorders>
            <w:shd w:fill="EAF4FB" w:val="clear"/>
            <w:tcMar>
              <w:top w:type="dxa" w:w="100"/>
              <w:left w:type="dxa" w:w="180"/>
              <w:bottom w:type="dxa" w:w="100"/>
              <w:right w:type="dxa" w:w="140"/>
            </w:tcMar>
          </w:tcPr>
          <w:p>
            <w:pPr>
              <w:spacing w:after="0" w:before="0"/>
            </w:pPr>
            <w:r>
              <w:rPr>
                <w:b w:val="false"/>
                <w:bCs w:val="false"/>
                <w:color w:val="1B4F72"/>
                <w:sz w:val="20"/>
                <w:szCs w:val="20"/>
              </w:rPr>
              <w:t xml:space="preserve">For</w:t>
            </w:r>
            <w:r>
              <w:rPr>
                <w:b w:val="false"/>
                <w:bCs w:val="false"/>
                <w:color w:val="1B4F72"/>
                <w:sz w:val="20"/>
                <w:szCs w:val="20"/>
              </w:rPr>
              <w:t xml:space="preserve"> Indian SaaS founders and healthcare operators</w:t>
            </w:r>
            <w:r>
              <w:rPr>
                <w:b w:val="false"/>
                <w:bCs w:val="false"/>
                <w:color w:val="1B4F72"/>
                <w:sz w:val="20"/>
                <w:szCs w:val="20"/>
              </w:rPr>
              <w:t xml:space="preserve"> who are</w:t>
            </w:r>
            <w:r>
              <w:rPr>
                <w:b w:val="false"/>
                <w:bCs w:val="false"/>
                <w:color w:val="1B4F72"/>
                <w:sz w:val="20"/>
                <w:szCs w:val="20"/>
              </w:rPr>
              <w:t xml:space="preserve"> overwhelmed by DPDP legal complexity and exposed to enforcement risk,</w:t>
            </w:r>
            <w:r>
              <w:rPr>
                <w:b w:val="false"/>
                <w:bCs w:val="false"/>
                <w:color w:val="1B4F72"/>
                <w:sz w:val="20"/>
                <w:szCs w:val="20"/>
              </w:rPr>
              <w:t xml:space="preserve"> ConsentShield is</w:t>
            </w:r>
            <w:r>
              <w:rPr>
                <w:b w:val="false"/>
                <w:bCs w:val="false"/>
                <w:color w:val="1B4F72"/>
                <w:sz w:val="20"/>
                <w:szCs w:val="20"/>
              </w:rPr>
              <w:t xml:space="preserve"> a compliance operating system</w:t>
            </w:r>
            <w:r>
              <w:rPr>
                <w:b w:val="false"/>
                <w:bCs w:val="false"/>
                <w:color w:val="1B4F72"/>
                <w:sz w:val="20"/>
                <w:szCs w:val="20"/>
              </w:rPr>
              <w:t xml:space="preserve"> that</w:t>
            </w:r>
            <w:r>
              <w:rPr>
                <w:b w:val="false"/>
                <w:bCs w:val="false"/>
                <w:color w:val="1B4F72"/>
                <w:sz w:val="20"/>
                <w:szCs w:val="20"/>
              </w:rPr>
              <w:t xml:space="preserve"> automates consent collection, data inventory, rights management, and audit trails under the DPDP Act 2023.</w:t>
            </w:r>
            <w:r>
              <w:rPr>
                <w:b w:val="false"/>
                <w:bCs w:val="false"/>
                <w:color w:val="1B4F72"/>
                <w:sz w:val="20"/>
                <w:szCs w:val="20"/>
              </w:rPr>
              <w:t xml:space="preserve"> Unlike</w:t>
            </w:r>
            <w:r>
              <w:rPr>
                <w:b w:val="false"/>
                <w:bCs w:val="false"/>
                <w:color w:val="1B4F72"/>
                <w:sz w:val="20"/>
                <w:szCs w:val="20"/>
              </w:rPr>
              <w:t xml:space="preserve"> OneTrust (too expensive, built for GDPR) or law firms (one-time documents, no operational tooling),</w:t>
            </w:r>
            <w:r>
              <w:rPr>
                <w:b w:val="false"/>
                <w:bCs w:val="false"/>
                <w:color w:val="1B4F72"/>
                <w:sz w:val="20"/>
                <w:szCs w:val="20"/>
              </w:rPr>
              <w:t xml:space="preserve"> </w:t>
            </w:r>
            <w:r>
              <w:rPr>
                <w:b w:val="false"/>
                <w:bCs w:val="false"/>
                <w:color w:val="1B4F72"/>
                <w:sz w:val="20"/>
                <w:szCs w:val="20"/>
              </w:rPr>
              <w:t xml:space="preserve">*ConsentShield is built specifically for India, deployable in 48 hours, and priced for growth-stage companies.</w:t>
            </w:r>
          </w:p>
        </w:tc>
      </w:tr>
    </w:tbl>
    <w:p>
      <w:pPr>
        <w:spacing w:after="0" w:before="80"/>
      </w:pPr>
    </w:p>
    <w:p>
      <w:pPr>
        <w:spacing w:after="0" w:before="140"/>
      </w:pPr>
    </w:p>
    <w:p>
      <w:pPr>
        <w:pStyle w:val="Heading2"/>
        <w:spacing w:after="80" w:before="0"/>
      </w:pPr>
      <w:r>
        <w:rPr>
          <w:rFonts w:ascii="Arial" w:cs="Arial" w:eastAsia="Arial" w:hAnsi="Arial"/>
          <w:b/>
          <w:bCs/>
          <w:color w:val="2E86AB"/>
          <w:sz w:val="28"/>
          <w:szCs w:val="28"/>
        </w:rPr>
        <w:t xml:space="preserve">Brand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India-First</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Every template, every consent artefact, every workflow is written for the DPDP Act — not adapted from GDPR. Indian legal language, Indian enforcement timelines, Indian penalty structure.</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Operational</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Not a document generator. A living compliance system that runs alongside your product — generating audit logs, tracking consent changes, and alerting you to data subject rights requests.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Developer-Friendly</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JS snippet, REST API, webhook events. A CTO can integrate the consent banner in 20 minutes. No vendor lock-in on the core infrastructure.</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Affordable</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Priced for Indian growth-stage companies. Starting at ₹2,999/month — less than a single hour of a senior law firm partner's time.</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Expanding Moat</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Every month of data stored — consent logs, audit trails, DPDP records — raises the switching cost. After 12 months on ConsentShield, leaving means losing legally-required retention records.</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Key Messages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Audience</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Their Fear</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Your Message</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SaaS Founder / CTO</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 complaint triggers a ₹250 crore notice from the Data Protection Board.</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Deploy in 48 hours. First consent collected. First audit log written. You're covered.</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Legal / Compliance Head</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Manual tracking in spreadsheets won't survive a DPB audit.</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ConsentShield is your audit-ready, exportable evidence trail — always current, never a spreadsheet.</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Edtech Founder</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Children's data provisions are the harshest — one violation and the brand is destroyed.</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ConsentShield's Edtech tier has age-gating, separate parental consent flows, and no ad-tracking by design.</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Clinic Owner / Doctor</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Patient health records under ABDM are also covered by DPDP — two compliance obligations, one product.</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ConsentShield for Clinics handles ABDM consent and DPDP compliance from a single dashboard.</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CA / Legal Partner</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My clients ask me about DPDP and I don't have a tool to give them.</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White-label ConsentShield under your firm's brand. Your clients get tooling. You get a referral stream.</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4. Product Features &amp; Roadmap</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Phase 1 — MVP (Months 1–2): The Compliance Starter Kit</w:t>
      </w:r>
    </w:p>
    <w:p>
      <w:pPr>
        <w:spacing w:after="60" w:before="60"/>
      </w:pPr>
      <w:r>
        <w:rPr>
          <w:color w:val="1C1C1C"/>
          <w:sz w:val="20"/>
          <w:szCs w:val="20"/>
        </w:rPr>
        <w:t xml:space="preserve">Goal: Get first 5 paying customers. The product must be fully usable without a sales call. Everything deployable from a self-serve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Consent Banner Builder</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Drag-and-drop no-code builder for DPDP-compliant consent banners. Generates a CDN-hosted JS snippet. Supports granular purpose consent (marketing, analytics, personalisation). Stores consent timestamps server-side.</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Privacy Notice Generator</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Guided wizard produces a plain-language, legally-structured privacy notice. Outputs a hosted page (yourdomain.consentshield.in) and downloadable PDF. Includes all DPDP-required disclosures: identity, purpose, categories, retention, rights.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Data Inventory Worksheet</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Guided form maps data flows: what data, collected where, processed for what purpose, retained for how long, third parties involved. Generates a shareable, exportable inventory PDF — the first document a DPB auditor will request.</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72-Hour Breach Notification</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Pre-built notification workflow with DPB-required fields. Generates a timestamped incident log. Emails stakeholder list on trigger. Produces a downloadable breach report.</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Compliance Dashboard</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Single-page view of compliance status: consent banner live/not, privacy notice published, data inventory complete, last audit date, pending rights requests.</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Phase 2 — Growth Layer (Months 3–5)</w:t>
      </w:r>
    </w:p>
    <w:p>
      <w:pPr>
        <w:spacing w:after="60" w:before="60"/>
      </w:pPr>
      <w:r>
        <w:rPr>
          <w:color w:val="1C1C1C"/>
          <w:sz w:val="20"/>
          <w:szCs w:val="20"/>
        </w:rPr>
        <w:t xml:space="preserve">Goal: Increase average contract value. Add features that make ConsentShield stickier for companies already using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DPDP Audit Readiness Score</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Automated 45-question gap assessment. Produces a scored PDF report with colour-coded gaps and remediation steps. Designed to be shared with board, investors, or legal counsel.</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Data Principal Rights Tracker</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Manages the full lifecycle of erasure, access, correction, and nomination requests. 30-day SLA timer with auto-reminders. Exportable response log for audit evidence.</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Consent Withdrawal Engine</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When a user withdraws consent, ConsentShield triggers a workflow: pause marketing, notify integrations via webhook, log the withdrawal with timestamp. Satisfies DPDP Section 6(3).</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Processing Log Module</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Continuous log of all data processing activities. Minimum 1-year retention as required by DPDP Rules. Queryable by purpose, data category, or date range.</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Multi-property Support</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Manage consent across multiple websites or apps from one account. Critical for SaaS companies with multiple products or regional domains.</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Phase 3 — Moat Building (Months 6–12)</w:t>
      </w:r>
    </w:p>
    <w:p>
      <w:pPr>
        <w:spacing w:after="60" w:before="60"/>
      </w:pPr>
      <w:r>
        <w:rPr>
          <w:color w:val="1C1C1C"/>
          <w:sz w:val="20"/>
          <w:szCs w:val="20"/>
        </w:rPr>
        <w:t xml:space="preserve">Goal: Create switching costs, open new verticals, and justify premium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Sector Templates</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Pre-configured template sets for SaaS, edtech (with parental consent), fintech, and healthcare. Each template pre-maps the highest-risk data categories for that sector.</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DPO-as-a-Service Matchmaking</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Connect customers with empanelled Data Protection Officers. ConsentShield earns a referral fee. Customer gets a named DPO for regulatory purposes without a full-time hire.</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DPDP + ABDM Bundle</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For clinic customers: unified consent engine that satisfies both the ABDM consent artefact requirement and DPDP notice-plus-consent in a single patient interaction. The only product in India that does this.</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Compliance API</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REST API for enterprise customers to embed compliance workflows into their own products. Enables white-label partnerships with CA firms and legal tech platforms.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Audit Export Package</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One-click export of all audit evidence: consent logs, processing records, rights request responses, breach notifications, formatted for DPB inspection.</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5. Pricing &amp; Packaging</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Pricing Philosophy</w:t>
      </w:r>
    </w:p>
    <w:p>
      <w:pPr>
        <w:spacing w:after="60" w:before="60"/>
      </w:pPr>
      <w:r>
        <w:rPr>
          <w:color w:val="1C1C1C"/>
          <w:sz w:val="20"/>
          <w:szCs w:val="20"/>
        </w:rPr>
        <w:t xml:space="preserve">Price on compliance urgency, not on features. Customers are not buying software — they are buying legal protection. The comparison is not 'vs. other SaaS tools' — it is 'vs. a law firm retainer at ₹5–25 lakh per engagement.' Anchoring to that comparison makes every price point feel like a bargain.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Starter</w:t>
            </w:r>
            <w:r>
              <w:rPr>
                <w:b/>
                <w:bCs/>
                <w:color w:val="1C1C1C"/>
                <w:sz w:val="19"/>
                <w:szCs w:val="19"/>
              </w:rPr>
              <w:t xml:space="preserve"> </w:t>
            </w:r>
            <w:r>
              <w:rPr>
                <w:b/>
                <w:bCs/>
                <w:color w:val="1C1C1C"/>
                <w:sz w:val="19"/>
                <w:szCs w:val="19"/>
              </w:rPr>
              <w:t xml:space="preserve">₹2,999/mo</w:t>
            </w:r>
            <w:r>
              <w:rPr>
                <w:b/>
                <w:bCs/>
                <w:color w:val="1C1C1C"/>
                <w:sz w:val="19"/>
                <w:szCs w:val="19"/>
              </w:rPr>
              <w:t xml:space="preserve"> 1 product / website ✓  Consent banner + JS snippet ✓  Privacy notice builder ✓  Data inventory worksheet ✓  72-hour breach template ✓  Compliance dashboard ✓  Email support</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Growth</w:t>
            </w:r>
            <w:r>
              <w:rPr>
                <w:b w:val="false"/>
                <w:bCs w:val="false"/>
                <w:color w:val="1C1C1C"/>
                <w:sz w:val="19"/>
                <w:szCs w:val="19"/>
              </w:rPr>
              <w:t xml:space="preserve"> </w:t>
            </w:r>
            <w:r>
              <w:rPr>
                <w:b w:val="false"/>
                <w:bCs w:val="false"/>
                <w:color w:val="1C1C1C"/>
                <w:sz w:val="19"/>
                <w:szCs w:val="19"/>
              </w:rPr>
              <w:t xml:space="preserve">₹5,999/mo</w:t>
            </w:r>
            <w:r>
              <w:rPr>
                <w:b w:val="false"/>
                <w:bCs w:val="false"/>
                <w:color w:val="1C1C1C"/>
                <w:sz w:val="19"/>
                <w:szCs w:val="19"/>
              </w:rPr>
              <w:t xml:space="preserve"> 3 properties ✓  Everything in Starter ✓  Audit readiness score ✓  Rights request tracker ✓  Consent withdrawal engine ✓  Processing log (1-year retention) ✓  Priority support</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Add-on: ConsentShield for Clinics (DPDP + ABDM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thick" w:color="2E86AB" w:sz="12"/>
              <w:bottom w:val="single" w:color="AED6F1" w:sz="1"/>
              <w:right w:val="single" w:color="AED6F1" w:sz="1"/>
            </w:tcBorders>
            <w:shd w:fill="EAF4FB" w:val="clear"/>
            <w:tcMar>
              <w:top w:type="dxa" w:w="100"/>
              <w:left w:type="dxa" w:w="180"/>
              <w:bottom w:type="dxa" w:w="100"/>
              <w:right w:type="dxa" w:w="140"/>
            </w:tcMar>
          </w:tcPr>
          <w:p>
            <w:pPr>
              <w:spacing w:after="0" w:before="0"/>
            </w:pPr>
            <w:r>
              <w:rPr>
                <w:b/>
                <w:bCs/>
                <w:color w:val="1B4F72"/>
                <w:sz w:val="20"/>
                <w:szCs w:val="20"/>
              </w:rPr>
              <w:t xml:space="preserve">Bundle Pricing: </w:t>
            </w:r>
            <w:r>
              <w:rPr>
                <w:b/>
                <w:bCs/>
                <w:color w:val="1B4F72"/>
                <w:sz w:val="20"/>
                <w:szCs w:val="20"/>
              </w:rPr>
              <w:t xml:space="preserve">Available as an add-on to any plan from Growth upward, or as a standalone at ₹4,999/mo for single-doctor clinics. Clinics with ABDM integration and DPDP compliance justify pricing at ₹6,000–₹8,000/month — 2–3× the market rate for generic clinic EMR subscriptions — because it replaces two mandatory compliance obligations.</w:t>
            </w:r>
          </w:p>
        </w:tc>
      </w:tr>
    </w:tbl>
    <w:p>
      <w:pPr>
        <w:spacing w:after="0" w:before="80"/>
      </w:pPr>
    </w:p>
    <w:p>
      <w:pPr>
        <w:spacing w:after="0" w:before="140"/>
      </w:pPr>
    </w:p>
    <w:p>
      <w:pPr>
        <w:pStyle w:val="Heading2"/>
        <w:spacing w:after="80" w:before="0"/>
      </w:pPr>
      <w:r>
        <w:rPr>
          <w:rFonts w:ascii="Arial" w:cs="Arial" w:eastAsia="Arial" w:hAnsi="Arial"/>
          <w:b/>
          <w:bCs/>
          <w:color w:val="2E86AB"/>
          <w:sz w:val="28"/>
          <w:szCs w:val="28"/>
        </w:rPr>
        <w:t xml:space="preserve">Annual Discount &amp; CA Partner Program</w:t>
      </w:r>
    </w:p>
    <w:p>
      <w:pPr>
        <w:pStyle w:val="ListParagraph"/>
        <w:numPr>
          <w:ilvl w:val="0"/>
          <w:numId w:val="2"/>
        </w:numPr>
        <w:spacing w:after="40" w:before="40"/>
      </w:pPr>
      <w:r>
        <w:rPr>
          <w:color w:val="1C1C1C"/>
          <w:sz w:val="20"/>
          <w:szCs w:val="20"/>
        </w:rPr>
        <w:t xml:space="preserve">Annual upfront: 20% discount (2 months free). Positions annual ACV at ₹28,800–₹2,40,000 depending on tier.</w:t>
      </w:r>
    </w:p>
    <w:p>
      <w:pPr>
        <w:pStyle w:val="ListParagraph"/>
        <w:numPr>
          <w:ilvl w:val="0"/>
          <w:numId w:val="2"/>
        </w:numPr>
        <w:spacing w:after="40" w:before="40"/>
      </w:pPr>
      <w:r>
        <w:rPr>
          <w:color w:val="1C1C1C"/>
          <w:sz w:val="20"/>
          <w:szCs w:val="20"/>
        </w:rPr>
        <w:t xml:space="preserve">CA / Legal firm white-label: 30% revenue share on all referred and managed accounts. No upfront fee.</w:t>
      </w:r>
    </w:p>
    <w:p>
      <w:pPr>
        <w:pStyle w:val="ListParagraph"/>
        <w:numPr>
          <w:ilvl w:val="0"/>
          <w:numId w:val="2"/>
        </w:numPr>
        <w:spacing w:after="40" w:before="40"/>
      </w:pPr>
      <w:r>
        <w:rPr>
          <w:color w:val="1C1C1C"/>
          <w:sz w:val="20"/>
          <w:szCs w:val="20"/>
        </w:rPr>
        <w:t xml:space="preserve">Startup accelerator partnerships (NASSCOM, T-Hub, iSPIRT): group pricing at 40% off Growth tier for cohort members.</w:t>
      </w:r>
    </w:p>
    <w:p>
      <w:pPr>
        <w:spacing w:after="0" w:before="200"/>
      </w:pPr>
    </w:p>
    <w:p>
      <w:pPr>
        <w:pStyle w:val="Heading1"/>
        <w:spacing w:after="60" w:before="0"/>
      </w:pPr>
      <w:r>
        <w:rPr>
          <w:rFonts w:ascii="Arial" w:cs="Arial" w:eastAsia="Arial" w:hAnsi="Arial"/>
          <w:b/>
          <w:bCs/>
          <w:color w:val="1B4F72"/>
          <w:sz w:val="40"/>
          <w:szCs w:val="40"/>
        </w:rPr>
        <w:t xml:space="preserve">6. Marketing Strategy</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Ideal Customer Profile (ICP)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Priority</w:t>
            </w:r>
          </w:p>
        </w:tc>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Profile</w:t>
            </w:r>
          </w:p>
        </w:tc>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Why They Buy</w:t>
            </w:r>
          </w:p>
        </w:tc>
        <w:tc>
          <w:tcPr>
            <w:tcW w:type="dxa" w:w="234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Where to Find Them</w:t>
            </w:r>
          </w:p>
        </w:tc>
      </w:tr>
      <w:tr>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Indian SaaS founder, 5–50 employees, B2B or B2C product, raised seed or Series A</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DPDP is now a due diligence item for fundraising. VCs ask about it.</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SaaSBoomi Slack, ProductHunt India, LinkedIn, IndiaHacks communities</w:t>
            </w:r>
          </w:p>
        </w:tc>
      </w:tr>
      <w:tr>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Edtech CTO, 50K–2M users, K–12 or upskilling product</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Children's data provisions are the harshest — reputational risk is existential.</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EdTechX Asia network, NASSCOM FutureSkills, LinkedIn</w:t>
            </w:r>
          </w:p>
        </w:tc>
      </w:tr>
      <w:tr>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3</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D2C e-commerce founder, ₹5–50 crore GMV, email/WhatsApp marketing-heavy</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Email lists and WhatsApp groups are explicitly regulated. First enforcement cases likely here.</w:t>
            </w:r>
          </w:p>
        </w:tc>
        <w:tc>
          <w:tcPr>
            <w:tcW w:type="dxa" w:w="234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D2C Insider community, e-commerce WhatsApp groups</w:t>
            </w:r>
          </w:p>
        </w:tc>
      </w:tr>
      <w:tr>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4</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Single-doctor clinic or 5–10 doctor group practice in Telangana / Karnataka</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ABDM registration + health data = immediate DPDP obligation. Most don't know yet.</w:t>
            </w:r>
          </w:p>
        </w:tc>
        <w:tc>
          <w:tcPr>
            <w:tcW w:type="dxa" w:w="234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IMA-Telangana, in-person clinic visits, medical college networks</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Content Marketing — The Trust Engine</w:t>
      </w:r>
    </w:p>
    <w:p>
      <w:pPr>
        <w:spacing w:after="60" w:before="60"/>
      </w:pPr>
      <w:r>
        <w:rPr>
          <w:color w:val="1C1C1C"/>
          <w:sz w:val="20"/>
          <w:szCs w:val="20"/>
        </w:rPr>
        <w:t xml:space="preserve">The DPDP compliance space is won by whoever is perceived as the authoritative expert. Content is not a growth hack — it is the product demo for buyers who won't take a sales call without first reading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DPDP Founder Newsletter</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Weekly email: 'One DPDP thing you need to know this week.' Plain English. Actionable. No legal jargon. Target: 5,000 subscribers by Month 6. This is the primary inbound channel.</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DPDP Compliance Checklist</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Free lead magnet: a downloadable 47-point self-assessment checklist. Gated behind email. Converts readers to trial signups. This is the #1 acquisition asset in Month 1.</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DPDP Explained for Founders</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SEO content series. Target keywords: 'DPDP compliance India', 'DPDP consent management', 'data protection India SaaS'. Long-tail traffic with high buying intent.</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Case Study Library</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After Month 6: publish anonymised case studies. 'How a 12-person edtech startup achieved DPDP compliance in 3 days.' Trust signal for procurement conversations.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LinkedIn Thought Leadership</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 posts per week from the founder account. Discuss enforcement updates, regulatory news, real-world implications. Not product promotion. Industry authority positioning.</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Community &amp; Partnership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SaaSBoomi</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India's largest SaaS founder community. Conference presence + Slack community sponsorship. High-intent buyers concentrated in one place. Target: speak at one event by Month 4.</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iSPIRT Network</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Volunteer ecosystem that built the DPDP policy framework. Being known here = credibility. Attend open houses, contribute to DPDP awareness GitHub resources.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CA / Law Firm Channel</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India has 300,000+ practising Chartered Accountants. Many advise clients on compliance without a tool. White-label program: they bring the clients, ConsentShield provides the platform, 30% revenue share.</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T-Hub / NASSCOM</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Hyderabad's startup ecosystem. Get listed as a preferred compliance tool for portfolio companies. T-Hub alone has 600+ startups — that is 600 warm leads.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IMA-Telangana</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For the ABDM + DPDP bundle: the Indian Medical Association – Telangana State chapter is the distribution channel into the clinic segment. One IMA endorsement = faster trust than 100 cold calls.</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90-Day Go-to-Market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Phase</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Period</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Milestones </w:t>
            </w:r>
            <w:r>
              <w:rPr>
                <w:b/>
                <w:bCs/>
                <w:color w:val="1B4F72"/>
                <w:sz w:val="20"/>
                <w:szCs w:val="20"/>
              </w:rPr>
              <w:t xml:space="preserve">&amp;</w:t>
            </w:r>
            <w:r>
              <w:rPr>
                <w:b/>
                <w:bCs/>
                <w:color w:val="1B4F72"/>
                <w:sz w:val="20"/>
                <w:szCs w:val="20"/>
              </w:rPr>
              <w:t xml:space="preserve"> Targets</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Week 1–2</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Customer Discovery</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Talk to 20 potential customers before writing a line of product code. Ask: Are you currently paying for anything to solve DPDP? How much? Would you pay ₹3,000/month for a tool?</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Week 3–8</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MVP Build</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Build Phase 1 features. Set up Razorpay subscriptions. Deploy on Vercel. Register consentshield.in domain.</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Week 9</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Soft Launch</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Launch in SaaSBoomi Slack, LinkedIn, and 3 founder WhatsApp groups. Give 10 free 30-day trials to respected founders for feedback and testimonials.</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Week 10</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Lead Magnet Live</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Publish the DPDP Compliance Checklist. Run one LinkedIn post promoting it. Collect emails. Target: 200 email signups in Week 10.</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Week 11–12</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First Revenue</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Convert 5 trial users to Starter plan (₹2,999/month). Begin CA firm outreach. Send first edition of DPDP Founder Newsletter.</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Month 3–6</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Growth Phase</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Ship Phase 2 features. Speak at SaaSBoomi event. Reach ₹1L MRR. Begin ABDM clinic conversations in Hyderabad.</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7. App Design Blueprint</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Clarity over Cleverness</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Every screen should communicate what it is and what action to take next in under 5 seconds. DPDP is confusing enough — the UI cannot add to that confusion.</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Status-First Layout</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The dashboard is a compliance status board, not a settings page. The dominant visual should be 'how compliant are you right now' — not navigation menus.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Actionable Empty States</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When a feature hasn't been configured yet, the empty state shows one CTA: 'Set this up now.' No blank boxes. Every empty state is a conversion opportunity.</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Audit-Ready by Default</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Every action a user or their customer takes inside ConsentShield generates a timestamped log. The user should never need to 'turn on' logging — it runs silently.</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Mobile-Accessible Core</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Clinic customers may check compliance status on a phone between patients. The compliance dashboard and rights request tracker must be fully usable on mobile.</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Information Architecture</w:t>
      </w:r>
    </w:p>
    <w:p>
      <w:pPr>
        <w:spacing w:after="60" w:before="60"/>
      </w:pPr>
      <w:r>
        <w:rPr>
          <w:color w:val="1C1C1C"/>
          <w:sz w:val="20"/>
          <w:szCs w:val="20"/>
        </w:rPr>
        <w:t xml:space="preserve">ConsentShield has five primary navigation areas, plus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Nav Area</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Purpose</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Primary User Action</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Dashboard</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Compliance health at a glance. Scores, alerts, pending items.</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Fix the top-ranked compliance gap.</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Consent Manager</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Build and manage consent banners, withdrawal flows, consent logs.</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Deploy a new consent banner. View consent rate analytics.</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Data Inventory</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Map what data you collect, why, and for how long.</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Complete or update a data flow entry.</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Rights Centre</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Manage Data Principal rights requests (erasure, access, correction).</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Respond to an open rights request within SLA.</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Audit &amp; Reports</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Processing logs, breach notifications, downloadable compliance packages.</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Export the Audit Package for a VC or DPB inspection.</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Settings</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Account, team members, integrations, billing.</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Add a new web property or team member.</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Key Screen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thick" w:color="2E86AB" w:sz="12"/>
              <w:bottom w:val="single" w:color="AED6F1" w:sz="1"/>
              <w:right w:val="single" w:color="AED6F1" w:sz="1"/>
            </w:tcBorders>
            <w:shd w:fill="EAF4FB" w:val="clear"/>
            <w:tcMar>
              <w:top w:type="dxa" w:w="100"/>
              <w:left w:type="dxa" w:w="180"/>
              <w:bottom w:type="dxa" w:w="100"/>
              <w:right w:type="dxa" w:w="140"/>
            </w:tcMar>
          </w:tcPr>
          <w:p>
            <w:pPr>
              <w:spacing w:after="0" w:before="0"/>
            </w:pPr>
            <w:r>
              <w:rPr>
                <w:b/>
                <w:bCs/>
                <w:color w:val="1B4F72"/>
                <w:sz w:val="20"/>
                <w:szCs w:val="20"/>
              </w:rPr>
              <w:t xml:space="preserve">SCREEN: Dashboard — Compliance Command Centre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SCREEN: Dashboard — Compliance Command Centre</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Top Bar</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Logo left. 'Compliance Score: 74%' badge (colour-coded: red &lt;50, amber 50–80, green &gt;80). Notification bell with count. User avatar.</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Score Card</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Large circular gauge showing overall DPDP compliance %. Below it: 'Last updated: 2 hours ago.' Link: 'See full audit report.'</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Status Grid</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4 cards in a row: Consent Banner (Live/Not Live), Privacy Notice (Published/Draft), Data Inventory (Complete/Incomplete), Rights Requests (Open count + SLA status).</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Action Queue</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Ordered list of 'Things to fix today': each item has severity (High/Medium), estimated time to fix, and a single CTA button. No more than 5 items shown. 'See all gaps' link below.</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Recent Activity</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Timeline of recent events: consent banner deployed, rights request received, breach notification sent. Last 7 days. Each item links to the relevant module.</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Enforcement Clock</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Bottom right: small widget. 'Days until full DPDP enforcement: 396.' Orange if &lt;365 days, red if &lt;180 days.</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SCREEN: Consent Manager — Banner Builder</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Left Panel</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Live preview of the consent banner rendered on a generic website background. Updates in real time as user makes changes.</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Right Panel</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Configuration controls: Banner text (editable), Purpose toggles (Analytics, Marketing, Personalisation — each with custom description), Accept All / Manage Preferences / Reject All button labels.</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Purpose Editor</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For each purpose: name, plain-language description, whether it is optional or required. Required purposes are pre-checked and cannot be unchecked by the user.</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Snippet Tab</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One-click copy of the CDN-hosted JS snippet. Includes a 'Test integration' checker — paste your URL and ConsentShield pings it to confirm the snippet is live.</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Analytics Tab</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Consent rate over time (% of visitors who accepted, rejected, or customised). Breakdown by purpose. Exportable CSV. Last 30 days default.</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SCREEN: Rights Centre — Request Management</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Request Inbox</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Table of all incoming Data Principal rights requests. Columns: Name, Type (Erasure/Access/Correction/Nomination), Date received, Days remaining, Status, Assignee.</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SLA Timer</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Each open request shows a countdown: '24 days remaining' (green) → '5 days remaining' (amber) → 'OVERDUE' (red). Auto-email reminder sent at 7 days.</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Request Detail</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Full request view: identity verification status, data categories involved, processing purpose, proposed response. Response template pre-populated from data inventory.</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Response Workflow</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Step-by-step guided response: Verify identity → Confirm data categories → Draft response → Log action → Mark complete. Each step logged with timestamp.</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Audit Log</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Read-only log of all completed requests. Exportable. Shows who responded, what was done, when. The evidence file for a DPB inspection.</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SCREEN: Audit </w:t>
            </w:r>
            <w:r>
              <w:rPr>
                <w:b/>
                <w:bCs/>
                <w:color w:val="1C1C1C"/>
                <w:sz w:val="19"/>
                <w:szCs w:val="19"/>
              </w:rPr>
              <w:t xml:space="preserve">&amp;</w:t>
            </w:r>
            <w:r>
              <w:rPr>
                <w:b/>
                <w:bCs/>
                <w:color w:val="1C1C1C"/>
                <w:sz w:val="19"/>
                <w:szCs w:val="19"/>
              </w:rPr>
              <w:t xml:space="preserve"> Reports — Compliance Evidence Package</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Report Builder</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Select what to include: Consent logs (date range), Processing log, Rights request history, Breach notifications, Data inventory snapshot. One-click 'Generate Package.'</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Report Preview</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Rendered PDF preview in-browser before download. Shows cover page with company name, date, and ConsentShield certification mark.</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Audit Score Card</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Breakdown of the 45-point gap assessment: passed (green), partially compliant (amber), failed (red). Each gap links to the remediation workflow.</w:t>
            </w:r>
          </w:p>
        </w:tc>
      </w:tr>
      <w:tr>
        <w:tc>
          <w:tcPr>
            <w:tcW w:type="dxa" w:w="3200"/>
            <w:gridSpan w:val="1"/>
            <w:tcBorders>
              <w:top w:val="single" w:color="C8D6E5" w:sz="1"/>
              <w:left w:val="single" w:color="C8D6E5" w:sz="1"/>
              <w:bottom w:val="single" w:color="C8D6E5" w:sz="1"/>
              <w:right w:val="single" w:color="C8D6E5" w:sz="1"/>
            </w:tcBorders>
            <w:shd w:fill="F5FAFF" w:val="clear"/>
            <w:tcMar>
              <w:top w:type="dxa" w:w="80"/>
              <w:left w:type="dxa" w:w="140"/>
              <w:bottom w:type="dxa" w:w="80"/>
              <w:right w:type="dxa" w:w="140"/>
            </w:tcMar>
          </w:tcPr>
          <w:p>
            <w:pPr>
              <w:spacing w:after="0" w:before="0"/>
            </w:pPr>
            <w:r>
              <w:rPr>
                <w:b/>
                <w:bCs/>
                <w:color w:val="1C1C1C"/>
                <w:sz w:val="19"/>
                <w:szCs w:val="19"/>
              </w:rPr>
              <w:t xml:space="preserve">Breach Log</w:t>
            </w:r>
          </w:p>
        </w:tc>
        <w:tc>
          <w:tcPr>
            <w:tcW w:type="dxa" w:w="61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History of all breach notifications sent. Each entry: incident date, discovery date, DPB notification date, data categories affected, affected individuals count.</w:t>
            </w:r>
          </w:p>
        </w:tc>
      </w:tr>
      <w:tr>
        <w:tc>
          <w:tcPr>
            <w:tcW w:type="dxa" w:w="3200"/>
            <w:gridSpan w:val="1"/>
            <w:tcBorders>
              <w:top w:val="single" w:color="C8D6E5" w:sz="1"/>
              <w:left w:val="single" w:color="C8D6E5" w:sz="1"/>
              <w:bottom w:val="single" w:color="C8D6E5" w:sz="1"/>
              <w:right w:val="single" w:color="C8D6E5" w:sz="1"/>
            </w:tcBorders>
            <w:shd w:fill="EAF4FB" w:val="clear"/>
            <w:tcMar>
              <w:top w:type="dxa" w:w="80"/>
              <w:left w:type="dxa" w:w="140"/>
              <w:bottom w:type="dxa" w:w="80"/>
              <w:right w:type="dxa" w:w="140"/>
            </w:tcMar>
          </w:tcPr>
          <w:p>
            <w:pPr>
              <w:spacing w:after="0" w:before="0"/>
            </w:pPr>
            <w:r>
              <w:rPr>
                <w:b/>
                <w:bCs/>
                <w:color w:val="1C1C1C"/>
                <w:sz w:val="19"/>
                <w:szCs w:val="19"/>
              </w:rPr>
              <w:t xml:space="preserve">Export Actions</w:t>
            </w:r>
          </w:p>
        </w:tc>
        <w:tc>
          <w:tcPr>
            <w:tcW w:type="dxa" w:w="61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Download PDF, Download CSV (for programmatic use), Share link (time-limited, view-only for external stakeholders like investors or auditors).</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UX Flow: New Customer Onboarding (0 → First Consent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1</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Signup: Email + Google OAuth. Clerk-powered. No credit card required for 14-day trial.</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Company Setup: Company name, industry (dropdown with sector-specific template pre-selection), primary website URL, estimated monthly unique visitors.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3</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Data Inventory Quick-Start: 10-question guided interview. 'Do you collect email addresses? Yes/No. For what purpose? Marketing / Product / Both.' Generates a draft data inventory automatically.</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Consent Banner Wizard: Choose from 3 pre-built templates (Minimal / Standard / Full). Edit text. Select purposes. Preview renders live.</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5</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Snippet Deployment: Copy JS snippet. Paste into website &lt;head&gt;. ConsentShield monitors and confirms when the snippet is detected live (green tick within 5 minutes of deployment).</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6</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Compliance Score Calculated: Dashboard loads with initial score (typically 40–60% after steps 1–5). Action queue shows next 3 gaps to close.</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7</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First Consent Collected: Dashboard shows first consent event. 'Your first DPDP-compliant consent was collected at 14:32 today.' Completion of the onboarding arc.</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UX Flow: Data Principal Rights Request (Erasure)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1</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User submits erasure request via the hosted rights request form (linked from privacy notice). ConsentShield auto-creates a request record in Rights Centre.</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Auto-notification sent to the Compliance Manager email on file. 'New erasure request received. 30-day SLA clock started.'</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3</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Compliance Manager opens Rights Centre. Clicks the request. Sees identity verification checklist and pre-populated data inventory of what data exists for this user.</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Manager verifies identity (follows DPDP Rule 7 standard). Logs verification outcome with method used.</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5</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Manager reviews data categories to be erased. ConsentShield checks: are any of these in a retention-lock period (e.g. financial records with statutory minimums)?</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6</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Response drafted using pre-built template. Manager edits if needed. ConsentShield sends response email and logs the action.</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7</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Request marked complete. Full audit trail (received → verified → responded → closed) available in Audit &amp; Reports. Exportable within the Audit Package.</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8. Technical Architecture</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Core Stack (No New Tooling Required in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Layer</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Technology</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Rationale</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Frontend</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Next.js 14 + TypeScript + Tailwind + shadcn/ui</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Already in stack. App Router for nested layouts. Server components for dashboard data.</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Auth</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Clerk</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Already in stack. Multi-tenant org support built-in. Audit log for user actions.</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Database</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PostgreSQL + Drizzle ORM</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Already in stack. Row-level security for multi-tenant data isolation.</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Consent Snippet</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Vanilla JS + Vercel Edge Network (CDN)</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Sub-50ms load time globally. Edge caching for the banner script.</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PDF Generation</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react-pdf or Puppeteer</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For audit export packages, privacy notice PDFs, gap report PDFs.</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Email</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Resend</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Transactional: rights request alerts, SLA reminders, breach notifications, weekly newsletter.</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Billing</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Razorpay Subscriptions</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Indian payment stack. Supports INR, auto-renewal, webhook-driven plan changes.</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Monitoring</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Sentry + Vercel Analytics</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Error tracking + performance. Essential when audit trails cannot have gaps.</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Data Architecture Rules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thick" w:color="2E86AB" w:sz="12"/>
              <w:bottom w:val="single" w:color="AED6F1" w:sz="1"/>
              <w:right w:val="single" w:color="AED6F1" w:sz="1"/>
            </w:tcBorders>
            <w:shd w:fill="EAF4FB" w:val="clear"/>
            <w:tcMar>
              <w:top w:type="dxa" w:w="100"/>
              <w:left w:type="dxa" w:w="180"/>
              <w:bottom w:type="dxa" w:w="100"/>
              <w:right w:type="dxa" w:w="140"/>
            </w:tcMar>
          </w:tcPr>
          <w:p>
            <w:pPr>
              <w:spacing w:after="0" w:before="0"/>
            </w:pPr>
            <w:r>
              <w:rPr>
                <w:b/>
                <w:bCs/>
                <w:color w:val="1B4F72"/>
                <w:sz w:val="20"/>
                <w:szCs w:val="20"/>
              </w:rPr>
              <w:t xml:space="preserve">ConsentShield's database is an operational state store, not a compliance record store.</w:t>
            </w:r>
            <w:r>
              <w:rPr>
                <w:b/>
                <w:bCs/>
                <w:color w:val="1B4F72"/>
                <w:sz w:val="20"/>
                <w:szCs w:val="20"/>
              </w:rPr>
              <w:t xml:space="preserve"> The canonical compliance record — every consent event, audit entry, processing log, and rights request — lives in customer-owned storage. ConsentShield holds working copies in buffer tables only until confirmed delivery to the customer's storage destination, then hard-deletes them.</w:t>
            </w:r>
          </w:p>
        </w:tc>
      </w:tr>
    </w:tbl>
    <w:p>
      <w:pPr>
        <w:spacing w:after="0" w:before="80"/>
      </w:pPr>
    </w:p>
    <w:p>
      <w:pPr>
        <w:pStyle w:val="ListParagraph"/>
        <w:numPr>
          <w:ilvl w:val="0"/>
          <w:numId w:val="2"/>
        </w:numPr>
        <w:spacing w:after="40" w:before="40"/>
      </w:pPr>
      <w:r>
        <w:rPr>
          <w:b/>
          <w:bCs/>
          <w:color w:val="1C1C1C"/>
          <w:sz w:val="20"/>
          <w:szCs w:val="20"/>
        </w:rPr>
        <w:t xml:space="preserve">Two categories of data, not one.</w:t>
      </w:r>
      <w:r>
        <w:rPr>
          <w:color w:val="1C1C1C"/>
          <w:sz w:val="20"/>
          <w:szCs w:val="20"/>
        </w:rPr>
        <w:t xml:space="preserve"> Operational state (org config, banner config, consent artefact validity index, delivery buffer state) lives in ConsentShield permanently. User data (consent events, audit log, processing log, rights request personal data) is buffer data — held for delivery, deleted after confirmed write to customer storage.</w:t>
      </w:r>
    </w:p>
    <w:p>
      <w:pPr>
        <w:pStyle w:val="ListParagraph"/>
        <w:numPr>
          <w:ilvl w:val="0"/>
          <w:numId w:val="2"/>
        </w:numPr>
        <w:spacing w:after="40" w:before="40"/>
      </w:pPr>
      <w:r>
        <w:rPr>
          <w:b/>
          <w:bCs/>
          <w:color w:val="1C1C1C"/>
          <w:sz w:val="20"/>
          <w:szCs w:val="20"/>
        </w:rPr>
        <w:t xml:space="preserve">Health data (ABDM bundle) is never stored.</w:t>
      </w:r>
      <w:r>
        <w:rPr>
          <w:color w:val="1C1C1C"/>
          <w:sz w:val="20"/>
          <w:szCs w:val="20"/>
        </w:rPr>
        <w:t xml:space="preserve"> FHIR records flow through ConsentShield's server in memory only. No schema, no table, no log ever holds FHIR content. Zero persistence is the requirement. This supersedes the earlier rule about a separate encrypted schema — a separate schema is insufficient.</w:t>
      </w:r>
    </w:p>
    <w:p>
      <w:pPr>
        <w:pStyle w:val="ListParagraph"/>
        <w:numPr>
          <w:ilvl w:val="0"/>
          <w:numId w:val="2"/>
        </w:numPr>
        <w:spacing w:after="40" w:before="40"/>
      </w:pPr>
      <w:r>
        <w:rPr>
          <w:b/>
          <w:bCs/>
          <w:color w:val="1C1C1C"/>
          <w:sz w:val="20"/>
          <w:szCs w:val="20"/>
        </w:rPr>
        <w:t xml:space="preserve">Multi-tenant isolation:</w:t>
      </w:r>
      <w:r>
        <w:rPr>
          <w:color w:val="1C1C1C"/>
          <w:sz w:val="20"/>
          <w:szCs w:val="20"/>
        </w:rPr>
        <w:t xml:space="preserve"> every record includes organisation_id. Row-Level Security enforced at DB level, not just application level.</w:t>
      </w:r>
    </w:p>
    <w:p>
      <w:pPr>
        <w:pStyle w:val="ListParagraph"/>
        <w:numPr>
          <w:ilvl w:val="0"/>
          <w:numId w:val="2"/>
        </w:numPr>
        <w:spacing w:after="40" w:before="40"/>
      </w:pPr>
      <w:r>
        <w:rPr>
          <w:b/>
          <w:bCs/>
          <w:color w:val="1C1C1C"/>
          <w:sz w:val="20"/>
          <w:szCs w:val="20"/>
        </w:rPr>
        <w:t xml:space="preserve">Consent events are append-only buffers</w:t>
      </w:r>
      <w:r>
        <w:rPr>
          <w:color w:val="1C1C1C"/>
          <w:sz w:val="20"/>
          <w:szCs w:val="20"/>
        </w:rPr>
        <w:t xml:space="preserve"> — no UPDATE or DELETE permissions at DB role level. Rows are hard-deleted by a nightly purge job after confirmed delivery to customer storage.</w:t>
      </w:r>
    </w:p>
    <w:p>
      <w:pPr>
        <w:pStyle w:val="ListParagraph"/>
        <w:numPr>
          <w:ilvl w:val="0"/>
          <w:numId w:val="2"/>
        </w:numPr>
        <w:spacing w:after="40" w:before="40"/>
      </w:pPr>
      <w:r>
        <w:rPr>
          <w:b/>
          <w:bCs/>
          <w:color w:val="1C1C1C"/>
          <w:sz w:val="20"/>
          <w:szCs w:val="20"/>
        </w:rPr>
        <w:t xml:space="preserve">Audit log schema:</w:t>
      </w:r>
      <w:r>
        <w:rPr>
          <w:color w:val="1C1C1C"/>
          <w:sz w:val="20"/>
          <w:szCs w:val="20"/>
        </w:rPr>
        <w:t xml:space="preserve"> event_id, org_id, user_id (nullable for Data Principal actions), event_type, payload (JSONB), created_at, delivered_at. DPDP's 1-year minimum retention obligation sits with the Data Fiduciary (the customer) — who holds it in their own storage.</w:t>
      </w:r>
    </w:p>
    <w:p>
      <w:pPr>
        <w:pStyle w:val="ListParagraph"/>
        <w:numPr>
          <w:ilvl w:val="0"/>
          <w:numId w:val="2"/>
        </w:numPr>
        <w:spacing w:after="40" w:before="40"/>
      </w:pPr>
      <w:r>
        <w:rPr>
          <w:b/>
          <w:bCs/>
          <w:color w:val="1C1C1C"/>
          <w:sz w:val="20"/>
          <w:szCs w:val="20"/>
        </w:rPr>
        <w:t xml:space="preserve">Processing modes</w:t>
      </w:r>
      <w:r>
        <w:rPr>
          <w:color w:val="1C1C1C"/>
          <w:sz w:val="20"/>
          <w:szCs w:val="20"/>
        </w:rPr>
        <w:t xml:space="preserve"> — Standard (ConsentShield-provisioned Cloudflare R2, per-customer encryption key delivered and discarded at setup), Insulated (customer BYOS with write-only credential), Zero-Storage (in-memory transit only for sensitive data). Enforced at API gateway before any data write.</w:t>
      </w:r>
    </w:p>
    <w:p>
      <w:pPr>
        <w:pStyle w:val="ListParagraph"/>
        <w:numPr>
          <w:ilvl w:val="0"/>
          <w:numId w:val="2"/>
        </w:numPr>
        <w:spacing w:after="40" w:before="40"/>
      </w:pPr>
      <w:r>
        <w:rPr>
          <w:b/>
          <w:bCs/>
          <w:color w:val="1C1C1C"/>
          <w:sz w:val="20"/>
          <w:szCs w:val="20"/>
        </w:rPr>
        <w:t xml:space="preserve">Export storage default: Cloudflare R2.</w:t>
      </w:r>
      <w:r>
        <w:rPr>
          <w:color w:val="1C1C1C"/>
          <w:sz w:val="20"/>
          <w:szCs w:val="20"/>
        </w:rPr>
        <w:t xml:space="preserve"> No egress fees, same account as Workers, simpler token model than AWS IAM. S3 available for BYOS customers with existing AWS infrastructure.</w:t>
      </w:r>
    </w:p>
    <w:p>
      <w:pPr>
        <w:spacing w:after="0" w:before="140"/>
      </w:pPr>
    </w:p>
    <w:p>
      <w:pPr>
        <w:pStyle w:val="Heading2"/>
        <w:spacing w:after="80" w:before="0"/>
      </w:pPr>
      <w:r>
        <w:rPr>
          <w:rFonts w:ascii="Arial" w:cs="Arial" w:eastAsia="Arial" w:hAnsi="Arial"/>
          <w:b/>
          <w:bCs/>
          <w:color w:val="2E86AB"/>
          <w:sz w:val="28"/>
          <w:szCs w:val="28"/>
        </w:rPr>
        <w:t xml:space="preserve">Consent Banner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Delivery</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CDN-hosted script: cdn.consentshield.in/v1/banner.js. Customer adds one &lt;script&gt; tag. No NPM install required.</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Consent Storage</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Server-side only. Consent events POST to ConsentShield API with: user fingerprint (hashed), timestamp, purposes accepted, IP (truncated for privacy), banner version ID.</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Retrieval</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On page load, script calls API with session token to retrieve existing consent state. If consent exists, banner does not re-appear.</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Events</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Webhook events fired on: consent_given, consent_withdrawn, purpose_updated, banner_dismissed. Customer can subscribe any endpoint.</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Versioning</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Every change to banner configuration creates a new banner version. Historical consent is always tied to the exact version the user consented to.</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9. Revenue Projections &amp; Financial Model</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24-Month MRR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Month</w:t>
            </w:r>
          </w:p>
        </w:tc>
        <w:tc>
          <w:tcPr>
            <w:tcW w:type="dxa" w:w="156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New Customers</w:t>
            </w:r>
          </w:p>
        </w:tc>
        <w:tc>
          <w:tcPr>
            <w:tcW w:type="dxa" w:w="156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Total Customers</w:t>
            </w:r>
          </w:p>
        </w:tc>
        <w:tc>
          <w:tcPr>
            <w:tcW w:type="dxa" w:w="156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Avg ACV/month</w:t>
            </w:r>
          </w:p>
        </w:tc>
        <w:tc>
          <w:tcPr>
            <w:tcW w:type="dxa" w:w="156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MRR</w:t>
            </w:r>
          </w:p>
        </w:tc>
        <w:tc>
          <w:tcPr>
            <w:tcW w:type="dxa" w:w="156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Key Events</w:t>
            </w:r>
          </w:p>
        </w:tc>
      </w:tr>
      <w:tr>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0 (trials)</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MVP build. 10 free trials.</w:t>
            </w:r>
          </w:p>
        </w:tc>
      </w:tr>
      <w:tr>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0 (trials)</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Soft launch. Newsletter Week 1.</w:t>
            </w:r>
          </w:p>
        </w:tc>
      </w:tr>
      <w:tr>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3</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₹3,000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₹15,000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First 5 paying customers. Lead magnet live.</w:t>
            </w:r>
          </w:p>
        </w:tc>
      </w:tr>
      <w:tr>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4</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5</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₹3,500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₹35,000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Phase 2 features start. CA outreach begins.</w:t>
            </w:r>
          </w:p>
        </w:tc>
      </w:tr>
      <w:tr>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8</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18</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₹72,000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SaaSBoomi event. First CA partner signed.</w:t>
            </w:r>
          </w:p>
        </w:tc>
      </w:tr>
      <w:tr>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6</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7</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25</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₹4,000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₹1,00,000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₹1L MRR milestone. ABDM pilot conversations.</w:t>
            </w:r>
          </w:p>
        </w:tc>
      </w:tr>
      <w:tr>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8</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12</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37</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₹4,500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₹1,66,500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3 ABDM clinic pilots. Phase 3 features launch.</w:t>
            </w:r>
          </w:p>
        </w:tc>
      </w:tr>
      <w:tr>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15</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52</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₹5,000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₹2,60,000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ABDM first paying customers. T-Hub partnership.</w:t>
            </w:r>
          </w:p>
        </w:tc>
      </w:tr>
      <w:tr>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12</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28</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80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₹4,00,000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₹4L MRR. 80 customers across 3 segments.</w:t>
            </w:r>
          </w:p>
        </w:tc>
      </w:tr>
      <w:tr>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18</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40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140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₹6,000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₹8,40,000</w:t>
            </w:r>
          </w:p>
        </w:tc>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ABDM bundle at scale. CA channel producing 30% of revenue.</w:t>
            </w:r>
          </w:p>
        </w:tc>
      </w:tr>
      <w:tr>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24</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60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₹6,000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₹12,00,000</w:t>
            </w:r>
          </w:p>
        </w:tc>
        <w:tc>
          <w:tcPr>
            <w:tcW w:type="dxa" w:w="156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₹12L MRR. Enterprise tier introduced. OCEN pipeline started.</w:t>
            </w:r>
          </w:p>
        </w:tc>
      </w:tr>
      <w:tr>
        <w:tc>
          <w:tcPr>
            <w:tcW w:type="dxa" w:w="156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Checkpoint Rule: </w:t>
            </w:r>
            <w:r>
              <w:rPr>
                <w:b w:val="false"/>
                <w:bCs w:val="false"/>
                <w:color w:val="1C1C1C"/>
                <w:sz w:val="19"/>
                <w:szCs w:val="19"/>
              </w:rPr>
              <w:t xml:space="preserve">If DPDP MRR is not at ₹1L by Month 6, something in the sales motion needs to change before investing further in ABDM. Do not add complexity to a model that has not yet proved it can sell.</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Revenue Mix by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Segment</w:t>
            </w:r>
          </w:p>
        </w:tc>
        <w:tc>
          <w:tcPr>
            <w:tcW w:type="dxa" w:w="1872"/>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Customers</w:t>
            </w:r>
          </w:p>
        </w:tc>
        <w:tc>
          <w:tcPr>
            <w:tcW w:type="dxa" w:w="1872"/>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Avg MRR/customer</w:t>
            </w:r>
          </w:p>
        </w:tc>
        <w:tc>
          <w:tcPr>
            <w:tcW w:type="dxa" w:w="1872"/>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Segment MRR</w:t>
            </w:r>
          </w:p>
        </w:tc>
        <w:tc>
          <w:tcPr>
            <w:tcW w:type="dxa" w:w="1872"/>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 of Total</w:t>
            </w:r>
          </w:p>
        </w:tc>
      </w:tr>
      <w:tr>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Indian SaaS Startups</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90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₹5,000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₹4,50,000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37.5%</w:t>
            </w:r>
          </w:p>
        </w:tc>
      </w:tr>
      <w:tr>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Edtech / D2C</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50</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₹6,000</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₹3,00,000</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25.0%</w:t>
            </w:r>
          </w:p>
        </w:tc>
      </w:tr>
      <w:tr>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ABDM Clinic Bundle</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₹7,000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₹2,80,000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23.3%</w:t>
            </w:r>
          </w:p>
        </w:tc>
      </w:tr>
      <w:tr>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Enterprise / White-label</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10</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₹15,000</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₹1,50,000</w:t>
            </w:r>
          </w:p>
        </w:tc>
        <w:tc>
          <w:tcPr>
            <w:tcW w:type="dxa" w:w="1872"/>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12.5%</w:t>
            </w:r>
          </w:p>
        </w:tc>
      </w:tr>
      <w:tr>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CA Partner Referrals</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₹2,000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₹20,000</w:t>
            </w:r>
          </w:p>
        </w:tc>
        <w:tc>
          <w:tcPr>
            <w:tcW w:type="dxa" w:w="1872"/>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1.7%</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10. Risk Analysis &amp; Mitigations</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Product &amp; Market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Risk</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Severity</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Mitigation</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Government extends enforcement grace period beyond May 2027</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Medium</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Build product value beyond compliance — make ConsentShield the operating system for data governance, not just a penalty-avoidance tool. Compliance is the wedge, not the ceiling.</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Zoho or Cleartax ships a DPDP module</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High</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Own a vertical niche (e.g. 'DPDP for SaaS') before they enter. Switching cost once in is high — 12 months of audit logs and consent history cannot be easily migrated. First-mover in the vertical wins.</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DPB enforcement is softer than expected (GDPR 2018 pattern)</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Medium</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Products that have standalone workflow value (daily-use dashboards, rights management, reporting) survive enforcement slowdowns. Build for utility, not just compliance fear.</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Legal liability if product guidance is incorrect</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Medium</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Clearly position as tooling, not legal advice. All templates carry a disclaimer. Partner with a law firm for DPO-as-a-Service — they carry the legal liability, ConsentShield carries the software liability.</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Execution Risks (Solo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Risk</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Severity</w:t>
            </w:r>
          </w:p>
        </w:tc>
        <w:tc>
          <w:tcPr>
            <w:tcW w:type="dxa" w:w="312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Mitigation</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Feature creep slows the path to first revenue</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High</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Hard cap: Phase 1 ships in 8 weeks maximum. No new features until 5 paying customers exist. Use the customer conversations to decide what Phase 2 prioritises, not personal preference.</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Healthcare sales take longer than projected</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High</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ABDM bundle begins as conversations, not builds. Do not build ABDM features until 3 clinics commit to a paid pilot in writing. Sales before code.</w:t>
            </w:r>
          </w:p>
        </w:tc>
      </w:tr>
      <w:tr>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Low awareness of DPDP among target buyers</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Medium</w:t>
            </w:r>
          </w:p>
        </w:tc>
        <w:tc>
          <w:tcPr>
            <w:tcW w:type="dxa" w:w="312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This is a marketing problem, not a product problem. The newsletter, lead magnet, and SaaSBoomi presence are the levers. If buyers don't know about DPDP, you are not the product — you are the category creator.</w:t>
            </w:r>
          </w:p>
        </w:tc>
      </w:tr>
      <w:tr>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CA partner channel slower to activate than projected</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Low</w:t>
            </w:r>
          </w:p>
        </w:tc>
        <w:tc>
          <w:tcPr>
            <w:tcW w:type="dxa" w:w="312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CA partnerships are a month 4–6 initiative. If they don't activate by month 8, increase direct content/inbound spend instead. The CA channel is additive, not the primary motion.</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11. Immediate Next Steps — This Week</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Before Writing a Line of Code</w:t>
      </w:r>
    </w:p>
    <w:p>
      <w:pPr>
        <w:spacing w:after="60" w:before="60"/>
      </w:pPr>
      <w:r>
        <w:rPr>
          <w:color w:val="1C1C1C"/>
          <w:sz w:val="20"/>
          <w:szCs w:val="20"/>
        </w:rPr>
        <w:t xml:space="preserve">The most valuable use of the first 2 weeks is customer discovery. Here is the exact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thick" w:color="2E86AB" w:sz="12"/>
              <w:bottom w:val="single" w:color="AED6F1" w:sz="1"/>
              <w:right w:val="single" w:color="AED6F1" w:sz="1"/>
            </w:tcBorders>
            <w:shd w:fill="EAF4FB" w:val="clear"/>
            <w:tcMar>
              <w:top w:type="dxa" w:w="100"/>
              <w:left w:type="dxa" w:w="180"/>
              <w:bottom w:type="dxa" w:w="100"/>
              <w:right w:type="dxa" w:w="140"/>
            </w:tcMar>
          </w:tcPr>
          <w:p>
            <w:pPr>
              <w:spacing w:after="0" w:before="0"/>
            </w:pPr>
            <w:r>
              <w:rPr>
                <w:b/>
                <w:bCs/>
                <w:color w:val="1B4F72"/>
                <w:sz w:val="20"/>
                <w:szCs w:val="20"/>
              </w:rPr>
              <w:t xml:space="preserve">The Question: </w:t>
            </w:r>
            <w:r>
              <w:rPr>
                <w:b/>
                <w:bCs/>
                <w:color w:val="1B4F72"/>
                <w:sz w:val="20"/>
                <w:szCs w:val="20"/>
              </w:rPr>
              <w:t xml:space="preserve">We're building a tool that automates DPDP compliance for Indian startups — consent banners, data inventory, rights management, audit trail. We're thinking ₹3,000–₹6,000/month. Are you currently paying for anything to solve this? Would you pay that amount for a tool that meant you never had to think about DPDP again?</w:t>
            </w:r>
          </w:p>
        </w:tc>
      </w:tr>
    </w:tbl>
    <w:p>
      <w:pPr>
        <w:spacing w:after="0" w:before="80"/>
      </w:pPr>
    </w:p>
    <w:p>
      <w:pPr>
        <w:spacing w:after="0" w:before="140"/>
      </w:pPr>
    </w:p>
    <w:p>
      <w:pPr>
        <w:pStyle w:val="Heading2"/>
        <w:spacing w:after="80" w:before="0"/>
      </w:pPr>
      <w:r>
        <w:rPr>
          <w:rFonts w:ascii="Arial" w:cs="Arial" w:eastAsia="Arial" w:hAnsi="Arial"/>
          <w:b/>
          <w:bCs/>
          <w:color w:val="2E86AB"/>
          <w:sz w:val="28"/>
          <w:szCs w:val="28"/>
        </w:rPr>
        <w:t xml:space="preserve">Week 1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1</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List 20 Indian SaaS founders you can reach directly (LinkedIn, WhatsApp, mutual connections). Target people running companies with 5–50 employees and a live digital product.</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Book 20 × 20-minute calls. Not demos — conversations. You are listening, not selling.</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3</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Register the domain. Set up the landing page (one page: problem, solution, email waitlist). No product demo yet.</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4</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Register for ABDM Sandbox at sandbox.abdm.gov.in. This takes under a week and unlocks the ABDM integration path.</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5</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Join SaaSBoomi Slack (if not already a member) and iSPIRT volunteer mailing list.</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Week 2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6</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Complete 20 customer discovery calls. Note verbatim how they describe the problem (this language becomes your copy).</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7</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Tally: How many said yes to paying? If 3+, proceed to build. If fewer than 3, iterate the problem framing and run another 10 calls.</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8</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Map 5 clinics near you in Hyderabad for future ABDM pilots. Ask for introductions through your medical network. No cold outreach at this stage.</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9</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Set up the tech foundation: Vercel project, Clerk org, Postgres on Supabase, Razorpay test account, Resend domain verification.</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10</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Write the first DPDP newsletter draft. Publish it whether or not the product is live — it builds the audience that will buy.</w:t>
            </w:r>
          </w:p>
        </w:tc>
      </w:tr>
    </w:tbl>
    <w:p>
      <w:pPr>
        <w:spacing w:after="0" w:before="100"/>
      </w:pPr>
    </w:p>
    <w:p>
      <w:pPr>
        <w:spacing w:after="0" w:before="140"/>
      </w:pPr>
    </w:p>
    <w:p>
      <w:pPr>
        <w:pStyle w:val="Heading2"/>
        <w:spacing w:after="80" w:before="0"/>
      </w:pPr>
      <w:r>
        <w:rPr>
          <w:rFonts w:ascii="Arial" w:cs="Arial" w:eastAsia="Arial" w:hAnsi="Arial"/>
          <w:b/>
          <w:bCs/>
          <w:color w:val="2E86AB"/>
          <w:sz w:val="28"/>
          <w:szCs w:val="28"/>
        </w:rPr>
        <w:t xml:space="preserve">Definition of Done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Deliverable</w:t>
            </w:r>
          </w:p>
        </w:tc>
        <w:tc>
          <w:tcPr>
            <w:tcW w:type="dxa" w:w="4680"/>
            <w:gridSpan w:val="1"/>
            <w:tcBorders>
              <w:top w:val="single" w:color="C8D6E5" w:sz="1"/>
              <w:left w:val="single" w:color="C8D6E5" w:sz="1"/>
              <w:bottom w:val="single" w:color="C8D6E5" w:sz="1"/>
              <w:right w:val="single" w:color="C8D6E5" w:sz="1"/>
            </w:tcBorders>
            <w:shd w:fill="D6EAF8" w:val="clear"/>
            <w:tcMar>
              <w:top w:type="dxa" w:w="80"/>
              <w:left w:type="dxa" w:w="140"/>
              <w:bottom w:type="dxa" w:w="80"/>
              <w:right w:type="dxa" w:w="140"/>
            </w:tcMar>
          </w:tcPr>
          <w:p>
            <w:pPr>
              <w:spacing w:after="0" w:before="0"/>
            </w:pPr>
            <w:r>
              <w:rPr>
                <w:b/>
                <w:bCs/>
                <w:color w:val="1B4F72"/>
                <w:sz w:val="20"/>
                <w:szCs w:val="20"/>
              </w:rPr>
              <w:t xml:space="preserve">Success Criterion</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Customer Discovery</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20 conversations completed. 3+ verbal commitments to pay ₹2,999–₹5,999/month.</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MVP Launch</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Consent banner builder, privacy notice generator, data inventory, breach template, dashboard — all live on production.</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First Revenue</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5 customers on paid Starter plan. ₹15,000 MRR. Razorpay subscription active.</w:t>
            </w:r>
          </w:p>
        </w:tc>
      </w:tr>
      <w:tr>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Content Engine Live</w:t>
            </w:r>
          </w:p>
        </w:tc>
        <w:tc>
          <w:tcPr>
            <w:tcW w:type="dxa" w:w="4680"/>
            <w:gridSpan w:val="1"/>
            <w:tcBorders>
              <w:top w:val="single" w:color="C8D6E5" w:sz="1"/>
              <w:left w:val="single" w:color="C8D6E5" w:sz="1"/>
              <w:bottom w:val="single" w:color="C8D6E5" w:sz="1"/>
              <w:right w:val="single" w:color="C8D6E5" w:sz="1"/>
            </w:tcBorders>
            <w:shd w:fill="F2F8FD" w:val="clear"/>
            <w:tcMar>
              <w:top w:type="dxa" w:w="80"/>
              <w:left w:type="dxa" w:w="140"/>
              <w:bottom w:type="dxa" w:w="80"/>
              <w:right w:type="dxa" w:w="140"/>
            </w:tcMar>
          </w:tcPr>
          <w:p>
            <w:pPr>
              <w:spacing w:after="0" w:before="0"/>
            </w:pPr>
            <w:r>
              <w:rPr>
                <w:b w:val="false"/>
                <w:bCs w:val="false"/>
                <w:color w:val="1C1C1C"/>
                <w:sz w:val="19"/>
                <w:szCs w:val="19"/>
              </w:rPr>
              <w:t xml:space="preserve">DPDP newsletter has 500+ subscribers. DPDP Checklist has been downloaded 200+ times.</w:t>
            </w:r>
          </w:p>
        </w:tc>
      </w:tr>
      <w:tr>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ABDM Ready</w:t>
            </w:r>
          </w:p>
        </w:tc>
        <w:tc>
          <w:tcPr>
            <w:tcW w:type="dxa" w:w="4680"/>
            <w:gridSpan w:val="1"/>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pPr>
              <w:spacing w:after="0" w:before="0"/>
            </w:pPr>
            <w:r>
              <w:rPr>
                <w:b w:val="false"/>
                <w:bCs w:val="false"/>
                <w:color w:val="1C1C1C"/>
                <w:sz w:val="19"/>
                <w:szCs w:val="19"/>
              </w:rPr>
              <w:t xml:space="preserve">Sandbox access approved. First clinic pilot conversation held in person.</w:t>
            </w:r>
          </w:p>
        </w:tc>
      </w:tr>
    </w:tbl>
    <w:p>
      <w:pPr>
        <w:spacing w:after="0" w:before="100"/>
      </w:pPr>
    </w:p>
    <w:p>
      <w:pPr>
        <w:spacing w:after="0" w:before="200"/>
      </w:pPr>
    </w:p>
    <w:p>
      <w:pPr>
        <w:pStyle w:val="Heading1"/>
        <w:spacing w:after="60" w:before="0"/>
      </w:pPr>
      <w:r>
        <w:rPr>
          <w:rFonts w:ascii="Arial" w:cs="Arial" w:eastAsia="Arial" w:hAnsi="Arial"/>
          <w:b/>
          <w:bCs/>
          <w:color w:val="1B4F72"/>
          <w:sz w:val="40"/>
          <w:szCs w:val="40"/>
        </w:rPr>
        <w:t xml:space="preserve">12. Appendix — Key Resources</w:t>
      </w:r>
    </w:p>
    <w:p>
      <w:pPr>
        <w:pBdr>
          <w:bottom w:val="single" w:color="AED6F1" w:sz="6" w:space="1"/>
        </w:pBdr>
        <w:spacing w:after="120" w:before="0"/>
      </w:pPr>
    </w:p>
    <w:p>
      <w:pPr>
        <w:spacing w:after="0" w:before="140"/>
      </w:pPr>
    </w:p>
    <w:p>
      <w:pPr>
        <w:pStyle w:val="Heading2"/>
        <w:spacing w:after="80" w:before="0"/>
      </w:pPr>
      <w:r>
        <w:rPr>
          <w:rFonts w:ascii="Arial" w:cs="Arial" w:eastAsia="Arial" w:hAnsi="Arial"/>
          <w:b/>
          <w:bCs/>
          <w:color w:val="2E86AB"/>
          <w:sz w:val="28"/>
          <w:szCs w:val="28"/>
        </w:rPr>
        <w:t xml:space="preserve">Regulatory &amp; Legal</w:t>
      </w:r>
    </w:p>
    <w:p>
      <w:pPr>
        <w:pStyle w:val="ListParagraph"/>
        <w:numPr>
          <w:ilvl w:val="0"/>
          <w:numId w:val="2"/>
        </w:numPr>
        <w:spacing w:after="40" w:before="40"/>
      </w:pPr>
      <w:r>
        <w:rPr>
          <w:color w:val="1C1C1C"/>
          <w:sz w:val="20"/>
          <w:szCs w:val="20"/>
        </w:rPr>
        <w:t xml:space="preserve">DPDP Act 2023 + Rules 2025: meity.gov.in</w:t>
      </w:r>
    </w:p>
    <w:p>
      <w:pPr>
        <w:pStyle w:val="ListParagraph"/>
        <w:numPr>
          <w:ilvl w:val="0"/>
          <w:numId w:val="2"/>
        </w:numPr>
        <w:spacing w:after="40" w:before="40"/>
      </w:pPr>
      <w:r>
        <w:rPr>
          <w:color w:val="1C1C1C"/>
          <w:sz w:val="20"/>
          <w:szCs w:val="20"/>
        </w:rPr>
        <w:t xml:space="preserve">Data Protection Board of India: dpboard.gov.in</w:t>
      </w:r>
    </w:p>
    <w:p>
      <w:pPr>
        <w:pStyle w:val="ListParagraph"/>
        <w:numPr>
          <w:ilvl w:val="0"/>
          <w:numId w:val="2"/>
        </w:numPr>
        <w:spacing w:after="40" w:before="40"/>
      </w:pPr>
      <w:r>
        <w:rPr>
          <w:color w:val="1C1C1C"/>
          <w:sz w:val="20"/>
          <w:szCs w:val="20"/>
        </w:rPr>
        <w:t xml:space="preserve">DPDP Rules Gazette Notification: Official text, notified 13 November 2025</w:t>
      </w:r>
    </w:p>
    <w:p>
      <w:pPr>
        <w:spacing w:after="0" w:before="140"/>
      </w:pPr>
    </w:p>
    <w:p>
      <w:pPr>
        <w:pStyle w:val="Heading2"/>
        <w:spacing w:after="80" w:before="0"/>
      </w:pPr>
      <w:r>
        <w:rPr>
          <w:rFonts w:ascii="Arial" w:cs="Arial" w:eastAsia="Arial" w:hAnsi="Arial"/>
          <w:b/>
          <w:bCs/>
          <w:color w:val="2E86AB"/>
          <w:sz w:val="28"/>
          <w:szCs w:val="28"/>
        </w:rPr>
        <w:t xml:space="preserve">ABDM / Health Stack</w:t>
      </w:r>
    </w:p>
    <w:p>
      <w:pPr>
        <w:pStyle w:val="ListParagraph"/>
        <w:numPr>
          <w:ilvl w:val="0"/>
          <w:numId w:val="2"/>
        </w:numPr>
        <w:spacing w:after="40" w:before="40"/>
      </w:pPr>
      <w:r>
        <w:rPr>
          <w:color w:val="1C1C1C"/>
          <w:sz w:val="20"/>
          <w:szCs w:val="20"/>
        </w:rPr>
        <w:t xml:space="preserve">ABDM Sandbox: sandbox.abdm.gov.in</w:t>
      </w:r>
    </w:p>
    <w:p>
      <w:pPr>
        <w:pStyle w:val="ListParagraph"/>
        <w:numPr>
          <w:ilvl w:val="0"/>
          <w:numId w:val="2"/>
        </w:numPr>
        <w:spacing w:after="40" w:before="40"/>
      </w:pPr>
      <w:r>
        <w:rPr>
          <w:color w:val="1C1C1C"/>
          <w:sz w:val="20"/>
          <w:szCs w:val="20"/>
        </w:rPr>
        <w:t xml:space="preserve">NHA Developer Portal: nha.gov.in</w:t>
      </w:r>
    </w:p>
    <w:p>
      <w:pPr>
        <w:pStyle w:val="ListParagraph"/>
        <w:numPr>
          <w:ilvl w:val="0"/>
          <w:numId w:val="2"/>
        </w:numPr>
        <w:spacing w:after="40" w:before="40"/>
      </w:pPr>
      <w:r>
        <w:rPr>
          <w:color w:val="1C1C1C"/>
          <w:sz w:val="20"/>
          <w:szCs w:val="20"/>
        </w:rPr>
        <w:t xml:space="preserve">Google ABDM FHIR Wrapper: github.com/google-cloud/healthcare-data-harmonization</w:t>
      </w:r>
    </w:p>
    <w:p>
      <w:pPr>
        <w:spacing w:after="0" w:before="140"/>
      </w:pPr>
    </w:p>
    <w:p>
      <w:pPr>
        <w:pStyle w:val="Heading2"/>
        <w:spacing w:after="80" w:before="0"/>
      </w:pPr>
      <w:r>
        <w:rPr>
          <w:rFonts w:ascii="Arial" w:cs="Arial" w:eastAsia="Arial" w:hAnsi="Arial"/>
          <w:b/>
          <w:bCs/>
          <w:color w:val="2E86AB"/>
          <w:sz w:val="28"/>
          <w:szCs w:val="28"/>
        </w:rPr>
        <w:t xml:space="preserve">iSPIRT &amp; India Stack</w:t>
      </w:r>
    </w:p>
    <w:p>
      <w:pPr>
        <w:pStyle w:val="ListParagraph"/>
        <w:numPr>
          <w:ilvl w:val="0"/>
          <w:numId w:val="2"/>
        </w:numPr>
        <w:spacing w:after="40" w:before="40"/>
      </w:pPr>
      <w:r>
        <w:rPr>
          <w:color w:val="1C1C1C"/>
          <w:sz w:val="20"/>
          <w:szCs w:val="20"/>
        </w:rPr>
        <w:t xml:space="preserve">iSPIRT Foundation: ispirit.in</w:t>
      </w:r>
    </w:p>
    <w:p>
      <w:pPr>
        <w:pStyle w:val="ListParagraph"/>
        <w:numPr>
          <w:ilvl w:val="0"/>
          <w:numId w:val="2"/>
        </w:numPr>
        <w:spacing w:after="40" w:before="40"/>
      </w:pPr>
      <w:r>
        <w:rPr>
          <w:color w:val="1C1C1C"/>
          <w:sz w:val="20"/>
          <w:szCs w:val="20"/>
        </w:rPr>
        <w:t xml:space="preserve">IndiaStack overview: indiastack.org</w:t>
      </w:r>
    </w:p>
    <w:p>
      <w:pPr>
        <w:pStyle w:val="ListParagraph"/>
        <w:numPr>
          <w:ilvl w:val="0"/>
          <w:numId w:val="2"/>
        </w:numPr>
        <w:spacing w:after="40" w:before="40"/>
      </w:pPr>
      <w:r>
        <w:rPr>
          <w:color w:val="1C1C1C"/>
          <w:sz w:val="20"/>
          <w:szCs w:val="20"/>
        </w:rPr>
        <w:t xml:space="preserve">DEPA framework: github.com/iSPIRT/depa-training</w:t>
      </w:r>
    </w:p>
    <w:p>
      <w:pPr>
        <w:spacing w:after="0" w:before="140"/>
      </w:pPr>
    </w:p>
    <w:p>
      <w:pPr>
        <w:pStyle w:val="Heading2"/>
        <w:spacing w:after="80" w:before="0"/>
      </w:pPr>
      <w:r>
        <w:rPr>
          <w:rFonts w:ascii="Arial" w:cs="Arial" w:eastAsia="Arial" w:hAnsi="Arial"/>
          <w:b/>
          <w:bCs/>
          <w:color w:val="2E86AB"/>
          <w:sz w:val="28"/>
          <w:szCs w:val="28"/>
        </w:rPr>
        <w:t xml:space="preserve">Community &amp; Distribution</w:t>
      </w:r>
    </w:p>
    <w:p>
      <w:pPr>
        <w:pStyle w:val="ListParagraph"/>
        <w:numPr>
          <w:ilvl w:val="0"/>
          <w:numId w:val="2"/>
        </w:numPr>
        <w:spacing w:after="40" w:before="40"/>
      </w:pPr>
      <w:r>
        <w:rPr>
          <w:color w:val="1C1C1C"/>
          <w:sz w:val="20"/>
          <w:szCs w:val="20"/>
        </w:rPr>
        <w:t xml:space="preserve">SaaSBoomi (Indian SaaS community): saasboomi.com</w:t>
      </w:r>
    </w:p>
    <w:p>
      <w:pPr>
        <w:pStyle w:val="ListParagraph"/>
        <w:numPr>
          <w:ilvl w:val="0"/>
          <w:numId w:val="2"/>
        </w:numPr>
        <w:spacing w:after="40" w:before="40"/>
      </w:pPr>
      <w:r>
        <w:rPr>
          <w:color w:val="1C1C1C"/>
          <w:sz w:val="20"/>
          <w:szCs w:val="20"/>
        </w:rPr>
        <w:t xml:space="preserve">T-Hub Hyderabad: t-hub.co</w:t>
      </w:r>
    </w:p>
    <w:p>
      <w:pPr>
        <w:pStyle w:val="ListParagraph"/>
        <w:numPr>
          <w:ilvl w:val="0"/>
          <w:numId w:val="2"/>
        </w:numPr>
        <w:spacing w:after="40" w:before="40"/>
      </w:pPr>
      <w:r>
        <w:rPr>
          <w:color w:val="1C1C1C"/>
          <w:sz w:val="20"/>
          <w:szCs w:val="20"/>
        </w:rPr>
        <w:t xml:space="preserve">IMA-Telangana: imatsioffice.com</w:t>
      </w:r>
    </w:p>
    <w:p>
      <w:pPr>
        <w:spacing w:after="0" w:before="140"/>
      </w:pPr>
    </w:p>
    <w:p>
      <w:pPr>
        <w:pStyle w:val="Heading2"/>
        <w:spacing w:after="80" w:before="0"/>
      </w:pPr>
      <w:r>
        <w:rPr>
          <w:rFonts w:ascii="Arial" w:cs="Arial" w:eastAsia="Arial" w:hAnsi="Arial"/>
          <w:b/>
          <w:bCs/>
          <w:color w:val="2E86AB"/>
          <w:sz w:val="28"/>
          <w:szCs w:val="28"/>
        </w:rPr>
        <w:t xml:space="preserve">Tooling &amp; Tech</w:t>
      </w:r>
    </w:p>
    <w:p>
      <w:pPr>
        <w:pStyle w:val="ListParagraph"/>
        <w:numPr>
          <w:ilvl w:val="0"/>
          <w:numId w:val="2"/>
        </w:numPr>
        <w:spacing w:after="40" w:before="40"/>
      </w:pPr>
      <w:r>
        <w:rPr>
          <w:color w:val="1C1C1C"/>
          <w:sz w:val="20"/>
          <w:szCs w:val="20"/>
        </w:rPr>
        <w:t xml:space="preserve">Clerk (auth + multi-tenant): clerk.com</w:t>
      </w:r>
    </w:p>
    <w:p>
      <w:pPr>
        <w:pStyle w:val="ListParagraph"/>
        <w:numPr>
          <w:ilvl w:val="0"/>
          <w:numId w:val="2"/>
        </w:numPr>
        <w:spacing w:after="40" w:before="40"/>
      </w:pPr>
      <w:r>
        <w:rPr>
          <w:color w:val="1C1C1C"/>
          <w:sz w:val="20"/>
          <w:szCs w:val="20"/>
        </w:rPr>
        <w:t xml:space="preserve">Drizzle ORM: orm.drizzle.team</w:t>
      </w:r>
    </w:p>
    <w:p>
      <w:pPr>
        <w:pStyle w:val="ListParagraph"/>
        <w:numPr>
          <w:ilvl w:val="0"/>
          <w:numId w:val="2"/>
        </w:numPr>
        <w:spacing w:after="40" w:before="40"/>
      </w:pPr>
      <w:r>
        <w:rPr>
          <w:color w:val="1C1C1C"/>
          <w:sz w:val="20"/>
          <w:szCs w:val="20"/>
        </w:rPr>
        <w:t xml:space="preserve">Razorpay Subscriptions: razorpay.com/subscriptions</w:t>
      </w:r>
    </w:p>
    <w:p>
      <w:pPr>
        <w:pStyle w:val="ListParagraph"/>
        <w:numPr>
          <w:ilvl w:val="0"/>
          <w:numId w:val="2"/>
        </w:numPr>
        <w:spacing w:after="40" w:before="40"/>
      </w:pPr>
      <w:r>
        <w:rPr>
          <w:color w:val="1C1C1C"/>
          <w:sz w:val="20"/>
          <w:szCs w:val="20"/>
        </w:rPr>
        <w:t xml:space="preserve">Resend (email): resend.com</w:t>
      </w:r>
    </w:p>
    <w:p>
      <w:pPr>
        <w:spacing w:after="60" w:before="60"/>
      </w:pPr>
      <w:r>
        <w:rPr>
          <w:i/>
          <w:iCs/>
          <w:color w:val="1C1C1C"/>
          <w:sz w:val="20"/>
          <w:szCs w:val="20"/>
        </w:rPr>
        <w:t xml:space="preserve">Document prepared April 2026. This is a living document — update enforcement timeline dates, competitive landscape, and MRR projections quarterly. The regulatory calendar is the primary driver of all marketing claims; verify dates at meity.gov.in before any external use.</w:t>
      </w:r>
    </w:p>
    <w:p>
      <w:pPr>
        <w:spacing w:after="80" w:before="0"/>
      </w:pPr>
      <w:r>
        <w:rPr>
          <w:b/>
          <w:bCs/>
          <w:color w:val="1B4F72"/>
          <w:sz w:val="22"/>
          <w:szCs w:val="22"/>
        </w:rPr>
        <w:t xml:space="preserve">consentshield.in  ·  Hyderabad, India</w:t>
      </w:r>
      <w:r>
        <w:rPr>
          <w:color w:val="5D6D7E"/>
          <w:sz w:val="22"/>
          <w:szCs w:val="22"/>
        </w:rPr>
        <w:t xml:space="preserve">   |   </w:t>
      </w:r>
      <w:r>
        <w:rPr>
          <w:i/>
          <w:iCs/>
          <w:color w:val="5D6D7E"/>
          <w:sz w:val="22"/>
          <w:szCs w:val="22"/>
        </w:rPr>
        <w:t xml:space="preserve">Page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D7E"/>
        <w:sz w:val="16"/>
        <w:szCs w:val="16"/>
      </w:rPr>
      <w:t xml:space="preserve">ConsentShield — Confidential · April 2026   |   Page </w:t>
    </w:r>
    <w:r>
      <w:rPr>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00"/>
      <w:outlineLvl w:val="0"/>
    </w:pPr>
    <w:rPr>
      <w:rFonts w:ascii="Arial" w:cs="Arial" w:eastAsia="Arial" w:hAnsi="Arial"/>
      <w:b/>
      <w:bCs/>
      <w:color w:val="1B4F72"/>
      <w:sz w:val="40"/>
      <w:szCs w:val="40"/>
    </w:rPr>
  </w:style>
  <w:style w:type="paragraph" w:styleId="Heading2">
    <w:name w:val="Heading 2"/>
    <w:basedOn w:val="Normal"/>
    <w:next w:val="Normal"/>
    <w:qFormat/>
    <w:pPr>
      <w:spacing w:after="80" w:before="14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2026-04-11T12:05:18.820Z</dcterms:created>
  <dcterms:modified xsi:type="dcterms:W3CDTF">2026-04-11T12:05:18.821Z</dcterms:modified>
</cp:coreProperties>
</file>

<file path=docProps/custom.xml><?xml version="1.0" encoding="utf-8"?>
<Properties xmlns="http://schemas.openxmlformats.org/officeDocument/2006/custom-properties" xmlns:vt="http://schemas.openxmlformats.org/officeDocument/2006/docPropsVTypes"/>
</file>