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left"/>
      </w:pPr>
      <w:r>
        <w:rPr>
          <w:rFonts w:ascii="Arial" w:cs="Arial" w:eastAsia="Arial" w:hAnsi="Arial"/>
          <w:b/>
          <w:bCs/>
          <w:color w:val="1B2A4A"/>
          <w:sz w:val="56"/>
          <w:szCs w:val="56"/>
        </w:rPr>
        <w:t xml:space="preserve">CONSENTSHIELD</w:t>
      </w:r>
    </w:p>
    <w:p>
      <w:pPr>
        <w:pBdr>
          <w:bottom w:val="single" w:color="0D9488" w:sz="8" w:space="8"/>
        </w:pBdr>
        <w:spacing w:after="80"/>
        <w:jc w:val="left"/>
      </w:pPr>
      <w:r>
        <w:rPr>
          <w:rFonts w:ascii="Arial" w:cs="Arial" w:eastAsia="Arial" w:hAnsi="Arial"/>
          <w:color w:val="0D9488"/>
          <w:sz w:val="32"/>
          <w:szCs w:val="32"/>
        </w:rPr>
        <w:t xml:space="preserve">India’s Compliance Enforcement Engine</w:t>
      </w:r>
    </w:p>
    <w:p>
      <w:pPr>
        <w:spacing w:after="0" w:before="600"/>
      </w:pPr>
    </w:p>
    <w:p>
      <w:pPr>
        <w:spacing w:after="160" w:line="380"/>
      </w:pPr>
      <w:r>
        <w:rPr>
          <w:rFonts w:ascii="Arial" w:cs="Arial" w:eastAsia="Arial" w:hAnsi="Arial"/>
          <w:color w:val="6B7280"/>
          <w:sz w:val="24"/>
          <w:szCs w:val="24"/>
        </w:rPr>
        <w:t xml:space="preserve">A platform that doesn’t just document compliance — it monitors, verifies, and enforces it. Built specifically for India’s Digital Personal Data Protection Act, with expansion into GDPR and ABDM healthcare.</w:t>
      </w:r>
    </w:p>
    <w:p>
      <w:pPr>
        <w:spacing w:after="0" w:before="1200"/>
      </w:pPr>
    </w:p>
    <w:p>
      <w:pPr>
        <w:spacing w:after="80"/>
      </w:pPr>
      <w:r>
        <w:rPr>
          <w:rFonts w:ascii="Arial" w:cs="Arial" w:eastAsia="Arial" w:hAnsi="Arial"/>
          <w:b/>
          <w:bCs/>
          <w:color w:val="1B2A4A"/>
          <w:sz w:val="24"/>
          <w:szCs w:val="24"/>
        </w:rPr>
        <w:t xml:space="preserve">Partnership Overview</w:t>
      </w:r>
    </w:p>
    <w:p>
      <w:pPr>
        <w:spacing w:after="80"/>
      </w:pPr>
      <w:r>
        <w:rPr>
          <w:rFonts w:ascii="Arial" w:cs="Arial" w:eastAsia="Arial" w:hAnsi="Arial"/>
          <w:color w:val="6B7280"/>
          <w:sz w:val="20"/>
          <w:szCs w:val="20"/>
        </w:rPr>
        <w:t xml:space="preserve">Confidential — April 2026</w:t>
      </w:r>
    </w:p>
    <w:p>
      <w:r>
        <w:rPr>
          <w:rFonts w:ascii="Arial" w:cs="Arial" w:eastAsia="Arial" w:hAnsi="Arial"/>
          <w:color w:val="6B7280"/>
          <w:sz w:val="20"/>
          <w:szCs w:val="20"/>
        </w:rPr>
        <w:t xml:space="preserve">Hyderabad, India</w:t>
      </w:r>
    </w:p>
    <w:p>
      <w:pPr>
        <w:sectPr>
          <w:pgSz w:w="11906" w:h="16838" w:orient="portrait"/>
          <w:pgMar w:top="1440" w:right="1440" w:bottom="1440" w:left="1440" w:header="708" w:footer="708" w:gutter="0"/>
          <w:pgNumType/>
          <w:docGrid w:linePitch="360"/>
        </w:sectPr>
      </w:pPr>
    </w:p>
    <w:p>
      <w:pPr>
        <w:pStyle w:val="Heading1"/>
        <w:keepNext/>
        <w:keepLines/>
        <w:spacing w:after="200" w:before="400"/>
      </w:pPr>
      <w:r>
        <w:rPr>
          <w:rFonts w:ascii="Arial" w:cs="Arial" w:eastAsia="Arial" w:hAnsi="Arial"/>
          <w:b/>
          <w:bCs/>
          <w:color w:val="1B2A4A"/>
          <w:sz w:val="36"/>
          <w:szCs w:val="36"/>
        </w:rPr>
        <w:t xml:space="preserve">The Opportunity</w:t>
      </w:r>
    </w:p>
    <w:p>
      <w:pPr>
        <w:spacing w:after="80" w:before="80" w:line="340"/>
        <w:jc w:val="left"/>
      </w:pPr>
      <w:r>
        <w:rPr>
          <w:rFonts w:ascii="Arial" w:cs="Arial" w:eastAsia="Arial" w:hAnsi="Arial"/>
          <w:color w:val="374151"/>
          <w:sz w:val="22"/>
          <w:szCs w:val="22"/>
        </w:rPr>
        <w:t xml:space="preserve">India’s Digital Personal Data Protection Act was enacted in 2023. The DPDP Rules were notified on 13 November 2025. Full enforcement — including penalties of up to ₹250 crore per violation — begins on 13 May 2027.</w:t>
      </w:r>
    </w:p>
    <w:p>
      <w:pPr>
        <w:spacing w:after="80" w:before="80" w:line="340"/>
        <w:jc w:val="left"/>
      </w:pPr>
      <w:r>
        <w:rPr>
          <w:rFonts w:ascii="Arial" w:cs="Arial" w:eastAsia="Arial" w:hAnsi="Arial"/>
          <w:color w:val="374151"/>
          <w:sz w:val="22"/>
          <w:szCs w:val="22"/>
        </w:rPr>
        <w:t xml:space="preserve">Every company processing personal data of Indian residents now needs a compliant consent system, a data inventory, a rights-management workflow, and an audit trail. Over 400,000 businesses are affected. An EY survey found that nearly 70% of professionals across sectors are not fully familiar with their obligations under the Act.</w:t>
      </w:r>
    </w:p>
    <w:p>
      <w:pPr>
        <w:spacing w:after="80" w:before="80" w:line="340"/>
        <w:jc w:val="left"/>
      </w:pPr>
      <w:r>
        <w:rPr>
          <w:rFonts w:ascii="Arial" w:cs="Arial" w:eastAsia="Arial" w:hAnsi="Arial"/>
          <w:color w:val="374151"/>
          <w:sz w:val="22"/>
          <w:szCs w:val="22"/>
        </w:rPr>
        <w:t xml:space="preserve">No India-native product currently owns this space as a compliance enforcement platform. The existing alternatives are either expensive international GRC tools built for GDPR, generic Indian compliance consultancies offering one-time legal engagements, or early-stage consent management tools that document compliance without verifying it.</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9488" w:sz="1"/>
              <w:left w:val="single" w:color="0D9488" w:sz="12"/>
              <w:bottom w:val="single" w:color="0D9488" w:sz="1"/>
              <w:right w:val="single" w:color="0D9488" w:sz="1"/>
            </w:tcBorders>
            <w:shd w:fill="E6F5F3" w:val="clear"/>
            <w:tcMar>
              <w:top w:type="dxa" w:w="160"/>
              <w:left w:type="dxa" w:w="240"/>
              <w:bottom w:type="dxa" w:w="160"/>
              <w:right w:type="dxa" w:w="240"/>
            </w:tcMar>
          </w:tcPr>
          <w:p>
            <w:pPr>
              <w:spacing w:after="0" w:before="0" w:line="340"/>
            </w:pPr>
            <w:r>
              <w:rPr>
                <w:rFonts w:ascii="Arial" w:cs="Arial" w:eastAsia="Arial" w:hAnsi="Arial"/>
                <w:i/>
                <w:iCs/>
                <w:color w:val="1B2A4A"/>
                <w:sz w:val="22"/>
                <w:szCs w:val="22"/>
              </w:rPr>
              <w:t xml:space="preserve">The window to establish a market-defining position is approximately 12 months before large incumbents — Zoho, Tata Consultancy, or well-funded GDPR tools — enter the Indian market with DPDP modules.</w:t>
            </w:r>
          </w:p>
        </w:tc>
      </w:tr>
    </w:tbl>
    <w:p>
      <w:pPr>
        <w:spacing w:after="0" w:before="100"/>
      </w:pPr>
    </w:p>
    <w:p>
      <w:pPr>
        <w:pBdr>
          <w:bottom w:val="single" w:color="0D9488" w:sz="4" w:space="1"/>
        </w:pBdr>
        <w:spacing w:after="200" w:before="200"/>
      </w:pPr>
    </w:p>
    <w:p>
      <w:pPr>
        <w:pStyle w:val="Heading1"/>
        <w:keepNext/>
        <w:keepLines/>
        <w:spacing w:after="200" w:before="400"/>
      </w:pPr>
      <w:r>
        <w:rPr>
          <w:rFonts w:ascii="Arial" w:cs="Arial" w:eastAsia="Arial" w:hAnsi="Arial"/>
          <w:b/>
          <w:bCs/>
          <w:color w:val="1B2A4A"/>
          <w:sz w:val="36"/>
          <w:szCs w:val="36"/>
        </w:rPr>
        <w:t xml:space="preserve">What ConsentShield Is</w:t>
      </w:r>
    </w:p>
    <w:p>
      <w:pPr>
        <w:spacing w:after="80" w:before="80" w:line="340"/>
        <w:jc w:val="left"/>
      </w:pPr>
      <w:r>
        <w:rPr>
          <w:rFonts w:ascii="Arial" w:cs="Arial" w:eastAsia="Arial" w:hAnsi="Arial"/>
          <w:color w:val="374151"/>
          <w:sz w:val="22"/>
          <w:szCs w:val="22"/>
        </w:rPr>
        <w:t xml:space="preserve">ConsentShield is a B2B SaaS platform that transforms DPDP compliance from a legal burden into an automated, continuously monitored operational system.</w:t>
      </w:r>
    </w:p>
    <w:p>
      <w:pPr>
        <w:spacing w:after="80" w:before="80" w:line="340"/>
        <w:jc w:val="left"/>
      </w:pPr>
      <w:r>
        <w:rPr>
          <w:rFonts w:ascii="Arial" w:cs="Arial" w:eastAsia="Arial" w:hAnsi="Arial"/>
          <w:color w:val="374151"/>
          <w:sz w:val="22"/>
          <w:szCs w:val="22"/>
        </w:rPr>
        <w:t xml:space="preserve">Most compliance tools ask: “Have you configured your consent banner?” and check a box. ConsentShield asks: “Is your consent banner actually being respected by the third-party scripts on your website right now?” — and shows you the answer in real time.</w:t>
      </w:r>
    </w:p>
    <w:p>
      <w:pPr>
        <w:spacing w:after="0" w:before="100"/>
      </w:pPr>
    </w:p>
    <w:p>
      <w:pPr>
        <w:keepNext/>
        <w:keepLines/>
        <w:spacing w:after="100" w:before="200"/>
      </w:pPr>
      <w:r>
        <w:rPr>
          <w:rFonts w:ascii="Arial" w:cs="Arial" w:eastAsia="Arial" w:hAnsi="Arial"/>
          <w:b/>
          <w:bCs/>
          <w:color w:val="0D9488"/>
          <w:sz w:val="24"/>
          <w:szCs w:val="24"/>
        </w:rPr>
        <w:t xml:space="preserve">The Difference: Documentation vs Enforcement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Capability</w:t>
            </w:r>
          </w:p>
        </w:tc>
        <w:tc>
          <w:tcPr>
            <w:tcW w:type="dxa" w:w="300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Documentation Tools</w:t>
            </w:r>
          </w:p>
        </w:tc>
        <w:tc>
          <w:tcPr>
            <w:tcW w:type="dxa" w:w="3009"/>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ConsentShield</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Data inventory</w:t>
            </w:r>
          </w:p>
        </w:tc>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Self-reported form</w:t>
            </w:r>
          </w:p>
        </w:tc>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Auto-discovered from live tracker detection, supplemented by manual input</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Consent verification</w:t>
            </w:r>
          </w:p>
        </w:tc>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“Banner is live” checkbox</w:t>
            </w:r>
          </w:p>
        </w:tc>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Active monitoring: are third-party trackers respecting consent decisions?</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Consent withdrawal</w:t>
            </w:r>
          </w:p>
        </w:tc>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Fire a webhook, hope for the best</w:t>
            </w:r>
          </w:p>
        </w:tc>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Fire webhook, then verify enforcement via automated re-scans</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Data deletion</w:t>
            </w:r>
          </w:p>
        </w:tc>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Reminder that retention expired</w:t>
            </w:r>
          </w:p>
        </w:tc>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Orchestrate deletion across connected systems, collect confirmation receipts</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Security posture</w:t>
            </w:r>
          </w:p>
        </w:tc>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Not addressed</w:t>
            </w:r>
          </w:p>
        </w:tc>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Nightly external scans: SSL, headers, vulnerable libraries</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Compliance score</w:t>
            </w:r>
          </w:p>
        </w:tc>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Based on self-reported configuration</w:t>
            </w:r>
          </w:p>
        </w:tc>
        <w:tc>
          <w:tcPr>
            <w:tcW w:type="dxa" w:w="3009"/>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Based on observed reality — what the system actually detects</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1B2A4A" w:sz="16"/>
              <w:bottom w:val="none" w:sz="0"/>
              <w:right w:val="none" w:sz="0"/>
            </w:tcBorders>
            <w:tcMar>
              <w:top w:type="dxa" w:w="120"/>
              <w:left w:type="dxa" w:w="240"/>
              <w:bottom w:type="dxa" w:w="120"/>
              <w:right w:type="dxa" w:w="120"/>
            </w:tcMar>
          </w:tcPr>
          <w:p>
            <w:pPr>
              <w:spacing w:after="0" w:before="0" w:line="360"/>
            </w:pPr>
            <w:r>
              <w:rPr>
                <w:rFonts w:ascii="Arial" w:cs="Arial" w:eastAsia="Arial" w:hAnsi="Arial"/>
                <w:i/>
                <w:iCs/>
                <w:color w:val="1B2A4A"/>
                <w:sz w:val="24"/>
                <w:szCs w:val="24"/>
              </w:rPr>
              <w:t xml:space="preserve">ConsentShield monitors your website’s actual compliance posture in real time. It detects when third-party trackers violate your consent configuration, verifies that consent withdrawals are enforced, orchestrates data deletion across connected systems, and produces the enforcement evidence that proves compliance to the Data Protection Board.</w:t>
            </w:r>
          </w:p>
        </w:tc>
      </w:tr>
    </w:tbl>
    <w:p>
      <w:pPr>
        <w:pBdr>
          <w:bottom w:val="single" w:color="0D9488" w:sz="4" w:space="1"/>
        </w:pBdr>
        <w:spacing w:after="200" w:before="200"/>
      </w:pPr>
    </w:p>
    <w:p>
      <w:pPr>
        <w:pStyle w:val="Heading1"/>
        <w:keepNext/>
        <w:keepLines/>
        <w:spacing w:after="200" w:before="400"/>
      </w:pPr>
      <w:r>
        <w:rPr>
          <w:rFonts w:ascii="Arial" w:cs="Arial" w:eastAsia="Arial" w:hAnsi="Arial"/>
          <w:b/>
          <w:bCs/>
          <w:color w:val="1B2A4A"/>
          <w:sz w:val="36"/>
          <w:szCs w:val="36"/>
        </w:rPr>
        <w:t xml:space="preserve">Platform Capabilities</w:t>
      </w:r>
    </w:p>
    <w:p>
      <w:pPr>
        <w:spacing w:after="80" w:before="80" w:line="340"/>
        <w:jc w:val="left"/>
      </w:pPr>
      <w:r>
        <w:rPr>
          <w:rFonts w:ascii="Arial" w:cs="Arial" w:eastAsia="Arial" w:hAnsi="Arial"/>
          <w:color w:val="374151"/>
          <w:sz w:val="22"/>
          <w:szCs w:val="22"/>
        </w:rPr>
        <w:t xml:space="preserve">The platform is organised into four capability layers, each building on the previous. Together they cover the full compliance lifecycle from initial consent collection through ongoing enforcement, multi-framework coverage, and healthcare.</w:t>
      </w:r>
    </w:p>
    <w:p>
      <w:pPr>
        <w:spacing w:after="0" w:before="100"/>
      </w:pPr>
    </w:p>
    <w:p>
      <w:pPr>
        <w:pStyle w:val="Heading2"/>
        <w:keepNext/>
        <w:keepLines/>
        <w:spacing w:after="150" w:before="300"/>
      </w:pPr>
      <w:r>
        <w:rPr>
          <w:rFonts w:ascii="Arial" w:cs="Arial" w:eastAsia="Arial" w:hAnsi="Arial"/>
          <w:b/>
          <w:bCs/>
          <w:color w:val="1B2A4A"/>
          <w:sz w:val="28"/>
          <w:szCs w:val="28"/>
        </w:rPr>
        <w:t xml:space="preserve">Compliance Foundation</w:t>
      </w:r>
    </w:p>
    <w:p>
      <w:pPr>
        <w:spacing w:after="80" w:before="80" w:line="340"/>
        <w:jc w:val="left"/>
      </w:pPr>
      <w:r>
        <w:rPr>
          <w:rFonts w:ascii="Arial" w:cs="Arial" w:eastAsia="Arial" w:hAnsi="Arial"/>
          <w:color w:val="374151"/>
          <w:sz w:val="22"/>
          <w:szCs w:val="22"/>
        </w:rPr>
        <w:t xml:space="preserve">The core infrastructure that every customer deploys on day one.</w:t>
      </w:r>
    </w:p>
    <w:p>
      <w:pPr>
        <w:spacing w:after="0" w:before="60"/>
      </w:pPr>
    </w:p>
    <w:p>
      <w:pPr>
        <w:keepNext/>
        <w:keepLines/>
        <w:spacing w:after="100" w:before="200"/>
      </w:pPr>
      <w:r>
        <w:rPr>
          <w:rFonts w:ascii="Arial" w:cs="Arial" w:eastAsia="Arial" w:hAnsi="Arial"/>
          <w:b/>
          <w:bCs/>
          <w:color w:val="0D9488"/>
          <w:sz w:val="24"/>
          <w:szCs w:val="24"/>
        </w:rPr>
        <w:t xml:space="preserve">Consent Banner with Live Monitoring</w:t>
      </w:r>
    </w:p>
    <w:p>
      <w:pPr>
        <w:spacing w:after="80" w:before="80" w:line="340"/>
        <w:jc w:val="left"/>
      </w:pPr>
      <w:r>
        <w:rPr>
          <w:rFonts w:ascii="Arial" w:cs="Arial" w:eastAsia="Arial" w:hAnsi="Arial"/>
          <w:color w:val="374151"/>
          <w:sz w:val="22"/>
          <w:szCs w:val="22"/>
        </w:rPr>
        <w:t xml:space="preserve">A no-code banner builder that generates a CDN-hosted JavaScript snippet. Customers add one script tag to their website. The banner captures granular, purpose-specific consent (analytics, marketing, personalisation) with full audit logging. Unlike any other India-focused tool, the same script monitors what happens after the consent decision — observing which third-party trackers actually fire and whether they respect the user’s choices.</w:t>
      </w:r>
    </w:p>
    <w:p>
      <w:pPr>
        <w:keepNext/>
        <w:keepLines/>
        <w:spacing w:after="100" w:before="200"/>
      </w:pPr>
      <w:r>
        <w:rPr>
          <w:rFonts w:ascii="Arial" w:cs="Arial" w:eastAsia="Arial" w:hAnsi="Arial"/>
          <w:b/>
          <w:bCs/>
          <w:color w:val="0D9488"/>
          <w:sz w:val="24"/>
          <w:szCs w:val="24"/>
        </w:rPr>
        <w:t xml:space="preserve">Tracker Detection Engine</w:t>
      </w:r>
    </w:p>
    <w:p>
      <w:pPr>
        <w:spacing w:after="80" w:before="80" w:line="340"/>
        <w:jc w:val="left"/>
      </w:pPr>
      <w:r>
        <w:rPr>
          <w:rFonts w:ascii="Arial" w:cs="Arial" w:eastAsia="Arial" w:hAnsi="Arial"/>
          <w:color w:val="374151"/>
          <w:sz w:val="22"/>
          <w:szCs w:val="22"/>
        </w:rPr>
        <w:t xml:space="preserve">An embedded intelligence layer that classifies third-party scripts against a curated database of services common on Indian websites: Google Analytics, Meta Pixel, Hotjar, CleverTap, MoEngage, WebEngage, Razorpay, and others. Each detected tracker is mapped to a consent purpose category. Violations — trackers that fire without required consent or before consent is given — are flagged in real time.</w:t>
      </w:r>
    </w:p>
    <w:p>
      <w:pPr>
        <w:keepNext/>
        <w:keepLines/>
        <w:spacing w:after="100" w:before="200"/>
      </w:pPr>
      <w:r>
        <w:rPr>
          <w:rFonts w:ascii="Arial" w:cs="Arial" w:eastAsia="Arial" w:hAnsi="Arial"/>
          <w:b/>
          <w:bCs/>
          <w:color w:val="0D9488"/>
          <w:sz w:val="24"/>
          <w:szCs w:val="24"/>
        </w:rPr>
        <w:t xml:space="preserve">Data Flow Map</w:t>
      </w:r>
    </w:p>
    <w:p>
      <w:pPr>
        <w:spacing w:after="80" w:before="80" w:line="340"/>
        <w:jc w:val="left"/>
      </w:pPr>
      <w:r>
        <w:rPr>
          <w:rFonts w:ascii="Arial" w:cs="Arial" w:eastAsia="Arial" w:hAnsi="Arial"/>
          <w:color w:val="374151"/>
          <w:sz w:val="22"/>
          <w:szCs w:val="22"/>
        </w:rPr>
        <w:t xml:space="preserve">An auto-generated visual of where customer data flows, based on tracker detection. Each detected service is classified by geographic data storage location. Cross-border data flows are identified automatically and compared against the customer’s declared data inventory. Discrepancies are surfaced as alerts.</w:t>
      </w:r>
    </w:p>
    <w:p>
      <w:pPr>
        <w:keepNext/>
        <w:keepLines/>
        <w:spacing w:after="100" w:before="200"/>
      </w:pPr>
      <w:r>
        <w:rPr>
          <w:rFonts w:ascii="Arial" w:cs="Arial" w:eastAsia="Arial" w:hAnsi="Arial"/>
          <w:b/>
          <w:bCs/>
          <w:color w:val="0D9488"/>
          <w:sz w:val="24"/>
          <w:szCs w:val="24"/>
        </w:rPr>
        <w:t xml:space="preserve">Privacy Notice Generator</w:t>
      </w:r>
    </w:p>
    <w:p>
      <w:pPr>
        <w:spacing w:after="80" w:before="80" w:line="340"/>
        <w:jc w:val="left"/>
      </w:pPr>
      <w:r>
        <w:rPr>
          <w:rFonts w:ascii="Arial" w:cs="Arial" w:eastAsia="Arial" w:hAnsi="Arial"/>
          <w:color w:val="374151"/>
          <w:sz w:val="22"/>
          <w:szCs w:val="22"/>
        </w:rPr>
        <w:t xml:space="preserve">A guided wizard that produces a plain-language, legally structured privacy notice containing all disclosures required by the DPDP Act: identity of the data fiduciary, purpose of processing, data categories, retention periods, and rights of the data principal. Outputs a hosted page and downloadable PDF.</w:t>
      </w:r>
    </w:p>
    <w:p>
      <w:pPr>
        <w:keepNext/>
        <w:keepLines/>
        <w:spacing w:after="100" w:before="200"/>
      </w:pPr>
      <w:r>
        <w:rPr>
          <w:rFonts w:ascii="Arial" w:cs="Arial" w:eastAsia="Arial" w:hAnsi="Arial"/>
          <w:b/>
          <w:bCs/>
          <w:color w:val="0D9488"/>
          <w:sz w:val="24"/>
          <w:szCs w:val="24"/>
        </w:rPr>
        <w:t xml:space="preserve">Data Inventory</w:t>
      </w:r>
    </w:p>
    <w:p>
      <w:pPr>
        <w:spacing w:after="80" w:before="80" w:line="340"/>
        <w:jc w:val="left"/>
      </w:pPr>
      <w:r>
        <w:rPr>
          <w:rFonts w:ascii="Arial" w:cs="Arial" w:eastAsia="Arial" w:hAnsi="Arial"/>
          <w:color w:val="374151"/>
          <w:sz w:val="22"/>
          <w:szCs w:val="22"/>
        </w:rPr>
        <w:t xml:space="preserve">A guided form pre-populated with services detected by the tracker monitoring. Customers supplement with non-web data flows. The inventory maps what data is collected, where, for what purpose, how long it is retained, and which third parties are involved. This is the first document a Data Protection Board auditor would request.</w:t>
      </w:r>
    </w:p>
    <w:p>
      <w:pPr>
        <w:keepNext/>
        <w:keepLines/>
        <w:spacing w:after="100" w:before="200"/>
      </w:pPr>
      <w:r>
        <w:rPr>
          <w:rFonts w:ascii="Arial" w:cs="Arial" w:eastAsia="Arial" w:hAnsi="Arial"/>
          <w:b/>
          <w:bCs/>
          <w:color w:val="0D9488"/>
          <w:sz w:val="24"/>
          <w:szCs w:val="24"/>
        </w:rPr>
        <w:t xml:space="preserve">72-Hour Breach Notification Workflow</w:t>
      </w:r>
    </w:p>
    <w:p>
      <w:pPr>
        <w:spacing w:after="80" w:before="80" w:line="340"/>
        <w:jc w:val="left"/>
      </w:pPr>
      <w:r>
        <w:rPr>
          <w:rFonts w:ascii="Arial" w:cs="Arial" w:eastAsia="Arial" w:hAnsi="Arial"/>
          <w:color w:val="374151"/>
          <w:sz w:val="22"/>
          <w:szCs w:val="22"/>
        </w:rPr>
        <w:t xml:space="preserve">A guided end-to-end workflow covering every step from breach detection to regulatory notification: detect, log with timestamp, categorise affected data and users, assess the DPB notification threshold, draft the notification from the data inventory, obtain internal approval, notify affected individuals, submit to the DPB, and complete a post-breach remediation log. Every step is timestamped and attributed to a named user.</w:t>
      </w:r>
    </w:p>
    <w:p>
      <w:pPr>
        <w:keepNext/>
        <w:keepLines/>
        <w:spacing w:after="100" w:before="200"/>
      </w:pPr>
      <w:r>
        <w:rPr>
          <w:rFonts w:ascii="Arial" w:cs="Arial" w:eastAsia="Arial" w:hAnsi="Arial"/>
          <w:b/>
          <w:bCs/>
          <w:color w:val="0D9488"/>
          <w:sz w:val="24"/>
          <w:szCs w:val="24"/>
        </w:rPr>
        <w:t xml:space="preserve">Compliance Dashboard</w:t>
      </w:r>
    </w:p>
    <w:p>
      <w:pPr>
        <w:spacing w:after="80" w:before="80" w:line="340"/>
        <w:jc w:val="left"/>
      </w:pPr>
      <w:r>
        <w:rPr>
          <w:rFonts w:ascii="Arial" w:cs="Arial" w:eastAsia="Arial" w:hAnsi="Arial"/>
          <w:color w:val="374151"/>
          <w:sz w:val="22"/>
          <w:szCs w:val="22"/>
        </w:rPr>
        <w:t xml:space="preserve">A single-screen view of the organisation’s compliance posture. The compliance score is a weighted composite of observed reality — not a checklist of configurations. Components include consent infrastructure (20%), consent enforcement (30%), rights management (15%), data lifecycle (15%), security posture (10%), and audit readiness (10%). A company cannot achieve a green score by filling in forms alone — the enforcement component requires that their website actually respects consent decisions.</w:t>
      </w:r>
    </w:p>
    <w:p>
      <w:pPr>
        <w:keepNext/>
        <w:keepLines/>
        <w:spacing w:after="100" w:before="200"/>
      </w:pPr>
      <w:r>
        <w:rPr>
          <w:rFonts w:ascii="Arial" w:cs="Arial" w:eastAsia="Arial" w:hAnsi="Arial"/>
          <w:b/>
          <w:bCs/>
          <w:color w:val="0D9488"/>
          <w:sz w:val="24"/>
          <w:szCs w:val="24"/>
        </w:rPr>
        <w:t xml:space="preserve">Audit Export Package</w:t>
      </w:r>
    </w:p>
    <w:p>
      <w:pPr>
        <w:spacing w:after="80" w:before="80" w:line="340"/>
        <w:jc w:val="left"/>
      </w:pPr>
      <w:r>
        <w:rPr>
          <w:rFonts w:ascii="Arial" w:cs="Arial" w:eastAsia="Arial" w:hAnsi="Arial"/>
          <w:color w:val="374151"/>
          <w:sz w:val="22"/>
          <w:szCs w:val="22"/>
        </w:rPr>
        <w:t xml:space="preserve">One-click generation of a comprehensive evidence package: consent logs, tracker observations, violation history, processing records, rights request history, breach notifications, and data inventory snapshot. Formatted for DPB inspection. Includes enforcement evidence that no other India-focused tool produces.</w:t>
      </w:r>
    </w:p>
    <w:p>
      <w:r>
        <w:br w:type="page"/>
      </w:r>
    </w:p>
    <w:p>
      <w:pPr>
        <w:pStyle w:val="Heading2"/>
        <w:keepNext/>
        <w:keepLines/>
        <w:spacing w:after="150" w:before="300"/>
      </w:pPr>
      <w:r>
        <w:rPr>
          <w:rFonts w:ascii="Arial" w:cs="Arial" w:eastAsia="Arial" w:hAnsi="Arial"/>
          <w:b/>
          <w:bCs/>
          <w:color w:val="1B2A4A"/>
          <w:sz w:val="28"/>
          <w:szCs w:val="28"/>
        </w:rPr>
        <w:t xml:space="preserve">Enforcement Depth</w:t>
      </w:r>
    </w:p>
    <w:p>
      <w:pPr>
        <w:spacing w:after="80" w:before="80" w:line="340"/>
        <w:jc w:val="left"/>
      </w:pPr>
      <w:r>
        <w:rPr>
          <w:rFonts w:ascii="Arial" w:cs="Arial" w:eastAsia="Arial" w:hAnsi="Arial"/>
          <w:color w:val="374151"/>
          <w:sz w:val="22"/>
          <w:szCs w:val="22"/>
        </w:rPr>
        <w:t xml:space="preserve">Capabilities that deepen enforcement and create ongoing operational value beyond initial setup.</w:t>
      </w:r>
    </w:p>
    <w:p>
      <w:pPr>
        <w:spacing w:after="0" w:before="60"/>
      </w:pPr>
    </w:p>
    <w:p>
      <w:pPr>
        <w:keepNext/>
        <w:keepLines/>
        <w:spacing w:after="100" w:before="200"/>
      </w:pPr>
      <w:r>
        <w:rPr>
          <w:rFonts w:ascii="Arial" w:cs="Arial" w:eastAsia="Arial" w:hAnsi="Arial"/>
          <w:b/>
          <w:bCs/>
          <w:color w:val="0D9488"/>
          <w:sz w:val="24"/>
          <w:szCs w:val="24"/>
        </w:rPr>
        <w:t xml:space="preserve">Data Principal Rights Management</w:t>
      </w:r>
    </w:p>
    <w:p>
      <w:pPr>
        <w:spacing w:after="80" w:before="80" w:line="340"/>
        <w:jc w:val="left"/>
      </w:pPr>
      <w:r>
        <w:rPr>
          <w:rFonts w:ascii="Arial" w:cs="Arial" w:eastAsia="Arial" w:hAnsi="Arial"/>
          <w:color w:val="374151"/>
          <w:sz w:val="22"/>
          <w:szCs w:val="22"/>
        </w:rPr>
        <w:t xml:space="preserve">Full lifecycle management for erasure, access, correction, and nomination requests under the DPDP Act. Each request carries a 30-day SLA timer with automatic reminders. The guided response workflow covers identity verification, data category review, retention-lock checks, response drafting, and completion logging. The complete audit trail is exportable as evidence.</w:t>
      </w:r>
    </w:p>
    <w:p>
      <w:pPr>
        <w:keepNext/>
        <w:keepLines/>
        <w:spacing w:after="100" w:before="200"/>
      </w:pPr>
      <w:r>
        <w:rPr>
          <w:rFonts w:ascii="Arial" w:cs="Arial" w:eastAsia="Arial" w:hAnsi="Arial"/>
          <w:b/>
          <w:bCs/>
          <w:color w:val="0D9488"/>
          <w:sz w:val="24"/>
          <w:szCs w:val="24"/>
        </w:rPr>
        <w:t xml:space="preserve">Consent Withdrawal Verification</w:t>
      </w:r>
    </w:p>
    <w:p>
      <w:pPr>
        <w:spacing w:after="80" w:before="80" w:line="340"/>
        <w:jc w:val="left"/>
      </w:pPr>
      <w:r>
        <w:rPr>
          <w:rFonts w:ascii="Arial" w:cs="Arial" w:eastAsia="Arial" w:hAnsi="Arial"/>
          <w:color w:val="374151"/>
          <w:sz w:val="22"/>
          <w:szCs w:val="22"/>
        </w:rPr>
        <w:t xml:space="preserve">When a user withdraws consent, ConsentShield does not simply fire a webhook and move on. It schedules automated verification scans of the customer’s website to confirm that the relevant trackers actually stopped firing. If trackers persist after withdrawal, ConsentShield generates a red alert with specific tracker names and timestamps, notifies the compliance contact, and decrements the compliance score. This is verifiable enforcement, not assumed compliance.</w:t>
      </w:r>
    </w:p>
    <w:p>
      <w:pPr>
        <w:keepNext/>
        <w:keepLines/>
        <w:spacing w:after="100" w:before="200"/>
      </w:pPr>
      <w:r>
        <w:rPr>
          <w:rFonts w:ascii="Arial" w:cs="Arial" w:eastAsia="Arial" w:hAnsi="Arial"/>
          <w:b/>
          <w:bCs/>
          <w:color w:val="0D9488"/>
          <w:sz w:val="24"/>
          <w:szCs w:val="24"/>
        </w:rPr>
        <w:t xml:space="preserve">Security Posture Monitoring</w:t>
      </w:r>
    </w:p>
    <w:p>
      <w:pPr>
        <w:spacing w:after="80" w:before="80" w:line="340"/>
        <w:jc w:val="left"/>
      </w:pPr>
      <w:r>
        <w:rPr>
          <w:rFonts w:ascii="Arial" w:cs="Arial" w:eastAsia="Arial" w:hAnsi="Arial"/>
          <w:color w:val="374151"/>
          <w:sz w:val="22"/>
          <w:szCs w:val="22"/>
        </w:rPr>
        <w:t xml:space="preserve">Nightly external scans of each customer’s web properties checking for basic security hygiene that relates to the DPDP “reasonable security safeguards” obligation: SSL certificate validity, security headers (HSTS, CSP, X-Frame-Options), vulnerable JavaScript libraries, mixed content, and cookie security flags. Findings are surfaced on the dashboard with severity levels and remediation guidance.</w:t>
      </w:r>
    </w:p>
    <w:p>
      <w:pPr>
        <w:keepNext/>
        <w:keepLines/>
        <w:spacing w:after="100" w:before="200"/>
      </w:pPr>
      <w:r>
        <w:rPr>
          <w:rFonts w:ascii="Arial" w:cs="Arial" w:eastAsia="Arial" w:hAnsi="Arial"/>
          <w:b/>
          <w:bCs/>
          <w:color w:val="0D9488"/>
          <w:sz w:val="24"/>
          <w:szCs w:val="24"/>
        </w:rPr>
        <w:t xml:space="preserve">Deletion Orchestration</w:t>
      </w:r>
    </w:p>
    <w:p>
      <w:pPr>
        <w:spacing w:after="80" w:before="80" w:line="340"/>
        <w:jc w:val="left"/>
      </w:pPr>
      <w:r>
        <w:rPr>
          <w:rFonts w:ascii="Arial" w:cs="Arial" w:eastAsia="Arial" w:hAnsi="Arial"/>
          <w:color w:val="374151"/>
          <w:sz w:val="22"/>
          <w:szCs w:val="22"/>
        </w:rPr>
        <w:t xml:space="preserve">When a data deletion is required — whether from an erasure request, expired retention period, or consent withdrawal — ConsentShield issues deletion commands to connected third-party systems and collects confirmation receipts. Two integration models operate in combination: pre-built connectors for common services (Mailchimp, HubSpot, Zoho CRM, Freshdesk, Intercom, CleverTap, WebEngage, MoEngage, Shopify, Razorpay, and others), and a generic webhook protocol for custom systems. Every deletion produces an immutable receipt — the evidence that data was actually removed, not just that removal was requested.</w:t>
      </w:r>
    </w:p>
    <w:p>
      <w:pPr>
        <w:keepNext/>
        <w:keepLines/>
        <w:spacing w:after="100" w:before="200"/>
      </w:pPr>
      <w:r>
        <w:rPr>
          <w:rFonts w:ascii="Arial" w:cs="Arial" w:eastAsia="Arial" w:hAnsi="Arial"/>
          <w:b/>
          <w:bCs/>
          <w:color w:val="0D9488"/>
          <w:sz w:val="24"/>
          <w:szCs w:val="24"/>
        </w:rPr>
        <w:t xml:space="preserve">Retention Rules and Automation</w:t>
      </w:r>
    </w:p>
    <w:p>
      <w:pPr>
        <w:spacing w:after="80" w:before="80" w:line="340"/>
        <w:jc w:val="left"/>
      </w:pPr>
      <w:r>
        <w:rPr>
          <w:rFonts w:ascii="Arial" w:cs="Arial" w:eastAsia="Arial" w:hAnsi="Arial"/>
          <w:color w:val="374151"/>
          <w:sz w:val="22"/>
          <w:szCs w:val="22"/>
        </w:rPr>
        <w:t xml:space="preserve">Customers define retention periods per data category and link them to connected systems. When a retention period expires, ConsentShield can automatically trigger deletion orchestration or alert the compliance manager. This transforms data retention from a policy document into an enforced operational rule.</w:t>
      </w:r>
    </w:p>
    <w:p>
      <w:pPr>
        <w:keepNext/>
        <w:keepLines/>
        <w:spacing w:after="100" w:before="200"/>
      </w:pPr>
      <w:r>
        <w:rPr>
          <w:rFonts w:ascii="Arial" w:cs="Arial" w:eastAsia="Arial" w:hAnsi="Arial"/>
          <w:b/>
          <w:bCs/>
          <w:color w:val="0D9488"/>
          <w:sz w:val="24"/>
          <w:szCs w:val="24"/>
        </w:rPr>
        <w:t xml:space="preserve">Processing Log</w:t>
      </w:r>
    </w:p>
    <w:p>
      <w:pPr>
        <w:spacing w:after="80" w:before="80" w:line="340"/>
        <w:jc w:val="left"/>
      </w:pPr>
      <w:r>
        <w:rPr>
          <w:rFonts w:ascii="Arial" w:cs="Arial" w:eastAsia="Arial" w:hAnsi="Arial"/>
          <w:color w:val="374151"/>
          <w:sz w:val="22"/>
          <w:szCs w:val="22"/>
        </w:rPr>
        <w:t xml:space="preserve">A continuous, append-only log of all data processing activities. Queryable by purpose, data category, or date range. The DPDP Rules require minimum one-year retention — under ConsentShield’s architecture, this record lives in the customer’s own storage, ensuring it survives even if the customer discontinues the service.</w:t>
      </w:r>
    </w:p>
    <w:p>
      <w:r>
        <w:br w:type="page"/>
      </w:r>
    </w:p>
    <w:p>
      <w:pPr>
        <w:pStyle w:val="Heading2"/>
        <w:keepNext/>
        <w:keepLines/>
        <w:spacing w:after="150" w:before="300"/>
      </w:pPr>
      <w:r>
        <w:rPr>
          <w:rFonts w:ascii="Arial" w:cs="Arial" w:eastAsia="Arial" w:hAnsi="Arial"/>
          <w:b/>
          <w:bCs/>
          <w:color w:val="1B2A4A"/>
          <w:sz w:val="28"/>
          <w:szCs w:val="28"/>
        </w:rPr>
        <w:t xml:space="preserve">Multi-Framework and Ecosystem</w:t>
      </w:r>
    </w:p>
    <w:p>
      <w:pPr>
        <w:spacing w:after="80" w:before="80" w:line="340"/>
        <w:jc w:val="left"/>
      </w:pPr>
      <w:r>
        <w:rPr>
          <w:rFonts w:ascii="Arial" w:cs="Arial" w:eastAsia="Arial" w:hAnsi="Arial"/>
          <w:color w:val="374151"/>
          <w:sz w:val="22"/>
          <w:szCs w:val="22"/>
        </w:rPr>
        <w:t xml:space="preserve">Capabilities that expand ConsentShield beyond DPDP into GDPR, create an ecosystem of partners, and enable platform-level integrations.</w:t>
      </w:r>
    </w:p>
    <w:p>
      <w:pPr>
        <w:spacing w:after="0" w:before="60"/>
      </w:pPr>
    </w:p>
    <w:p>
      <w:pPr>
        <w:keepNext/>
        <w:keepLines/>
        <w:spacing w:after="100" w:before="200"/>
      </w:pPr>
      <w:r>
        <w:rPr>
          <w:rFonts w:ascii="Arial" w:cs="Arial" w:eastAsia="Arial" w:hAnsi="Arial"/>
          <w:b/>
          <w:bCs/>
          <w:color w:val="0D9488"/>
          <w:sz w:val="24"/>
          <w:szCs w:val="24"/>
        </w:rPr>
        <w:t xml:space="preserve">GDPR Module</w:t>
      </w:r>
    </w:p>
    <w:p>
      <w:pPr>
        <w:spacing w:after="80" w:before="80" w:line="340"/>
        <w:jc w:val="left"/>
      </w:pPr>
      <w:r>
        <w:rPr>
          <w:rFonts w:ascii="Arial" w:cs="Arial" w:eastAsia="Arial" w:hAnsi="Arial"/>
          <w:color w:val="374151"/>
          <w:sz w:val="22"/>
          <w:szCs w:val="22"/>
        </w:rPr>
        <w:t xml:space="preserve">Dual-framework coverage for Indian companies with European customers or operations. The DPDP and GDPR frameworks share 60–70% of their infrastructure (consent collection, data inventory, rights workflows, audit export). The GDPR layer adds legal basis documentation for each processing purpose, Data Protection Impact Assessment templates, Standard Contractual Clause tracking for cross-border transfers, and EU representative designation. The consent banner automatically detects visitor location and applies the appropriate framework — GDPR rules for EU visitors, DPDP rules for Indian visitors. This dual-framework capability is a powerful retention driver: customers with EU exposure cannot cancel without losing both frameworks.</w:t>
      </w:r>
    </w:p>
    <w:p>
      <w:pPr>
        <w:keepNext/>
        <w:keepLines/>
        <w:spacing w:after="100" w:before="200"/>
      </w:pPr>
      <w:r>
        <w:rPr>
          <w:rFonts w:ascii="Arial" w:cs="Arial" w:eastAsia="Arial" w:hAnsi="Arial"/>
          <w:b/>
          <w:bCs/>
          <w:color w:val="0D9488"/>
          <w:sz w:val="24"/>
          <w:szCs w:val="24"/>
        </w:rPr>
        <w:t xml:space="preserve">Consent Probe Testing</w:t>
      </w:r>
    </w:p>
    <w:p>
      <w:pPr>
        <w:spacing w:after="80" w:before="80" w:line="340"/>
        <w:jc w:val="left"/>
      </w:pPr>
      <w:r>
        <w:rPr>
          <w:rFonts w:ascii="Arial" w:cs="Arial" w:eastAsia="Arial" w:hAnsi="Arial"/>
          <w:color w:val="374151"/>
          <w:sz w:val="22"/>
          <w:szCs w:val="22"/>
        </w:rPr>
        <w:t xml:space="preserve">Automated synthetic compliance testing — the equivalent of a CI/CD test suite for privacy compliance. ConsentShield simulates users with specific consent states (full accept, full reject, partial consent, withdrawal) and verifies that the customer’s website behaves correctly in each scenario. Probes run on a configurable schedule (daily, weekly, or monthly) and produce pass/fail results with specific violation details. This is proactive verification, not reactive monitoring — it tests compliance even when no real users are visiting.</w:t>
      </w:r>
    </w:p>
    <w:p>
      <w:pPr>
        <w:keepNext/>
        <w:keepLines/>
        <w:spacing w:after="100" w:before="200"/>
      </w:pPr>
      <w:r>
        <w:rPr>
          <w:rFonts w:ascii="Arial" w:cs="Arial" w:eastAsia="Arial" w:hAnsi="Arial"/>
          <w:b/>
          <w:bCs/>
          <w:color w:val="0D9488"/>
          <w:sz w:val="24"/>
          <w:szCs w:val="24"/>
        </w:rPr>
        <w:t xml:space="preserve">Compliance API</w:t>
      </w:r>
    </w:p>
    <w:p>
      <w:pPr>
        <w:spacing w:after="80" w:before="80" w:line="340"/>
        <w:jc w:val="left"/>
      </w:pPr>
      <w:r>
        <w:rPr>
          <w:rFonts w:ascii="Arial" w:cs="Arial" w:eastAsia="Arial" w:hAnsi="Arial"/>
          <w:color w:val="374151"/>
          <w:sz w:val="22"/>
          <w:szCs w:val="22"/>
        </w:rPr>
        <w:t xml:space="preserve">A RESTful API that enables enterprise customers and partners to embed ConsentShield’s compliance data into their own systems. API key-authenticated with scoped permissions. Endpoints cover consent events, compliance scores, tracker observations, rights requests, deletion orchestration, audit exports, security scans, and probe results. This is the technical enabler for the white-label partner programme and for enterprise integration with existing GRC platforms.</w:t>
      </w:r>
    </w:p>
    <w:p>
      <w:pPr>
        <w:keepNext/>
        <w:keepLines/>
        <w:spacing w:after="100" w:before="200"/>
      </w:pPr>
      <w:r>
        <w:rPr>
          <w:rFonts w:ascii="Arial" w:cs="Arial" w:eastAsia="Arial" w:hAnsi="Arial"/>
          <w:b/>
          <w:bCs/>
          <w:color w:val="0D9488"/>
          <w:sz w:val="24"/>
          <w:szCs w:val="24"/>
        </w:rPr>
        <w:t xml:space="preserve">DPO-as-a-Service Matchmaking</w:t>
      </w:r>
    </w:p>
    <w:p>
      <w:pPr>
        <w:spacing w:after="80" w:before="80" w:line="340"/>
        <w:jc w:val="left"/>
      </w:pPr>
      <w:r>
        <w:rPr>
          <w:rFonts w:ascii="Arial" w:cs="Arial" w:eastAsia="Arial" w:hAnsi="Arial"/>
          <w:color w:val="374151"/>
          <w:sz w:val="22"/>
          <w:szCs w:val="22"/>
        </w:rPr>
        <w:t xml:space="preserve">A curated marketplace of empanelled Data Protection Officers. Customers browse profiles, request engagements, and connect with qualified DPOs who can fulfil the statutory role without a full-time hire. The DPO receives auditor-level access to the customer’s ConsentShield dashboard. ConsentShield earns a referral fee on ongoing engagements. Critically, the DPO carries the legal liability for compliance advice while ConsentShield carries the software liability — this boundary is what makes the product’s positioning defensible.</w:t>
      </w:r>
    </w:p>
    <w:p>
      <w:pPr>
        <w:keepNext/>
        <w:keepLines/>
        <w:spacing w:after="100" w:before="200"/>
      </w:pPr>
      <w:r>
        <w:rPr>
          <w:rFonts w:ascii="Arial" w:cs="Arial" w:eastAsia="Arial" w:hAnsi="Arial"/>
          <w:b/>
          <w:bCs/>
          <w:color w:val="0D9488"/>
          <w:sz w:val="24"/>
          <w:szCs w:val="24"/>
        </w:rPr>
        <w:t xml:space="preserve">Sector Templates</w:t>
      </w:r>
    </w:p>
    <w:p>
      <w:pPr>
        <w:spacing w:after="80" w:before="80" w:line="340"/>
        <w:jc w:val="left"/>
      </w:pPr>
      <w:r>
        <w:rPr>
          <w:rFonts w:ascii="Arial" w:cs="Arial" w:eastAsia="Arial" w:hAnsi="Arial"/>
          <w:color w:val="374151"/>
          <w:sz w:val="22"/>
          <w:szCs w:val="22"/>
        </w:rPr>
        <w:t xml:space="preserve">Pre-configured compliance kits for five verticals: SaaS, edtech, fintech, e-commerce, and healthcare. Each template pre-populates the data inventory with common data flows, configures recommended consent purposes, provides sector-appropriate privacy notice language, sets functional tracker allowlists, and identifies the highest-risk data categories. Reduces onboarding from hours to minutes.</w:t>
      </w:r>
    </w:p>
    <w:p>
      <w:pPr>
        <w:keepNext/>
        <w:keepLines/>
        <w:spacing w:after="100" w:before="200"/>
      </w:pPr>
      <w:r>
        <w:rPr>
          <w:rFonts w:ascii="Arial" w:cs="Arial" w:eastAsia="Arial" w:hAnsi="Arial"/>
          <w:b/>
          <w:bCs/>
          <w:color w:val="0D9488"/>
          <w:sz w:val="24"/>
          <w:szCs w:val="24"/>
        </w:rPr>
        <w:t xml:space="preserve">Cross-Border Data Transfer Module</w:t>
      </w:r>
    </w:p>
    <w:p>
      <w:pPr>
        <w:spacing w:after="80" w:before="80" w:line="340"/>
        <w:jc w:val="left"/>
      </w:pPr>
      <w:r>
        <w:rPr>
          <w:rFonts w:ascii="Arial" w:cs="Arial" w:eastAsia="Arial" w:hAnsi="Arial"/>
          <w:color w:val="374151"/>
          <w:sz w:val="22"/>
          <w:szCs w:val="22"/>
        </w:rPr>
        <w:t xml:space="preserve">Formal tracking and documentation of all data transfers outside India, as required by DPDP Section 16. Auto-detected flows from the tracker system are merged with manual declarations for non-web transfers (cloud hosting, API integrations, third-party processors). For customers with the GDPR module, Standard Contractual Clause status is tracked per transfer. The dashboard presents a visual transfer map showing where data flows, what safeguards are in place, and where documentation gaps exist.</w:t>
      </w:r>
    </w:p>
    <w:p>
      <w:r>
        <w:br w:type="page"/>
      </w:r>
    </w:p>
    <w:p>
      <w:pPr>
        <w:pStyle w:val="Heading2"/>
        <w:keepNext/>
        <w:keepLines/>
        <w:spacing w:after="150" w:before="300"/>
      </w:pPr>
      <w:r>
        <w:rPr>
          <w:rFonts w:ascii="Arial" w:cs="Arial" w:eastAsia="Arial" w:hAnsi="Arial"/>
          <w:b/>
          <w:bCs/>
          <w:color w:val="1B2A4A"/>
          <w:sz w:val="28"/>
          <w:szCs w:val="28"/>
        </w:rPr>
        <w:t xml:space="preserve">Healthcare and Enterprise</w:t>
      </w:r>
    </w:p>
    <w:p>
      <w:pPr>
        <w:spacing w:after="80" w:before="80" w:line="340"/>
        <w:jc w:val="left"/>
      </w:pPr>
      <w:r>
        <w:rPr>
          <w:rFonts w:ascii="Arial" w:cs="Arial" w:eastAsia="Arial" w:hAnsi="Arial"/>
          <w:color w:val="374151"/>
          <w:sz w:val="22"/>
          <w:szCs w:val="22"/>
        </w:rPr>
        <w:t xml:space="preserve">Capabilities that open the healthcare vertical and serve enterprise-scale customers.</w:t>
      </w:r>
    </w:p>
    <w:p>
      <w:pPr>
        <w:spacing w:after="0" w:before="60"/>
      </w:pPr>
    </w:p>
    <w:p>
      <w:pPr>
        <w:keepNext/>
        <w:keepLines/>
        <w:spacing w:after="100" w:before="200"/>
      </w:pPr>
      <w:r>
        <w:rPr>
          <w:rFonts w:ascii="Arial" w:cs="Arial" w:eastAsia="Arial" w:hAnsi="Arial"/>
          <w:b/>
          <w:bCs/>
          <w:color w:val="0D9488"/>
          <w:sz w:val="24"/>
          <w:szCs w:val="24"/>
        </w:rPr>
        <w:t xml:space="preserve">ABDM Healthcare Bundle</w:t>
      </w:r>
    </w:p>
    <w:p>
      <w:pPr>
        <w:spacing w:after="80" w:before="80" w:line="340"/>
        <w:jc w:val="left"/>
      </w:pPr>
      <w:r>
        <w:rPr>
          <w:rFonts w:ascii="Arial" w:cs="Arial" w:eastAsia="Arial" w:hAnsi="Arial"/>
          <w:color w:val="374151"/>
          <w:sz w:val="22"/>
          <w:szCs w:val="22"/>
        </w:rPr>
        <w:t xml:space="preserve">A unified DPDP and ABDM compliance platform for Indian clinics. No existing product owns the intersection of full ABDM integration (consent artefact generation, health record pull, prescription upload) and full DPDP compliance (notice, consent, rights management, breach workflow, audit log) — especially for single-doctor and small group practices.</w:t>
      </w:r>
    </w:p>
    <w:p>
      <w:pPr>
        <w:spacing w:after="80" w:before="80" w:line="340"/>
        <w:jc w:val="left"/>
      </w:pPr>
      <w:r>
        <w:rPr>
          <w:rFonts w:ascii="Arial" w:cs="Arial" w:eastAsia="Arial" w:hAnsi="Arial"/>
          <w:color w:val="374151"/>
          <w:sz w:val="22"/>
          <w:szCs w:val="22"/>
        </w:rPr>
        <w:t xml:space="preserve">The product covers ABHA ID lookup (including QR code scan via mobile), ABDM consent artefact generation and management, consent-gated health record retrieval, a prescription writer that auto-populates from pulled medication history, AI-powered drug interaction checking, digital prescription upload back to ABDM (making the clinic a Health Information Provider), patient queue management, and WhatsApp follow-up scheduling.</w:t>
      </w:r>
    </w:p>
    <w:p>
      <w:pPr>
        <w:spacing w:after="80" w:before="80" w:line="340"/>
        <w:jc w:val="left"/>
      </w:pPr>
      <w:r>
        <w:rPr>
          <w:rFonts w:ascii="Arial" w:cs="Arial" w:eastAsia="Arial" w:hAnsi="Arial"/>
          <w:color w:val="374151"/>
          <w:sz w:val="22"/>
          <w:szCs w:val="22"/>
        </w:rPr>
        <w:t xml:space="preserve">Health data never touches ConsentShield’s storage. FHIR records flow through the system in memory only and are released after the consultation. The only persistent records are consent artefact references (no clinical data), prescription metadata (document IDs only), and timestamped audit entries. This architecture is verifiable and materially easier to explain to a clinic owner than “trust us with your patients’ health data.”</w:t>
      </w:r>
    </w:p>
    <w:p>
      <w:pPr>
        <w:keepNext/>
        <w:keepLines/>
        <w:spacing w:after="100" w:before="200"/>
      </w:pPr>
      <w:r>
        <w:rPr>
          <w:rFonts w:ascii="Arial" w:cs="Arial" w:eastAsia="Arial" w:hAnsi="Arial"/>
          <w:b/>
          <w:bCs/>
          <w:color w:val="0D9488"/>
          <w:sz w:val="24"/>
          <w:szCs w:val="24"/>
        </w:rPr>
        <w:t xml:space="preserve">Enterprise White-Label Platform</w:t>
      </w:r>
    </w:p>
    <w:p>
      <w:pPr>
        <w:spacing w:after="80" w:before="80" w:line="340"/>
        <w:jc w:val="left"/>
      </w:pPr>
      <w:r>
        <w:rPr>
          <w:rFonts w:ascii="Arial" w:cs="Arial" w:eastAsia="Arial" w:hAnsi="Arial"/>
          <w:color w:val="374151"/>
          <w:sz w:val="22"/>
          <w:szCs w:val="22"/>
        </w:rPr>
        <w:t xml:space="preserve">Full white-labelling for enterprise customers and CA firm partners: custom branding (logo, colours, email sender), custom domains for the consent banner CDN and the rights request portal, SSO integration, multi-team roles (Admin, Compliance Manager, Viewer, Auditor, DPO), dedicated export storage with customer-held encryption keys, and custom SLAs. CA firms can manage multiple clients from a single branded dashboard using the Compliance API, with each client seeing only the CA firm’s branding.</w:t>
      </w:r>
    </w:p>
    <w:p>
      <w:pPr>
        <w:keepNext/>
        <w:keepLines/>
        <w:spacing w:after="100" w:before="200"/>
      </w:pPr>
      <w:r>
        <w:rPr>
          <w:rFonts w:ascii="Arial" w:cs="Arial" w:eastAsia="Arial" w:hAnsi="Arial"/>
          <w:b/>
          <w:bCs/>
          <w:color w:val="0D9488"/>
          <w:sz w:val="24"/>
          <w:szCs w:val="24"/>
        </w:rPr>
        <w:t xml:space="preserve">Mobile Application</w:t>
      </w:r>
    </w:p>
    <w:p>
      <w:pPr>
        <w:spacing w:after="80" w:before="80" w:line="340"/>
        <w:jc w:val="left"/>
      </w:pPr>
      <w:r>
        <w:rPr>
          <w:rFonts w:ascii="Arial" w:cs="Arial" w:eastAsia="Arial" w:hAnsi="Arial"/>
          <w:color w:val="374151"/>
          <w:sz w:val="22"/>
          <w:szCs w:val="22"/>
        </w:rPr>
        <w:t xml:space="preserve">A companion app (iOS and Android) designed primarily for clinic use: reliable push notifications, native camera for ABHA QR code scanning, touch-optimised bedside consent flows, compliance score at a glance, quick rights request approval, and emergency breach notification trigger. Functions in poor WiFi environments with offline-first data caching.</w:t>
      </w:r>
    </w:p>
    <w:p>
      <w:pPr>
        <w:pBdr>
          <w:bottom w:val="single" w:color="0D9488" w:sz="4" w:space="1"/>
        </w:pBdr>
        <w:spacing w:after="200" w:before="200"/>
      </w:pPr>
    </w:p>
    <w:p>
      <w:pPr>
        <w:pStyle w:val="Heading1"/>
        <w:keepNext/>
        <w:keepLines/>
        <w:spacing w:after="200" w:before="400"/>
      </w:pPr>
      <w:r>
        <w:rPr>
          <w:rFonts w:ascii="Arial" w:cs="Arial" w:eastAsia="Arial" w:hAnsi="Arial"/>
          <w:b/>
          <w:bCs/>
          <w:color w:val="1B2A4A"/>
          <w:sz w:val="36"/>
          <w:szCs w:val="36"/>
        </w:rPr>
        <w:t xml:space="preserve">Data Architecture</w:t>
      </w:r>
    </w:p>
    <w:p>
      <w:pPr>
        <w:pStyle w:val="Heading2"/>
        <w:keepNext/>
        <w:keepLines/>
        <w:spacing w:after="150" w:before="300"/>
      </w:pPr>
      <w:r>
        <w:rPr>
          <w:rFonts w:ascii="Arial" w:cs="Arial" w:eastAsia="Arial" w:hAnsi="Arial"/>
          <w:b/>
          <w:bCs/>
          <w:color w:val="1B2A4A"/>
          <w:sz w:val="28"/>
          <w:szCs w:val="28"/>
        </w:rPr>
        <w:t xml:space="preserve">The Stateless Compliance Oracle</w:t>
      </w:r>
    </w:p>
    <w:p>
      <w:pPr>
        <w:spacing w:after="80" w:before="80" w:line="340"/>
        <w:jc w:val="left"/>
      </w:pPr>
      <w:r>
        <w:rPr>
          <w:rFonts w:ascii="Arial" w:cs="Arial" w:eastAsia="Arial" w:hAnsi="Arial"/>
          <w:color w:val="374151"/>
          <w:sz w:val="22"/>
          <w:szCs w:val="22"/>
        </w:rPr>
        <w:t xml:space="preserve">Consider how Razorpay works. When a customer pays on a merchant’s website, Razorpay processes the transaction — validates the card, moves the money, generates a receipt — and hands the merchant the record. Razorpay does not keep a copy of the merchant’s product catalogue or customer database. It processes transactions and delivers the evidence that the transaction happened. If Razorpay went offline tomorrow, the bank still has the money and the merchant still has the receipt.</w:t>
      </w:r>
    </w:p>
    <w:p>
      <w:pPr>
        <w:spacing w:after="80" w:before="80" w:line="340"/>
        <w:jc w:val="left"/>
      </w:pPr>
      <w:r>
        <w:rPr>
          <w:rFonts w:ascii="Arial" w:cs="Arial" w:eastAsia="Arial" w:hAnsi="Arial"/>
          <w:color w:val="374151"/>
          <w:sz w:val="22"/>
          <w:szCs w:val="22"/>
        </w:rPr>
        <w:t xml:space="preserve">ConsentShield applies the same principle to consent and compliance data. It processes consent events, generates compliance evidence, and delivers the canonical record to the customer’s own storage. ConsentShield does not hold the compliance record — the customer does.</w:t>
      </w:r>
    </w:p>
    <w:p>
      <w:pPr>
        <w:spacing w:after="0" w:before="60"/>
      </w:pPr>
    </w:p>
    <w:p>
      <w:pPr>
        <w:keepNext/>
        <w:keepLines/>
        <w:spacing w:after="100" w:before="200"/>
      </w:pPr>
      <w:r>
        <w:rPr>
          <w:rFonts w:ascii="Arial" w:cs="Arial" w:eastAsia="Arial" w:hAnsi="Arial"/>
          <w:b/>
          <w:bCs/>
          <w:color w:val="0D9488"/>
          <w:sz w:val="24"/>
          <w:szCs w:val="24"/>
        </w:rPr>
        <w:t xml:space="preserve">The Problem This Solves</w:t>
      </w:r>
    </w:p>
    <w:p>
      <w:pPr>
        <w:spacing w:after="80" w:before="80" w:line="340"/>
        <w:jc w:val="left"/>
      </w:pPr>
      <w:r>
        <w:rPr>
          <w:rFonts w:ascii="Arial" w:cs="Arial" w:eastAsia="Arial" w:hAnsi="Arial"/>
          <w:color w:val="374151"/>
          <w:sz w:val="22"/>
          <w:szCs w:val="22"/>
        </w:rPr>
        <w:t xml:space="preserve">The obvious way to build a compliance platform is as a database. A user gives consent, the platform records it in the platform’s database. A rights request arrives, the platform stores it. An audit log entry is generated, it lives in the platform’s database. Over twelve months, the platform accumulates a massive store of personal data — consent records, identity information from rights requests, processing logs, health data from clinics — belonging to millions of data principals across hundreds of customer organisations.</w:t>
      </w:r>
    </w:p>
    <w:p>
      <w:pPr>
        <w:spacing w:after="80" w:before="80" w:line="340"/>
        <w:jc w:val="left"/>
      </w:pPr>
      <w:r>
        <w:rPr>
          <w:rFonts w:ascii="Arial" w:cs="Arial" w:eastAsia="Arial" w:hAnsi="Arial"/>
          <w:color w:val="374151"/>
          <w:sz w:val="22"/>
          <w:szCs w:val="22"/>
        </w:rPr>
        <w:t xml:space="preserve">This creates three serious problems.</w:t>
      </w:r>
    </w:p>
    <w:p>
      <w:pPr>
        <w:spacing w:after="80" w:before="80" w:line="340"/>
      </w:pPr>
      <w:r>
        <w:rPr>
          <w:rFonts w:ascii="Arial" w:cs="Arial" w:eastAsia="Arial" w:hAnsi="Arial"/>
          <w:b/>
          <w:bCs/>
          <w:color w:val="374151"/>
          <w:sz w:val="22"/>
          <w:szCs w:val="22"/>
        </w:rPr>
        <w:t xml:space="preserve">First, it makes the platform a high-value target. </w:t>
      </w:r>
      <w:r>
        <w:rPr>
          <w:rFonts w:ascii="Arial" w:cs="Arial" w:eastAsia="Arial" w:hAnsi="Arial"/>
          <w:b w:val="false"/>
          <w:bCs w:val="false"/>
          <w:color w:val="374151"/>
          <w:sz w:val="22"/>
          <w:szCs w:val="22"/>
        </w:rPr>
        <w:t xml:space="preserve">A breach of the platform’s database exposes the compliance records of every customer simultaneously. The irony of a compliance product suffering a data breach would be business-ending.</w:t>
      </w:r>
    </w:p>
    <w:p>
      <w:pPr>
        <w:spacing w:after="80" w:before="80" w:line="340"/>
      </w:pPr>
      <w:r>
        <w:rPr>
          <w:rFonts w:ascii="Arial" w:cs="Arial" w:eastAsia="Arial" w:hAnsi="Arial"/>
          <w:b/>
          <w:bCs/>
          <w:color w:val="374151"/>
          <w:sz w:val="22"/>
          <w:szCs w:val="22"/>
        </w:rPr>
        <w:t xml:space="preserve">Second, it creates regulatory ambiguity. </w:t>
      </w:r>
      <w:r>
        <w:rPr>
          <w:rFonts w:ascii="Arial" w:cs="Arial" w:eastAsia="Arial" w:hAnsi="Arial"/>
          <w:b w:val="false"/>
          <w:bCs w:val="false"/>
          <w:color w:val="374151"/>
          <w:sz w:val="22"/>
          <w:szCs w:val="22"/>
        </w:rPr>
        <w:t xml:space="preserve">Under the DPDP Act, a Data Fiduciary is the entity that determines the purpose and means of processing personal data. A Data Processor is the entity that processes it on behalf of the Fiduciary. If the platform holds a centralised record of everything it processes, it starts looking less like a Processor and more like a Fiduciary — with the associated ₹250 crore per violation exposure.</w:t>
      </w:r>
    </w:p>
    <w:p>
      <w:pPr>
        <w:spacing w:after="80" w:before="80" w:line="340"/>
      </w:pPr>
      <w:r>
        <w:rPr>
          <w:rFonts w:ascii="Arial" w:cs="Arial" w:eastAsia="Arial" w:hAnsi="Arial"/>
          <w:b/>
          <w:bCs/>
          <w:color w:val="374151"/>
          <w:sz w:val="22"/>
          <w:szCs w:val="22"/>
        </w:rPr>
        <w:t xml:space="preserve">Third, it creates a hostage dynamic. </w:t>
      </w:r>
      <w:r>
        <w:rPr>
          <w:rFonts w:ascii="Arial" w:cs="Arial" w:eastAsia="Arial" w:hAnsi="Arial"/>
          <w:b w:val="false"/>
          <w:bCs w:val="false"/>
          <w:color w:val="374151"/>
          <w:sz w:val="22"/>
          <w:szCs w:val="22"/>
        </w:rPr>
        <w:t xml:space="preserve">If the customer cancels, they lose their compliance record. The DPDP Rules require minimum one-year retention of processing records. A company that cancels its compliance tool and loses its audit trail is now non-compliant — not because they stopped being compliant, but because the evidence is gone.</w:t>
      </w:r>
    </w:p>
    <w:p>
      <w:pPr>
        <w:spacing w:after="0" w:before="60"/>
      </w:pPr>
    </w:p>
    <w:p>
      <w:pPr>
        <w:keepNext/>
        <w:keepLines/>
        <w:spacing w:after="100" w:before="200"/>
      </w:pPr>
      <w:r>
        <w:rPr>
          <w:rFonts w:ascii="Arial" w:cs="Arial" w:eastAsia="Arial" w:hAnsi="Arial"/>
          <w:b/>
          <w:bCs/>
          <w:color w:val="0D9488"/>
          <w:sz w:val="24"/>
          <w:szCs w:val="24"/>
        </w:rPr>
        <w:t xml:space="preserve">How the Oracle Model Works</w:t>
      </w:r>
    </w:p>
    <w:p>
      <w:pPr>
        <w:spacing w:after="80" w:before="80" w:line="340"/>
        <w:jc w:val="left"/>
      </w:pPr>
      <w:r>
        <w:rPr>
          <w:rFonts w:ascii="Arial" w:cs="Arial" w:eastAsia="Arial" w:hAnsi="Arial"/>
          <w:color w:val="374151"/>
          <w:sz w:val="22"/>
          <w:szCs w:val="22"/>
        </w:rPr>
        <w:t xml:space="preserve">Instead of storing data, ConsentShield processes it and delivers it.</w:t>
      </w:r>
    </w:p>
    <w:p>
      <w:pPr>
        <w:spacing w:after="80" w:before="80" w:line="340"/>
        <w:jc w:val="left"/>
      </w:pPr>
      <w:r>
        <w:rPr>
          <w:rFonts w:ascii="Arial" w:cs="Arial" w:eastAsia="Arial" w:hAnsi="Arial"/>
          <w:color w:val="374151"/>
          <w:sz w:val="22"/>
          <w:szCs w:val="22"/>
        </w:rPr>
        <w:t xml:space="preserve">When a consent event fires on a customer’s website, the banner script sends it to ConsentShield’s API. ConsentShield validates the event, generates the audit entry, and immediately streams both to the customer’s own storage — a Cloudflare R2 bucket by default, or the customer’s own S3 bucket if they prefer. Once the customer’s storage confirms the write, ConsentShield deletes its copy. The canonical record — the legally authoritative version — was always in the customer’s storage. ConsentShield’s copy existed only long enough to guarantee delivery.</w:t>
      </w:r>
    </w:p>
    <w:p>
      <w:pPr>
        <w:spacing w:after="80" w:before="80" w:line="340"/>
        <w:jc w:val="left"/>
      </w:pPr>
      <w:r>
        <w:rPr>
          <w:rFonts w:ascii="Arial" w:cs="Arial" w:eastAsia="Arial" w:hAnsi="Arial"/>
          <w:color w:val="374151"/>
          <w:sz w:val="22"/>
          <w:szCs w:val="22"/>
        </w:rPr>
        <w:t xml:space="preserve">The same pattern applies to everything: tracker observations, rights request logs, deletion receipts, processing log entries. ConsentShield generates it, delivers it, deletes it.</w:t>
      </w:r>
    </w:p>
    <w:p>
      <w:pPr>
        <w:spacing w:after="80" w:before="80" w:line="340"/>
        <w:jc w:val="left"/>
      </w:pPr>
      <w:r>
        <w:rPr>
          <w:rFonts w:ascii="Arial" w:cs="Arial" w:eastAsia="Arial" w:hAnsi="Arial"/>
          <w:color w:val="374151"/>
          <w:sz w:val="22"/>
          <w:szCs w:val="22"/>
        </w:rPr>
        <w:t xml:space="preserve">What ConsentShield does keep permanently is purely operational: organisation configuration, banner settings, billing records, the consent artefact validity index (which contains only artefact IDs and expiry timestamps — no personal data), and the delivery buffer (a write-ahead log that holds events for hours until delivery is confirmed, then purges them).</w:t>
      </w:r>
    </w:p>
    <w:p>
      <w:pPr>
        <w:spacing w:after="80" w:before="80" w:line="340"/>
        <w:jc w:val="left"/>
      </w:pPr>
      <w:r>
        <w:rPr>
          <w:rFonts w:ascii="Arial" w:cs="Arial" w:eastAsia="Arial" w:hAnsi="Arial"/>
          <w:color w:val="374151"/>
          <w:sz w:val="22"/>
          <w:szCs w:val="22"/>
        </w:rPr>
        <w:t xml:space="preserve">For health data in the ABDM bundle, the rule is even stricter: zero persistence. FHIR records flow through ConsentShield’s server in memory only. No table, no log, no schema ever touches clinical content.</w:t>
      </w:r>
    </w:p>
    <w:p>
      <w:pPr>
        <w:spacing w:after="0" w:before="60"/>
      </w:pPr>
    </w:p>
    <w:p>
      <w:pPr>
        <w:keepNext/>
        <w:keepLines/>
        <w:spacing w:after="100" w:before="200"/>
      </w:pPr>
      <w:r>
        <w:rPr>
          <w:rFonts w:ascii="Arial" w:cs="Arial" w:eastAsia="Arial" w:hAnsi="Arial"/>
          <w:b/>
          <w:bCs/>
          <w:color w:val="0D9488"/>
          <w:sz w:val="24"/>
          <w:szCs w:val="24"/>
        </w:rPr>
        <w:t xml:space="preserve">Three Processing Modes</w:t>
      </w:r>
    </w:p>
    <w:p>
      <w:pPr>
        <w:spacing w:after="80" w:before="80" w:line="340"/>
        <w:jc w:val="left"/>
      </w:pPr>
      <w:r>
        <w:rPr>
          <w:rFonts w:ascii="Arial" w:cs="Arial" w:eastAsia="Arial" w:hAnsi="Arial"/>
          <w:color w:val="374151"/>
          <w:sz w:val="22"/>
          <w:szCs w:val="22"/>
        </w:rPr>
        <w:t xml:space="preserve">Different customers have different trust requirements, so the model offers three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Mode</w:t>
            </w:r>
          </w:p>
        </w:tc>
        <w:tc>
          <w:tcPr>
            <w:tcW w:type="dxa" w:w="3613"/>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What ConsentShield Holds</w:t>
            </w:r>
          </w:p>
        </w:tc>
        <w:tc>
          <w:tcPr>
            <w:tcW w:type="dxa" w:w="3613"/>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Where User Data Lives</w:t>
            </w:r>
          </w:p>
        </w:tc>
      </w:tr>
      <w:tr>
        <w:tc>
          <w:tcPr>
            <w:tcW w:type="dxa" w:w="1800"/>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Standard</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Operational config + encrypted compliance data in ConsentShield-provisioned storage, partitioned per customer with customer-held encryption key.</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ConsentShield-provisioned Cloudflare R2, encrypted with a per-customer key delivered once and discarded. For early-stage companies who cannot manage their own bucket.</w:t>
            </w:r>
          </w:p>
        </w:tc>
      </w:tr>
      <w:tr>
        <w:tc>
          <w:tcPr>
            <w:tcW w:type="dxa" w:w="1800"/>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Insulated</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Operational config only. Write-only access to customer storage — cannot read, list, or delete.</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Customer-owned storage (R2 or S3). Customer holds all decryption keys. Nightly export. Default for most paying customers.</w:t>
            </w:r>
          </w:p>
        </w:tc>
      </w:tr>
      <w:tr>
        <w:tc>
          <w:tcPr>
            <w:tcW w:type="dxa" w:w="1800"/>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Zero-Storage</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Active consent index (TTL-based, no personal data) + delivery buffer (seconds-level retention).</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Customer-owned storage. Data flows through ConsentShield in memory only. Required for health data, financial data, and any context where even transient storage is unacceptable.</w:t>
            </w:r>
          </w:p>
        </w:tc>
      </w:tr>
    </w:tbl>
    <w:p>
      <w:pPr>
        <w:spacing w:after="0" w:before="60"/>
      </w:pPr>
    </w:p>
    <w:p>
      <w:pPr>
        <w:keepNext/>
        <w:keepLines/>
        <w:spacing w:after="100" w:before="200"/>
      </w:pPr>
      <w:r>
        <w:rPr>
          <w:rFonts w:ascii="Arial" w:cs="Arial" w:eastAsia="Arial" w:hAnsi="Arial"/>
          <w:b/>
          <w:bCs/>
          <w:color w:val="0D9488"/>
          <w:sz w:val="24"/>
          <w:szCs w:val="24"/>
        </w:rPr>
        <w:t xml:space="preserve">What This Means in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Data Category</w:t>
            </w:r>
          </w:p>
        </w:tc>
        <w:tc>
          <w:tcPr>
            <w:tcW w:type="dxa" w:w="6018"/>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Where It Lives</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Operational state</w:t>
            </w:r>
          </w:p>
        </w:tc>
        <w:tc>
          <w:tcPr>
            <w:tcW w:type="dxa" w:w="601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Organisation config, banner settings, billing — lives in ConsentShield permanently. This is standard SaaS business data, no different from what any B2B tool holds about its paying users.</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Compliance records</w:t>
            </w:r>
          </w:p>
        </w:tc>
        <w:tc>
          <w:tcPr>
            <w:tcW w:type="dxa" w:w="601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Consent events, audit logs, processing logs, rights request history, tracker observations, deletion receipts — buffered briefly in ConsentShield, then delivered to customer-owned storage and hard-deleted from ConsentShield.</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Health data (ABDM)</w:t>
            </w:r>
          </w:p>
        </w:tc>
        <w:tc>
          <w:tcPr>
            <w:tcW w:type="dxa" w:w="601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FHIR records flow through ConsentShield in memory only. Never persisted. No schema, no table, no log ever holds clinical content. Zero storage.</w:t>
            </w:r>
          </w:p>
        </w:tc>
      </w:tr>
    </w:tbl>
    <w:p>
      <w:pPr>
        <w:spacing w:after="0" w:before="60"/>
      </w:pPr>
    </w:p>
    <w:p>
      <w:pPr>
        <w:keepNext/>
        <w:keepLines/>
        <w:spacing w:after="100" w:before="200"/>
      </w:pPr>
      <w:r>
        <w:rPr>
          <w:rFonts w:ascii="Arial" w:cs="Arial" w:eastAsia="Arial" w:hAnsi="Arial"/>
          <w:b/>
          <w:bCs/>
          <w:color w:val="0D9488"/>
          <w:sz w:val="24"/>
          <w:szCs w:val="24"/>
        </w:rPr>
        <w:t xml:space="preserve">The Regulatory Position This Creates</w:t>
      </w:r>
    </w:p>
    <w:p>
      <w:pPr>
        <w:spacing w:after="80" w:before="80" w:line="340"/>
        <w:jc w:val="left"/>
      </w:pPr>
      <w:r>
        <w:rPr>
          <w:rFonts w:ascii="Arial" w:cs="Arial" w:eastAsia="Arial" w:hAnsi="Arial"/>
          <w:color w:val="374151"/>
          <w:sz w:val="22"/>
          <w:szCs w:val="22"/>
        </w:rPr>
        <w:t xml:space="preserve">Under the DPDP Act, ConsentShield in Insulated or Zero-Storage mode is unambiguously a Data Processor — processing on behalf of the Fiduciary, never accumulating a record store that would trigger Fiduciary obligations. The ₹250 crore per violation exposure sits with the Fiduciary (the customer’s business), not with ConsentShield, because ConsentShield never determined the purpose or means of processing.</w:t>
      </w:r>
    </w:p>
    <w:p>
      <w:pPr>
        <w:spacing w:after="80" w:before="80" w:line="340"/>
        <w:jc w:val="left"/>
      </w:pPr>
      <w:r>
        <w:rPr>
          <w:rFonts w:ascii="Arial" w:cs="Arial" w:eastAsia="Arial" w:hAnsi="Arial"/>
          <w:color w:val="374151"/>
          <w:sz w:val="22"/>
          <w:szCs w:val="22"/>
        </w:rPr>
        <w:t xml:space="preserve">The Data Processing Agreement this architecture enables is substantively easier to sign than one where a software vendor holds sensitive personal data indefinitely. It is also more honest — because it accurately describes what ConsentShield does.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9488" w:sz="1"/>
              <w:left w:val="single" w:color="0D9488" w:sz="12"/>
              <w:bottom w:val="single" w:color="0D9488" w:sz="1"/>
              <w:right w:val="single" w:color="0D9488" w:sz="1"/>
            </w:tcBorders>
            <w:shd w:fill="E6F5F3" w:val="clear"/>
            <w:tcMar>
              <w:top w:type="dxa" w:w="160"/>
              <w:left w:type="dxa" w:w="240"/>
              <w:bottom w:type="dxa" w:w="160"/>
              <w:right w:type="dxa" w:w="240"/>
            </w:tcMar>
          </w:tcPr>
          <w:p>
            <w:pPr>
              <w:spacing w:after="0" w:before="0" w:line="340"/>
            </w:pPr>
            <w:r>
              <w:rPr>
                <w:rFonts w:ascii="Arial" w:cs="Arial" w:eastAsia="Arial" w:hAnsi="Arial"/>
                <w:i/>
                <w:iCs/>
                <w:color w:val="1B2A4A"/>
                <w:sz w:val="22"/>
                <w:szCs w:val="22"/>
              </w:rPr>
              <w:t xml:space="preserve">If ConsentShield shuts down tomorrow, every customer’s complete audit trail is already in their storage, readable without ConsentShield. ConsentShield cannot be compelled to produce what it does not have. This removes the single largest liability the platform could carry — being the entity a breach attacker or a Data Protection Board auditor comes to first.</w:t>
            </w:r>
          </w:p>
        </w:tc>
      </w:tr>
    </w:tbl>
    <w:p>
      <w:pPr>
        <w:pBdr>
          <w:bottom w:val="single" w:color="0D9488" w:sz="4" w:space="1"/>
        </w:pBdr>
        <w:spacing w:after="200" w:before="200"/>
      </w:pPr>
    </w:p>
    <w:p>
      <w:pPr>
        <w:pStyle w:val="Heading1"/>
        <w:keepNext/>
        <w:keepLines/>
        <w:spacing w:after="200" w:before="400"/>
      </w:pPr>
      <w:r>
        <w:rPr>
          <w:rFonts w:ascii="Arial" w:cs="Arial" w:eastAsia="Arial" w:hAnsi="Arial"/>
          <w:b/>
          <w:bCs/>
          <w:color w:val="1B2A4A"/>
          <w:sz w:val="36"/>
          <w:szCs w:val="36"/>
        </w:rPr>
        <w:t xml:space="preserve">Target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Priority</w:t>
            </w:r>
          </w:p>
        </w:tc>
        <w:tc>
          <w:tcPr>
            <w:tcW w:type="dxa" w:w="3613"/>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Segment</w:t>
            </w:r>
          </w:p>
        </w:tc>
        <w:tc>
          <w:tcPr>
            <w:tcW w:type="dxa" w:w="3613"/>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Why They Buy</w:t>
            </w:r>
          </w:p>
        </w:tc>
      </w:tr>
      <w:tr>
        <w:tc>
          <w:tcPr>
            <w:tcW w:type="dxa" w:w="1800"/>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1</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Indian SaaS founders, 5–50 employees, seed to Series B — especially with EU customer exposure</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DPDP is now a due diligence item for fundraising. VCs ask about it. EU exposure adds GDPR urgency. Dual-framework customers have the lowest churn.</w:t>
            </w:r>
          </w:p>
        </w:tc>
      </w:tr>
      <w:tr>
        <w:tc>
          <w:tcPr>
            <w:tcW w:type="dxa" w:w="1800"/>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2</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Edtech CTOs, 50K–2M users, K–12 or upskilling products</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Children’s data provisions are the harshest under DPDP. One violation and the brand is destroyed. Reputational risk is existential.</w:t>
            </w:r>
          </w:p>
        </w:tc>
      </w:tr>
      <w:tr>
        <w:tc>
          <w:tcPr>
            <w:tcW w:type="dxa" w:w="1800"/>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3</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D2C e-commerce founders, ₹5–50 crore GMV, email and WhatsApp marketing-heavy</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Email lists and WhatsApp groups are explicitly regulated. First enforcement cases are likely here.</w:t>
            </w:r>
          </w:p>
        </w:tc>
      </w:tr>
      <w:tr>
        <w:tc>
          <w:tcPr>
            <w:tcW w:type="dxa" w:w="1800"/>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4</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Single-doctor clinics and small group practices in Telangana and Karnataka</w:t>
            </w:r>
          </w:p>
        </w:tc>
        <w:tc>
          <w:tcPr>
            <w:tcW w:type="dxa" w:w="36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ABDM registration plus health data means immediate DPDP obligation. Most clinics are unaware. The DPDP + ABDM bundle is the premium play.</w:t>
            </w:r>
          </w:p>
        </w:tc>
      </w:tr>
    </w:tbl>
    <w:p>
      <w:pPr>
        <w:spacing w:after="0" w:before="100"/>
      </w:pPr>
    </w:p>
    <w:p>
      <w:pPr>
        <w:spacing w:after="80" w:before="80" w:line="340"/>
        <w:jc w:val="left"/>
      </w:pPr>
      <w:r>
        <w:rPr>
          <w:rFonts w:ascii="Arial" w:cs="Arial" w:eastAsia="Arial" w:hAnsi="Arial"/>
          <w:color w:val="374151"/>
          <w:sz w:val="22"/>
          <w:szCs w:val="22"/>
        </w:rPr>
        <w:t xml:space="preserve">The total addressable market is every company in India that processes personal data — estimated at 400,000+ businesses. The serviceable addressable market for the first 24 months focuses on digitally sophisticated, self-serve buyers: approximately 15,000 active SaaS startups, 3,000 edtech platforms, 25,000 D2C brands, 2,000 HR tech platforms, and 438,000 ABDM-registered healthcare facilities.</w:t>
      </w:r>
    </w:p>
    <w:p>
      <w:pPr>
        <w:pBdr>
          <w:bottom w:val="single" w:color="0D9488" w:sz="4" w:space="1"/>
        </w:pBdr>
        <w:spacing w:after="200" w:before="200"/>
      </w:pPr>
    </w:p>
    <w:p>
      <w:pPr>
        <w:pStyle w:val="Heading1"/>
        <w:keepNext/>
        <w:keepLines/>
        <w:spacing w:after="200" w:before="400"/>
      </w:pPr>
      <w:r>
        <w:rPr>
          <w:rFonts w:ascii="Arial" w:cs="Arial" w:eastAsia="Arial" w:hAnsi="Arial"/>
          <w:b/>
          <w:bCs/>
          <w:color w:val="1B2A4A"/>
          <w:sz w:val="36"/>
          <w:szCs w:val="36"/>
        </w:rPr>
        <w:t xml:space="preserve">Competitive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Competitor</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Type</w:t>
            </w:r>
          </w:p>
        </w:tc>
        <w:tc>
          <w:tcPr>
            <w:tcW w:type="dxa" w:w="542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Why ConsentShield Wins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OneTrust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US GRC platform</w:t>
            </w:r>
          </w:p>
        </w:tc>
        <w:tc>
          <w:tcPr>
            <w:tcW w:type="dxa" w:w="54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$50,000+/year. Built for GDPR. No DPDP-specific templates, no India-native consent artefacts, no enforcement monitoring.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Scrut / Sprinto</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Indian GRC</w:t>
            </w:r>
          </w:p>
        </w:tc>
        <w:tc>
          <w:tcPr>
            <w:tcW w:type="dxa" w:w="54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Focused on SOC 2 and ISO 27001 audit preparation. No DPDP module. Different buyer (security team vs compliance team).</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Privy by IDfy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Indian CMP</w:t>
            </w:r>
          </w:p>
        </w:tc>
        <w:tc>
          <w:tcPr>
            <w:tcW w:type="dxa" w:w="54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Consent management only. No enforcement monitoring, no tracker detection, no deletion orchestration, no healthcare bundle.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CookieYes / GoTrust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Consent tools</w:t>
            </w:r>
          </w:p>
        </w:tc>
        <w:tc>
          <w:tcPr>
            <w:tcW w:type="dxa" w:w="54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Cookie-focused tools adapted from GDPR. No DPDP-specific features, no enforcement verification, no Indian healthcare integration.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Zoho (rumoured)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Suite add-on</w:t>
            </w:r>
          </w:p>
        </w:tc>
        <w:tc>
          <w:tcPr>
            <w:tcW w:type="dxa" w:w="54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Not shipped. Even if shipped, a generic add-on in a 50-product suite cannot position itself as a DPDP enforcement specialist.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Law firms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Manual advisory</w:t>
            </w:r>
          </w:p>
        </w:tc>
        <w:tc>
          <w:tcPr>
            <w:tcW w:type="dxa" w:w="542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₹5–25 lakh per engagement. One-time document, not a living system. No operational tooling, no enforcement monitoring, no ongoing workflow.</w:t>
            </w:r>
          </w:p>
        </w:tc>
      </w:tr>
    </w:tbl>
    <w:p>
      <w:pPr>
        <w:spacing w:after="0" w:before="100"/>
      </w:pPr>
    </w:p>
    <w:p>
      <w:pPr>
        <w:spacing w:after="80" w:before="80" w:line="340"/>
        <w:jc w:val="left"/>
      </w:pPr>
      <w:r>
        <w:rPr>
          <w:rFonts w:ascii="Arial" w:cs="Arial" w:eastAsia="Arial" w:hAnsi="Arial"/>
          <w:color w:val="374151"/>
          <w:sz w:val="22"/>
          <w:szCs w:val="22"/>
        </w:rPr>
        <w:t xml:space="preserve">ConsentShield’s structural advantage is that it is the only India-focused platform that monitors actual consent enforcement, orchestrates data deletion across connected systems, runs synthetic compliance probes, and produces verifiable enforcement evidence. Every other tool in the market documents compliance. ConsentShield proves it.</w:t>
      </w:r>
    </w:p>
    <w:p>
      <w:pPr>
        <w:pBdr>
          <w:bottom w:val="single" w:color="0D9488" w:sz="4" w:space="1"/>
        </w:pBdr>
        <w:spacing w:after="200" w:before="200"/>
      </w:pPr>
    </w:p>
    <w:p>
      <w:pPr>
        <w:pStyle w:val="Heading1"/>
        <w:keepNext/>
        <w:keepLines/>
        <w:spacing w:after="200" w:before="400"/>
      </w:pPr>
      <w:r>
        <w:rPr>
          <w:rFonts w:ascii="Arial" w:cs="Arial" w:eastAsia="Arial" w:hAnsi="Arial"/>
          <w:b/>
          <w:bCs/>
          <w:color w:val="1B2A4A"/>
          <w:sz w:val="36"/>
          <w:szCs w:val="36"/>
        </w:rPr>
        <w:t xml:space="preserve">Pricing and Packaging</w:t>
      </w:r>
    </w:p>
    <w:p>
      <w:pPr>
        <w:spacing w:after="80" w:before="80" w:line="340"/>
        <w:jc w:val="left"/>
      </w:pPr>
      <w:r>
        <w:rPr>
          <w:rFonts w:ascii="Arial" w:cs="Arial" w:eastAsia="Arial" w:hAnsi="Arial"/>
          <w:color w:val="374151"/>
          <w:sz w:val="22"/>
          <w:szCs w:val="22"/>
        </w:rPr>
        <w:t xml:space="preserve">Pricing is anchored to compliance urgency and operational value. The comparison for customers is not against other SaaS tools — it is against a law firm retainer at ₹5–25 lakh per engagement. Every ConsentShield price point represents a fraction of that cost for a continuous, living compliance system rather than a one-time document.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1580"/>
        <w:gridCol w:w="1580"/>
        <w:gridCol w:w="1580"/>
        <w:gridCol w:w="1580"/>
      </w:tblGrid>
      <w:tr>
        <w:tc>
          <w:tcPr>
            <w:tcW w:type="dxa" w:w="2706"/>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
            </w:r>
          </w:p>
        </w:tc>
        <w:tc>
          <w:tcPr>
            <w:tcW w:type="dxa" w:w="15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Starter
₹2,999/mo</w:t>
            </w:r>
          </w:p>
        </w:tc>
        <w:tc>
          <w:tcPr>
            <w:tcW w:type="dxa" w:w="15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Growth
₹5,999/mo</w:t>
            </w:r>
          </w:p>
        </w:tc>
        <w:tc>
          <w:tcPr>
            <w:tcW w:type="dxa" w:w="15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Pro
₹9,999/mo</w:t>
            </w:r>
          </w:p>
        </w:tc>
        <w:tc>
          <w:tcPr>
            <w:tcW w:type="dxa" w:w="15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Enterprise
₹24,999+/mo</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Web properties</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1</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3</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10</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Unlimited</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Consent banner + monitoring</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Tracker enforcement</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Privacy notice + data inventory</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Breach notification workflow</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Rights management + SLA</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Withdrawal verification</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Security posture scanning</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Deletion orchestration</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3 connectors</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13 connectors</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Unlimited</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GDPR module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Consent probe testing</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Compliance API</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White-label + custom domains</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DPO matchmaking</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r>
      <w:tr>
        <w:tc>
          <w:tcPr>
            <w:tcW w:type="dxa" w:w="2706"/>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ABDM healthcare bundle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w:t>
            </w:r>
          </w:p>
        </w:tc>
        <w:tc>
          <w:tcPr>
            <w:tcW w:type="dxa" w:w="1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Add-on ₹4,999/mo</w:t>
            </w:r>
          </w:p>
        </w:tc>
      </w:tr>
    </w:tbl>
    <w:p>
      <w:pPr>
        <w:spacing w:after="0" w:before="100"/>
      </w:pPr>
    </w:p>
    <w:p>
      <w:pPr>
        <w:spacing w:after="80" w:before="80" w:line="340"/>
        <w:jc w:val="left"/>
      </w:pPr>
      <w:r>
        <w:rPr>
          <w:rFonts w:ascii="Arial" w:cs="Arial" w:eastAsia="Arial" w:hAnsi="Arial"/>
          <w:color w:val="374151"/>
          <w:sz w:val="22"/>
          <w:szCs w:val="22"/>
        </w:rPr>
        <w:t xml:space="preserve">Annual prepayment receives a 20% discount (two months free). CA and legal firm partners receive 30% revenue share on referred and managed accounts. Startup accelerator partnerships (NASSCOM, T-Hub, iSPIRT) receive group pricing at 40% off the Growth tier for cohort members.</w:t>
      </w:r>
    </w:p>
    <w:p>
      <w:pPr>
        <w:pBdr>
          <w:bottom w:val="single" w:color="0D9488" w:sz="4" w:space="1"/>
        </w:pBdr>
        <w:spacing w:after="200" w:before="200"/>
      </w:pPr>
    </w:p>
    <w:p>
      <w:pPr>
        <w:pStyle w:val="Heading1"/>
        <w:keepNext/>
        <w:keepLines/>
        <w:spacing w:after="200" w:before="400"/>
      </w:pPr>
      <w:r>
        <w:rPr>
          <w:rFonts w:ascii="Arial" w:cs="Arial" w:eastAsia="Arial" w:hAnsi="Arial"/>
          <w:b/>
          <w:bCs/>
          <w:color w:val="1B2A4A"/>
          <w:sz w:val="36"/>
          <w:szCs w:val="36"/>
        </w:rPr>
        <w:t xml:space="preserve">The Partnership</w:t>
      </w:r>
    </w:p>
    <w:p>
      <w:pPr>
        <w:spacing w:after="80" w:before="80" w:line="340"/>
        <w:jc w:val="left"/>
      </w:pPr>
      <w:r>
        <w:rPr>
          <w:rFonts w:ascii="Arial" w:cs="Arial" w:eastAsia="Arial" w:hAnsi="Arial"/>
          <w:color w:val="374151"/>
          <w:sz w:val="22"/>
          <w:szCs w:val="22"/>
        </w:rPr>
        <w:t xml:space="preserve">ConsentShield requires a partner to reach its full market potential. The DPDP Rules specify that only Indian-incorporated companies with a net worth of ₹2 crore may register as a Consent Manager. A software developer building the platform cannot simultaneously fulfil this regulatory role. The right partner transforms ConsentShield from a product into a market-defining business.</w:t>
      </w:r>
    </w:p>
    <w:p>
      <w:pPr>
        <w:spacing w:after="0" w:before="100"/>
      </w:pPr>
    </w:p>
    <w:p>
      <w:pPr>
        <w:pStyle w:val="Heading2"/>
        <w:keepNext/>
        <w:keepLines/>
        <w:spacing w:after="150" w:before="300"/>
      </w:pPr>
      <w:r>
        <w:rPr>
          <w:rFonts w:ascii="Arial" w:cs="Arial" w:eastAsia="Arial" w:hAnsi="Arial"/>
          <w:b/>
          <w:bCs/>
          <w:color w:val="1B2A4A"/>
          <w:sz w:val="28"/>
          <w:szCs w:val="28"/>
        </w:rPr>
        <w:t xml:space="preserve">What the Platform Brings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Asset</w:t>
            </w:r>
          </w:p>
        </w:tc>
        <w:tc>
          <w:tcPr>
            <w:tcW w:type="dxa" w:w="6018"/>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Detail</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Complete product</w:t>
            </w:r>
          </w:p>
        </w:tc>
        <w:tc>
          <w:tcPr>
            <w:tcW w:type="dxa" w:w="601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Fully designed, architected, and built platform covering DPDP, GDPR, and ABDM healthcare compliance with enforcement capabilities no competitor in India offers.</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Enforcement differentiator</w:t>
            </w:r>
          </w:p>
        </w:tc>
        <w:tc>
          <w:tcPr>
            <w:tcW w:type="dxa" w:w="601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Real-time tracker monitoring, consent withdrawal verification, deletion orchestration with receipts, consent probe testing, and security posture scanning. This is the product moat.</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Stateless architecture</w:t>
            </w:r>
          </w:p>
        </w:tc>
        <w:tc>
          <w:tcPr>
            <w:tcW w:type="dxa" w:w="601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Customer owns their compliance record. ConsentShield never holds it. This reduces liability, simplifies the DPA, and is a genuine selling point.</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AI-accelerated development</w:t>
            </w:r>
          </w:p>
        </w:tc>
        <w:tc>
          <w:tcPr>
            <w:tcW w:type="dxa" w:w="601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Code production at 5–10× the rate of a traditional developer. New features, connectors, and integrations can be shipped in days, not months.</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Multi-vertical coverage</w:t>
            </w:r>
          </w:p>
        </w:tc>
        <w:tc>
          <w:tcPr>
            <w:tcW w:type="dxa" w:w="601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SaaS, edtech, fintech, e-commerce, and healthcare from a single platform. Sector templates enable rapid onboarding for each vertical.</w:t>
            </w:r>
          </w:p>
        </w:tc>
      </w:tr>
    </w:tbl>
    <w:p>
      <w:pPr>
        <w:spacing w:after="0" w:before="200"/>
      </w:pPr>
    </w:p>
    <w:p>
      <w:pPr>
        <w:pStyle w:val="Heading2"/>
        <w:keepNext/>
        <w:keepLines/>
        <w:spacing w:after="150" w:before="300"/>
      </w:pPr>
      <w:r>
        <w:rPr>
          <w:rFonts w:ascii="Arial" w:cs="Arial" w:eastAsia="Arial" w:hAnsi="Arial"/>
          <w:b/>
          <w:bCs/>
          <w:color w:val="1B2A4A"/>
          <w:sz w:val="28"/>
          <w:szCs w:val="28"/>
        </w:rPr>
        <w:t xml:space="preserve">What the Partner Brings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Requirement</w:t>
            </w:r>
          </w:p>
        </w:tc>
        <w:tc>
          <w:tcPr>
            <w:tcW w:type="dxa" w:w="6018"/>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Why It Is Needed</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Consent Manager registration</w:t>
            </w:r>
          </w:p>
        </w:tc>
        <w:tc>
          <w:tcPr>
            <w:tcW w:type="dxa" w:w="601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DPDP Rule 3 requires ₹2 crore net worth and Indian incorporation. The regulatory licence that allows ConsentShield to operate as a registered Consent Manager.</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Customer-facing operations</w:t>
            </w:r>
          </w:p>
        </w:tc>
        <w:tc>
          <w:tcPr>
            <w:tcW w:type="dxa" w:w="601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Support team, onboarding, account management. The developer builds the platform; the partner runs the business.</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Sales and marketing</w:t>
            </w:r>
          </w:p>
        </w:tc>
        <w:tc>
          <w:tcPr>
            <w:tcW w:type="dxa" w:w="601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Content distribution, community presence (SaaSBoomi, NASSCOM, T-Hub), CA firm partnerships, healthcare channel development (IMA-Telangana).</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Legal entity for contracts</w:t>
            </w:r>
          </w:p>
        </w:tc>
        <w:tc>
          <w:tcPr>
            <w:tcW w:type="dxa" w:w="601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Data Processing Agreements, customer contracts, DPO partner agreements, and ABDM facility registration all require a legal entity.</w:t>
            </w:r>
          </w:p>
        </w:tc>
      </w:tr>
      <w:tr>
        <w:tc>
          <w:tcPr>
            <w:tcW w:type="dxa" w:w="3008"/>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Regulatory liaison</w:t>
            </w:r>
          </w:p>
        </w:tc>
        <w:tc>
          <w:tcPr>
            <w:tcW w:type="dxa" w:w="6018"/>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Interaction with the Data Protection Board, NHA for ABDM production approval, and any future compliance certifications.</w:t>
            </w:r>
          </w:p>
        </w:tc>
      </w:tr>
    </w:tbl>
    <w:p>
      <w:pPr>
        <w:spacing w:after="0" w:before="200"/>
      </w:pPr>
    </w:p>
    <w:p>
      <w:pPr>
        <w:pStyle w:val="Heading2"/>
        <w:keepNext/>
        <w:keepLines/>
        <w:spacing w:after="150" w:before="300"/>
      </w:pPr>
      <w:r>
        <w:rPr>
          <w:rFonts w:ascii="Arial" w:cs="Arial" w:eastAsia="Arial" w:hAnsi="Arial"/>
          <w:b/>
          <w:bCs/>
          <w:color w:val="1B2A4A"/>
          <w:sz w:val="28"/>
          <w:szCs w:val="28"/>
        </w:rPr>
        <w:t xml:space="preserve">Revenue Model</w:t>
      </w:r>
    </w:p>
    <w:p>
      <w:pPr>
        <w:spacing w:after="80" w:before="80" w:line="340"/>
        <w:jc w:val="left"/>
      </w:pPr>
      <w:r>
        <w:rPr>
          <w:rFonts w:ascii="Arial" w:cs="Arial" w:eastAsia="Arial" w:hAnsi="Arial"/>
          <w:color w:val="374151"/>
          <w:sz w:val="22"/>
          <w:szCs w:val="22"/>
        </w:rPr>
        <w:t xml:space="preserve">The partnership is a revenue-sharing arrangement. The developer builds and maintains the platform. The partner company operates the Consent Manager registration, hires and manages the support and sales team, and owns the customer relationship. Revenue split and IP ownership are negotiable.</w:t>
      </w:r>
    </w:p>
    <w:p>
      <w:pPr>
        <w:spacing w:after="80" w:before="80" w:line="340"/>
        <w:jc w:val="left"/>
      </w:pPr>
      <w:r>
        <w:rPr>
          <w:rFonts w:ascii="Arial" w:cs="Arial" w:eastAsia="Arial" w:hAnsi="Arial"/>
          <w:color w:val="374151"/>
          <w:sz w:val="22"/>
          <w:szCs w:val="22"/>
        </w:rPr>
        <w:t xml:space="preserve">The partner’s investment is operational — team and registration — not research and development. The R&amp;D is complete. The product is designed, architected, and ready to build at speed.</w:t>
      </w:r>
    </w:p>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9488" w:sz="1"/>
              <w:left w:val="single" w:color="0D9488" w:sz="12"/>
              <w:bottom w:val="single" w:color="0D9488" w:sz="1"/>
              <w:right w:val="single" w:color="0D9488" w:sz="1"/>
            </w:tcBorders>
            <w:shd w:fill="E6F5F3" w:val="clear"/>
            <w:tcMar>
              <w:top w:type="dxa" w:w="160"/>
              <w:left w:type="dxa" w:w="240"/>
              <w:bottom w:type="dxa" w:w="160"/>
              <w:right w:type="dxa" w:w="240"/>
            </w:tcMar>
          </w:tcPr>
          <w:p>
            <w:pPr>
              <w:spacing w:after="0" w:before="0" w:line="340"/>
            </w:pPr>
            <w:r>
              <w:rPr>
                <w:rFonts w:ascii="Arial" w:cs="Arial" w:eastAsia="Arial" w:hAnsi="Arial"/>
                <w:i/>
                <w:iCs/>
                <w:color w:val="1B2A4A"/>
                <w:sz w:val="22"/>
                <w:szCs w:val="22"/>
              </w:rPr>
              <w:t xml:space="preserve">ConsentShield is not looking for funding. It is looking for a partner who can carry the regulatory registration, build the go-to-market team, and take a market-defining compliance platform to India’s 400,000+ businesses before the enforcement deadline arrives.</w:t>
            </w:r>
          </w:p>
        </w:tc>
      </w:tr>
    </w:tbl>
    <w:p>
      <w:pPr>
        <w:pBdr>
          <w:bottom w:val="single" w:color="0D9488" w:sz="4" w:space="1"/>
        </w:pBdr>
        <w:spacing w:after="200" w:before="200"/>
      </w:pPr>
    </w:p>
    <w:p>
      <w:pPr>
        <w:pStyle w:val="Heading1"/>
        <w:keepNext/>
        <w:keepLines/>
        <w:spacing w:after="200" w:before="400"/>
      </w:pPr>
      <w:r>
        <w:rPr>
          <w:rFonts w:ascii="Arial" w:cs="Arial" w:eastAsia="Arial" w:hAnsi="Arial"/>
          <w:b/>
          <w:bCs/>
          <w:color w:val="1B2A4A"/>
          <w:sz w:val="36"/>
          <w:szCs w:val="36"/>
        </w:rPr>
        <w:t xml:space="preserve">The Enforcement Timeline</w:t>
      </w:r>
    </w:p>
    <w:p>
      <w:pPr>
        <w:spacing w:after="80" w:before="80" w:line="340"/>
        <w:jc w:val="left"/>
      </w:pPr>
      <w:r>
        <w:rPr>
          <w:rFonts w:ascii="Arial" w:cs="Arial" w:eastAsia="Arial" w:hAnsi="Arial"/>
          <w:color w:val="374151"/>
          <w:sz w:val="22"/>
          <w:szCs w:val="22"/>
        </w:rPr>
        <w:t xml:space="preserve">All commercial conversations in 2026 should be anchored to three dates.</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513"/>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Event</w:t>
            </w:r>
          </w:p>
        </w:tc>
        <w:tc>
          <w:tcPr>
            <w:tcW w:type="dxa" w:w="3513"/>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Impact</w:t>
            </w:r>
          </w:p>
        </w:tc>
      </w:tr>
      <w:tr>
        <w:tc>
          <w:tcPr>
            <w:tcW w:type="dxa" w:w="2000"/>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13 Nov 2025</w:t>
            </w:r>
          </w:p>
        </w:tc>
        <w:tc>
          <w:tcPr>
            <w:tcW w:type="dxa" w:w="35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DPDP Rules notified. Data Protection Board established.</w:t>
            </w:r>
          </w:p>
        </w:tc>
        <w:tc>
          <w:tcPr>
            <w:tcW w:type="dxa" w:w="35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Legal obligation confirmed. Planning mode begins across all sectors.</w:t>
            </w:r>
          </w:p>
        </w:tc>
      </w:tr>
      <w:tr>
        <w:tc>
          <w:tcPr>
            <w:tcW w:type="dxa" w:w="2000"/>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13 Nov 2026</w:t>
            </w:r>
          </w:p>
        </w:tc>
        <w:tc>
          <w:tcPr>
            <w:tcW w:type="dxa" w:w="35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Consent Manager framework becomes operational. Registration opens.</w:t>
            </w:r>
          </w:p>
        </w:tc>
        <w:tc>
          <w:tcPr>
            <w:tcW w:type="dxa" w:w="35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Companies must have a registered Consent Manager or use one. This is the registration deadline for ConsentShield.</w:t>
            </w:r>
          </w:p>
        </w:tc>
      </w:tr>
      <w:tr>
        <w:tc>
          <w:tcPr>
            <w:tcW w:type="dxa" w:w="2000"/>
            <w:tcBorders>
              <w:top w:val="single" w:color="D1D5DB" w:sz="1"/>
              <w:left w:val="single" w:color="D1D5DB" w:sz="1"/>
              <w:bottom w:val="single" w:color="D1D5DB" w:sz="1"/>
              <w:right w:val="single" w:color="D1D5DB" w:sz="1"/>
            </w:tcBorders>
            <w:shd w:fill="E6F5F3" w:val="clear"/>
            <w:tcMar>
              <w:top w:type="dxa" w:w="80"/>
              <w:left w:type="dxa" w:w="120"/>
              <w:bottom w:type="dxa" w:w="80"/>
              <w:right w:type="dxa" w:w="120"/>
            </w:tcMar>
            <w:vAlign w:val="center"/>
          </w:tcPr>
          <w:p>
            <w:pPr>
              <w:spacing w:after="40" w:before="40"/>
            </w:pPr>
            <w:r>
              <w:rPr>
                <w:rFonts w:ascii="Arial" w:cs="Arial" w:eastAsia="Arial" w:hAnsi="Arial"/>
                <w:b/>
                <w:bCs/>
                <w:color w:val="374151"/>
                <w:sz w:val="20"/>
                <w:szCs w:val="20"/>
              </w:rPr>
              <w:t xml:space="preserve">13 May 2027</w:t>
            </w:r>
          </w:p>
        </w:tc>
        <w:tc>
          <w:tcPr>
            <w:tcW w:type="dxa" w:w="35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Full enforcement: processing obligations, rights architecture, and penalties.</w:t>
            </w:r>
          </w:p>
        </w:tc>
        <w:tc>
          <w:tcPr>
            <w:tcW w:type="dxa" w:w="351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spacing w:after="40" w:before="40"/>
            </w:pPr>
            <w:r>
              <w:rPr>
                <w:rFonts w:ascii="Arial" w:cs="Arial" w:eastAsia="Arial" w:hAnsi="Arial"/>
                <w:b w:val="false"/>
                <w:bCs w:val="false"/>
                <w:color w:val="374151"/>
                <w:sz w:val="20"/>
                <w:szCs w:val="20"/>
              </w:rPr>
              <w:t xml:space="preserve">₹250 crore per violation. Cumulative exposure up to ₹650 crore. Every company must be compliant.</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1B2A4A" w:sz="16"/>
              <w:bottom w:val="none" w:sz="0"/>
              <w:right w:val="none" w:sz="0"/>
            </w:tcBorders>
            <w:tcMar>
              <w:top w:type="dxa" w:w="120"/>
              <w:left w:type="dxa" w:w="240"/>
              <w:bottom w:type="dxa" w:w="120"/>
              <w:right w:type="dxa" w:w="120"/>
            </w:tcMar>
          </w:tcPr>
          <w:p>
            <w:pPr>
              <w:spacing w:after="0" w:before="0" w:line="360"/>
            </w:pPr>
            <w:r>
              <w:rPr>
                <w:rFonts w:ascii="Arial" w:cs="Arial" w:eastAsia="Arial" w:hAnsi="Arial"/>
                <w:i/>
                <w:iCs/>
                <w:color w:val="1B2A4A"/>
                <w:sz w:val="24"/>
                <w:szCs w:val="24"/>
              </w:rPr>
              <w:t xml:space="preserve">The window to establish a market-defining position is real and finite. The Consent Manager registration framework opens in November 2026. Full enforcement begins in May 2027. A partnership formed today has 13 months to register, launch, acquire customers, and be the platform businesses turn to when the enforcement clock hits zero.</w:t>
            </w:r>
          </w:p>
        </w:tc>
      </w:tr>
    </w:tbl>
    <w:p>
      <w:pPr>
        <w:spacing w:after="0" w:before="400"/>
      </w:pPr>
    </w:p>
    <w:p>
      <w:pPr>
        <w:pBdr>
          <w:bottom w:val="single" w:color="0D9488" w:sz="4" w:space="1"/>
        </w:pBdr>
        <w:spacing w:after="200" w:before="200"/>
      </w:pPr>
    </w:p>
    <w:p>
      <w:pPr>
        <w:spacing w:after="200" w:before="400"/>
        <w:jc w:val="center"/>
      </w:pPr>
      <w:r>
        <w:rPr>
          <w:rFonts w:ascii="Arial" w:cs="Arial" w:eastAsia="Arial" w:hAnsi="Arial"/>
          <w:b/>
          <w:bCs/>
          <w:color w:val="1B2A4A"/>
          <w:sz w:val="28"/>
          <w:szCs w:val="28"/>
        </w:rPr>
        <w:t xml:space="preserve">ConsentShield</w:t>
      </w:r>
    </w:p>
    <w:p>
      <w:pPr>
        <w:spacing w:after="80"/>
        <w:jc w:val="center"/>
      </w:pPr>
      <w:r>
        <w:rPr>
          <w:rFonts w:ascii="Arial" w:cs="Arial" w:eastAsia="Arial" w:hAnsi="Arial"/>
          <w:color w:val="6B7280"/>
          <w:sz w:val="20"/>
          <w:szCs w:val="20"/>
        </w:rPr>
        <w:t xml:space="preserve">Hyderabad, India  ·  April 2026</w:t>
      </w:r>
    </w:p>
    <w:p>
      <w:pPr>
        <w:spacing w:after="80"/>
        <w:jc w:val="center"/>
      </w:pPr>
      <w:r>
        <w:rPr>
          <w:rFonts w:ascii="Arial" w:cs="Arial" w:eastAsia="Arial" w:hAnsi="Arial"/>
          <w:i/>
          <w:iCs/>
          <w:color w:val="6B7280"/>
          <w:sz w:val="18"/>
          <w:szCs w:val="18"/>
        </w:rPr>
        <w:t xml:space="preserve">Confidential — For prospective partner review only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tabs>
        <w:tab w:val="right" w:pos="9026"/>
      </w:tabs>
    </w:pPr>
    <w:r>
      <w:rPr>
        <w:rFonts w:ascii="Arial" w:cs="Arial" w:eastAsia="Arial" w:hAnsi="Arial"/>
        <w:color w:val="6B7280"/>
        <w:sz w:val="16"/>
        <w:szCs w:val="16"/>
      </w:rPr>
      <w:t xml:space="preserve">ConsentShield — Partnership Overview</w:t>
    </w:r>
    <w:r>
      <w:rPr>
        <w:rFonts w:ascii="Arial" w:cs="Arial" w:eastAsia="Arial" w:hAnsi="Arial"/>
        <w:color w:val="6B72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keepNext/>
      <w:keepLines/>
      <w:spacing w:after="150" w:before="30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2026-04-12T15:11:23.471Z</dcterms:created>
  <dcterms:modified xsi:type="dcterms:W3CDTF">2026-04-12T15:11:23.493Z</dcterms:modified>
</cp:coreProperties>
</file>

<file path=docProps/custom.xml><?xml version="1.0" encoding="utf-8"?>
<Properties xmlns="http://schemas.openxmlformats.org/officeDocument/2006/custom-properties" xmlns:vt="http://schemas.openxmlformats.org/officeDocument/2006/docPropsVTypes"/>
</file>