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CE7E8">
      <w:pPr>
        <w:jc w:val="center"/>
      </w:pPr>
      <w:r>
        <w:rPr>
          <w:rFonts w:ascii="微软雅黑" w:hAnsi="微软雅黑" w:eastAsia="微软雅黑" w:cs="微软雅黑"/>
          <w:b/>
          <w:color w:val="3C5488"/>
          <w:sz w:val="44"/>
        </w:rPr>
        <w:t>第五部分：LLM 与大模型应用</w:t>
      </w:r>
    </w:p>
    <w:p w14:paraId="6B5797FD">
      <w:pPr>
        <w:jc w:val="center"/>
      </w:pPr>
      <w:r>
        <w:rPr>
          <w:rFonts w:ascii="微软雅黑" w:hAnsi="微软雅黑" w:eastAsia="微软雅黑" w:cs="微软雅黑"/>
          <w:color w:val="8491B4"/>
          <w:sz w:val="32"/>
        </w:rPr>
        <w:t>实 验 报 告</w:t>
      </w:r>
    </w:p>
    <w:p w14:paraId="7EA4B477">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eastAsia" w:ascii="微软雅黑" w:hAnsi="微软雅黑" w:eastAsia="微软雅黑" w:cs="微软雅黑"/>
          <w:b/>
          <w:color w:val="3C5488"/>
          <w:sz w:val="32"/>
          <w:lang w:val="en-US" w:eastAsia="zh-CN"/>
        </w:rPr>
      </w:pPr>
      <w:r>
        <w:rPr>
          <w:rFonts w:hint="eastAsia" w:ascii="微软雅黑" w:hAnsi="微软雅黑" w:eastAsia="微软雅黑" w:cs="微软雅黑"/>
          <w:b/>
          <w:color w:val="3C5488"/>
          <w:sz w:val="32"/>
          <w:lang w:val="en-US" w:eastAsia="zh-CN"/>
        </w:rPr>
        <w:t>一、实验环境</w:t>
      </w:r>
    </w:p>
    <w:tbl>
      <w:tblPr>
        <w:tblStyle w:val="49"/>
        <w:tblW w:w="8640"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931"/>
        <w:gridCol w:w="6709"/>
      </w:tblGrid>
      <w:tr w14:paraId="23EF0246">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1931" w:type="dxa"/>
            <w:tcBorders>
              <w:top w:val="single" w:color="auto" w:sz="12" w:space="0"/>
              <w:left w:val="nil"/>
              <w:bottom w:val="nil"/>
              <w:right w:val="nil"/>
            </w:tcBorders>
            <w:noWrap w:val="0"/>
            <w:tcMar>
              <w:top w:w="-1" w:type="dxa"/>
              <w:left w:w="-1" w:type="dxa"/>
              <w:bottom w:w="-1" w:type="dxa"/>
              <w:right w:w="-1" w:type="dxa"/>
            </w:tcMar>
            <w:vAlign w:val="center"/>
          </w:tcPr>
          <w:p w14:paraId="38761B41">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cs="微软雅黑"/>
                <w:b/>
                <w:sz w:val="20"/>
              </w:rPr>
              <w:t>配置项</w:t>
            </w:r>
          </w:p>
        </w:tc>
        <w:tc>
          <w:tcPr>
            <w:tcW w:w="6709" w:type="dxa"/>
            <w:tcBorders>
              <w:top w:val="single" w:color="auto" w:sz="12" w:space="0"/>
              <w:left w:val="nil"/>
              <w:bottom w:val="nil"/>
              <w:right w:val="nil"/>
            </w:tcBorders>
            <w:noWrap w:val="0"/>
            <w:tcMar>
              <w:top w:w="-1" w:type="dxa"/>
              <w:left w:w="-1" w:type="dxa"/>
              <w:bottom w:w="-1" w:type="dxa"/>
              <w:right w:w="-1" w:type="dxa"/>
            </w:tcMar>
            <w:vAlign w:val="center"/>
          </w:tcPr>
          <w:p w14:paraId="0500D49E">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cs="微软雅黑"/>
                <w:b/>
                <w:sz w:val="20"/>
              </w:rPr>
              <w:t>详情</w:t>
            </w:r>
          </w:p>
        </w:tc>
      </w:tr>
      <w:tr w14:paraId="69E5845E">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single" w:color="auto" w:sz="4" w:space="0"/>
              <w:left w:val="nil"/>
              <w:bottom w:val="nil"/>
              <w:right w:val="nil"/>
            </w:tcBorders>
            <w:noWrap w:val="0"/>
            <w:tcMar>
              <w:top w:w="-1" w:type="dxa"/>
              <w:left w:w="-1" w:type="dxa"/>
              <w:bottom w:w="-1" w:type="dxa"/>
              <w:right w:w="-1" w:type="dxa"/>
            </w:tcMar>
            <w:vAlign w:val="center"/>
          </w:tcPr>
          <w:p w14:paraId="2FB536A0">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本地环境</w:t>
            </w:r>
          </w:p>
        </w:tc>
        <w:tc>
          <w:tcPr>
            <w:tcW w:w="6709" w:type="dxa"/>
            <w:tcBorders>
              <w:top w:val="single" w:color="auto" w:sz="4" w:space="0"/>
              <w:left w:val="nil"/>
              <w:bottom w:val="nil"/>
              <w:right w:val="nil"/>
            </w:tcBorders>
            <w:noWrap w:val="0"/>
            <w:tcMar>
              <w:top w:w="-1" w:type="dxa"/>
              <w:left w:w="-1" w:type="dxa"/>
              <w:bottom w:w="-1" w:type="dxa"/>
              <w:right w:w="-1" w:type="dxa"/>
            </w:tcMar>
            <w:vAlign w:val="center"/>
          </w:tcPr>
          <w:p w14:paraId="38D2F3BD">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Windows 11 + Python 3.12 + Docker (dl-env)</w:t>
            </w:r>
          </w:p>
        </w:tc>
      </w:tr>
      <w:tr w14:paraId="7FBE0ACE">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noWrap w:val="0"/>
            <w:tcMar>
              <w:top w:w="-1" w:type="dxa"/>
              <w:left w:w="-1" w:type="dxa"/>
              <w:bottom w:w="-1" w:type="dxa"/>
              <w:right w:w="-1" w:type="dxa"/>
            </w:tcMar>
            <w:vAlign w:val="center"/>
          </w:tcPr>
          <w:p w14:paraId="38E8BB0F">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云端 LLM API</w:t>
            </w:r>
          </w:p>
        </w:tc>
        <w:tc>
          <w:tcPr>
            <w:tcW w:w="6709" w:type="dxa"/>
            <w:tcBorders>
              <w:top w:val="nil"/>
              <w:left w:val="nil"/>
              <w:bottom w:val="nil"/>
              <w:right w:val="nil"/>
            </w:tcBorders>
            <w:noWrap w:val="0"/>
            <w:tcMar>
              <w:top w:w="-1" w:type="dxa"/>
              <w:left w:w="-1" w:type="dxa"/>
              <w:bottom w:w="-1" w:type="dxa"/>
              <w:right w:w="-1" w:type="dxa"/>
            </w:tcMar>
            <w:vAlign w:val="center"/>
          </w:tcPr>
          <w:p w14:paraId="50CC6C16">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agicto API (gpt-4o-mini)</w:t>
            </w:r>
          </w:p>
        </w:tc>
      </w:tr>
      <w:tr w14:paraId="048FDEA2">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noWrap w:val="0"/>
            <w:tcMar>
              <w:top w:w="-1" w:type="dxa"/>
              <w:left w:w="-1" w:type="dxa"/>
              <w:bottom w:w="-1" w:type="dxa"/>
              <w:right w:w="-1" w:type="dxa"/>
            </w:tcMar>
            <w:vAlign w:val="center"/>
          </w:tcPr>
          <w:p w14:paraId="3AE4AEB4">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向量模型</w:t>
            </w:r>
          </w:p>
        </w:tc>
        <w:tc>
          <w:tcPr>
            <w:tcW w:w="6709" w:type="dxa"/>
            <w:tcBorders>
              <w:top w:val="nil"/>
              <w:left w:val="nil"/>
              <w:bottom w:val="nil"/>
              <w:right w:val="nil"/>
            </w:tcBorders>
            <w:noWrap w:val="0"/>
            <w:tcMar>
              <w:top w:w="-1" w:type="dxa"/>
              <w:left w:w="-1" w:type="dxa"/>
              <w:bottom w:w="-1" w:type="dxa"/>
              <w:right w:w="-1" w:type="dxa"/>
            </w:tcMar>
            <w:vAlign w:val="center"/>
          </w:tcPr>
          <w:p w14:paraId="5297CECB">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BAAI/bge-small-zh-v1.5 (512维)</w:t>
            </w:r>
          </w:p>
        </w:tc>
      </w:tr>
      <w:tr w14:paraId="67327CC5">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noWrap w:val="0"/>
            <w:tcMar>
              <w:top w:w="-1" w:type="dxa"/>
              <w:left w:w="-1" w:type="dxa"/>
              <w:bottom w:w="-1" w:type="dxa"/>
              <w:right w:w="-1" w:type="dxa"/>
            </w:tcMar>
            <w:vAlign w:val="center"/>
          </w:tcPr>
          <w:p w14:paraId="001D2863">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知识库</w:t>
            </w:r>
          </w:p>
        </w:tc>
        <w:tc>
          <w:tcPr>
            <w:tcW w:w="6709" w:type="dxa"/>
            <w:tcBorders>
              <w:top w:val="nil"/>
              <w:left w:val="nil"/>
              <w:bottom w:val="nil"/>
              <w:right w:val="nil"/>
            </w:tcBorders>
            <w:noWrap w:val="0"/>
            <w:tcMar>
              <w:top w:w="-1" w:type="dxa"/>
              <w:left w:w="-1" w:type="dxa"/>
              <w:bottom w:w="-1" w:type="dxa"/>
              <w:right w:w="-1" w:type="dxa"/>
            </w:tcMar>
            <w:vAlign w:val="center"/>
          </w:tcPr>
          <w:p w14:paraId="1C509BD1">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ChromaDB 持久化存储</w:t>
            </w:r>
          </w:p>
        </w:tc>
      </w:tr>
      <w:tr w14:paraId="32C8A780">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noWrap w:val="0"/>
            <w:tcMar>
              <w:top w:w="-1" w:type="dxa"/>
              <w:left w:w="-1" w:type="dxa"/>
              <w:bottom w:w="-1" w:type="dxa"/>
              <w:right w:w="-1" w:type="dxa"/>
            </w:tcMar>
            <w:vAlign w:val="center"/>
          </w:tcPr>
          <w:p w14:paraId="27C5D169">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GPU 服务器</w:t>
            </w:r>
          </w:p>
        </w:tc>
        <w:tc>
          <w:tcPr>
            <w:tcW w:w="6709" w:type="dxa"/>
            <w:tcBorders>
              <w:top w:val="nil"/>
              <w:left w:val="nil"/>
              <w:bottom w:val="nil"/>
              <w:right w:val="nil"/>
            </w:tcBorders>
            <w:noWrap w:val="0"/>
            <w:tcMar>
              <w:top w:w="-1" w:type="dxa"/>
              <w:left w:w="-1" w:type="dxa"/>
              <w:bottom w:w="-1" w:type="dxa"/>
              <w:right w:w="-1" w:type="dxa"/>
            </w:tcMar>
            <w:vAlign w:val="center"/>
          </w:tcPr>
          <w:p w14:paraId="45E2418F">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Tesla V100S 32GB, CUDA 13.0</w:t>
            </w:r>
          </w:p>
        </w:tc>
      </w:tr>
      <w:tr w14:paraId="6672A3F6">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noWrap w:val="0"/>
            <w:tcMar>
              <w:top w:w="-1" w:type="dxa"/>
              <w:left w:w="-1" w:type="dxa"/>
              <w:bottom w:w="-1" w:type="dxa"/>
              <w:right w:w="-1" w:type="dxa"/>
            </w:tcMar>
            <w:vAlign w:val="center"/>
          </w:tcPr>
          <w:p w14:paraId="35D87DD5">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本地部署模型</w:t>
            </w:r>
          </w:p>
        </w:tc>
        <w:tc>
          <w:tcPr>
            <w:tcW w:w="6709" w:type="dxa"/>
            <w:tcBorders>
              <w:top w:val="nil"/>
              <w:left w:val="nil"/>
              <w:bottom w:val="nil"/>
              <w:right w:val="nil"/>
            </w:tcBorders>
            <w:noWrap w:val="0"/>
            <w:tcMar>
              <w:top w:w="-1" w:type="dxa"/>
              <w:left w:w="-1" w:type="dxa"/>
              <w:bottom w:w="-1" w:type="dxa"/>
              <w:right w:w="-1" w:type="dxa"/>
            </w:tcMar>
            <w:vAlign w:val="center"/>
          </w:tcPr>
          <w:p w14:paraId="0F283E7A">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Qwen2.5-7B-Instruct (FP16, ~15GB 显存)</w:t>
            </w:r>
          </w:p>
        </w:tc>
      </w:tr>
      <w:tr w14:paraId="42ED4548">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nil"/>
              <w:left w:val="nil"/>
              <w:bottom w:val="nil"/>
              <w:right w:val="nil"/>
            </w:tcBorders>
            <w:noWrap w:val="0"/>
            <w:tcMar>
              <w:top w:w="-1" w:type="dxa"/>
              <w:left w:w="-1" w:type="dxa"/>
              <w:bottom w:w="-1" w:type="dxa"/>
              <w:right w:w="-1" w:type="dxa"/>
            </w:tcMar>
            <w:vAlign w:val="center"/>
          </w:tcPr>
          <w:p w14:paraId="7F89853E">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推理框架</w:t>
            </w:r>
          </w:p>
        </w:tc>
        <w:tc>
          <w:tcPr>
            <w:tcW w:w="6709" w:type="dxa"/>
            <w:tcBorders>
              <w:top w:val="nil"/>
              <w:left w:val="nil"/>
              <w:bottom w:val="nil"/>
              <w:right w:val="nil"/>
            </w:tcBorders>
            <w:noWrap w:val="0"/>
            <w:tcMar>
              <w:top w:w="-1" w:type="dxa"/>
              <w:left w:w="-1" w:type="dxa"/>
              <w:bottom w:w="-1" w:type="dxa"/>
              <w:right w:w="-1" w:type="dxa"/>
            </w:tcMar>
            <w:vAlign w:val="center"/>
          </w:tcPr>
          <w:p w14:paraId="6EB68E2C">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Flask + HuggingFace Transformers + PyTorch 2.6.0</w:t>
            </w:r>
          </w:p>
        </w:tc>
      </w:tr>
      <w:tr w14:paraId="46A06994">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931" w:type="dxa"/>
            <w:tcBorders>
              <w:top w:val="nil"/>
              <w:left w:val="nil"/>
              <w:bottom w:val="single" w:color="auto" w:sz="12" w:space="0"/>
              <w:right w:val="nil"/>
            </w:tcBorders>
            <w:noWrap w:val="0"/>
            <w:tcMar>
              <w:top w:w="-1" w:type="dxa"/>
              <w:left w:w="-1" w:type="dxa"/>
              <w:bottom w:w="-1" w:type="dxa"/>
              <w:right w:w="-1" w:type="dxa"/>
            </w:tcMar>
            <w:vAlign w:val="center"/>
          </w:tcPr>
          <w:p w14:paraId="68EB1DF6">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Web 框架</w:t>
            </w:r>
          </w:p>
        </w:tc>
        <w:tc>
          <w:tcPr>
            <w:tcW w:w="6709" w:type="dxa"/>
            <w:tcBorders>
              <w:top w:val="nil"/>
              <w:left w:val="nil"/>
              <w:bottom w:val="single" w:color="auto" w:sz="12" w:space="0"/>
              <w:right w:val="nil"/>
            </w:tcBorders>
            <w:noWrap w:val="0"/>
            <w:tcMar>
              <w:top w:w="-1" w:type="dxa"/>
              <w:left w:w="-1" w:type="dxa"/>
              <w:bottom w:w="-1" w:type="dxa"/>
              <w:right w:w="-1" w:type="dxa"/>
            </w:tcMar>
            <w:vAlign w:val="center"/>
          </w:tcPr>
          <w:p w14:paraId="17CA1A4F">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Streamlit</w:t>
            </w:r>
          </w:p>
        </w:tc>
      </w:tr>
    </w:tbl>
    <w:p w14:paraId="77B45018">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ascii="微软雅黑" w:hAnsi="微软雅黑" w:eastAsia="微软雅黑" w:cs="微软雅黑"/>
          <w:b/>
          <w:color w:val="3C5488"/>
          <w:sz w:val="32"/>
        </w:rPr>
      </w:pPr>
      <w:r>
        <w:rPr>
          <w:rFonts w:hint="eastAsia" w:ascii="微软雅黑" w:hAnsi="微软雅黑" w:eastAsia="微软雅黑" w:cs="微软雅黑"/>
          <w:b/>
          <w:color w:val="3C5488"/>
          <w:sz w:val="32"/>
          <w:lang w:val="en-US" w:eastAsia="zh-CN"/>
        </w:rPr>
        <w:t>二、</w:t>
      </w:r>
      <w:r>
        <w:rPr>
          <w:rFonts w:ascii="微软雅黑" w:hAnsi="微软雅黑" w:eastAsia="微软雅黑" w:cs="微软雅黑"/>
          <w:b/>
          <w:color w:val="3C5488"/>
          <w:sz w:val="32"/>
        </w:rPr>
        <w:t>任务 A：LLM API 初体验与 Prompt Engineering</w:t>
      </w:r>
    </w:p>
    <w:p w14:paraId="650D5B98">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pPr>
      <w:r>
        <w:rPr>
          <w:rFonts w:hint="eastAsia" w:ascii="微软雅黑" w:hAnsi="微软雅黑" w:eastAsia="微软雅黑" w:cs="微软雅黑"/>
          <w:b/>
          <w:color w:val="3C5488"/>
          <w:sz w:val="28"/>
          <w:lang w:val="en-US" w:eastAsia="zh-CN"/>
        </w:rPr>
        <w:t xml:space="preserve">2.1 </w:t>
      </w:r>
      <w:r>
        <w:rPr>
          <w:rFonts w:ascii="微软雅黑" w:hAnsi="微软雅黑" w:eastAsia="微软雅黑" w:cs="微软雅黑"/>
          <w:b/>
          <w:color w:val="3C5488"/>
          <w:sz w:val="28"/>
        </w:rPr>
        <w:t>实验目的</w:t>
      </w:r>
    </w:p>
    <w:p w14:paraId="558A11BA">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pPr>
      <w:r>
        <w:rPr>
          <w:rFonts w:ascii="微软雅黑" w:hAnsi="微软雅黑" w:eastAsia="微软雅黑" w:cs="微软雅黑"/>
          <w:sz w:val="22"/>
        </w:rPr>
        <w:t>调用 agicto API 进行对话，对比三种 Prompt 策略在农业场景下的效果。</w:t>
      </w:r>
    </w:p>
    <w:p w14:paraId="7976CB03">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ascii="微软雅黑" w:hAnsi="微软雅黑" w:eastAsia="微软雅黑" w:cs="微软雅黑"/>
          <w:b/>
          <w:color w:val="3C5488"/>
          <w:sz w:val="28"/>
        </w:rPr>
      </w:pPr>
      <w:r>
        <w:rPr>
          <w:rFonts w:hint="eastAsia" w:ascii="微软雅黑" w:hAnsi="微软雅黑" w:eastAsia="微软雅黑" w:cs="微软雅黑"/>
          <w:b/>
          <w:color w:val="3C5488"/>
          <w:sz w:val="28"/>
          <w:lang w:val="en-US" w:eastAsia="zh-CN"/>
        </w:rPr>
        <w:t xml:space="preserve">2.2 </w:t>
      </w:r>
      <w:r>
        <w:rPr>
          <w:rFonts w:ascii="微软雅黑" w:hAnsi="微软雅黑" w:eastAsia="微软雅黑" w:cs="微软雅黑"/>
          <w:b/>
          <w:color w:val="3C5488"/>
          <w:sz w:val="28"/>
        </w:rPr>
        <w:t>实验设计</w:t>
      </w:r>
    </w:p>
    <w:tbl>
      <w:tblPr>
        <w:tblStyle w:val="49"/>
        <w:tblW w:w="8640"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3474"/>
        <w:gridCol w:w="2146"/>
        <w:gridCol w:w="3020"/>
      </w:tblGrid>
      <w:tr w14:paraId="4EF6B6EC">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3474" w:type="dxa"/>
            <w:tcBorders>
              <w:top w:val="single" w:color="auto" w:sz="12" w:space="0"/>
              <w:left w:val="nil"/>
              <w:bottom w:val="nil"/>
              <w:right w:val="nil"/>
            </w:tcBorders>
            <w:noWrap w:val="0"/>
            <w:tcMar>
              <w:top w:w="-1" w:type="dxa"/>
              <w:left w:w="-1" w:type="dxa"/>
              <w:bottom w:w="-1" w:type="dxa"/>
              <w:right w:w="-1" w:type="dxa"/>
            </w:tcMar>
            <w:vAlign w:val="center"/>
          </w:tcPr>
          <w:p w14:paraId="235168E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b/>
                <w:sz w:val="20"/>
              </w:rPr>
            </w:pPr>
            <w:r>
              <w:rPr>
                <w:rFonts w:ascii="微软雅黑" w:hAnsi="微软雅黑" w:eastAsia="微软雅黑" w:cs="微软雅黑"/>
                <w:b/>
                <w:sz w:val="20"/>
              </w:rPr>
              <w:t>策略</w:t>
            </w:r>
          </w:p>
        </w:tc>
        <w:tc>
          <w:tcPr>
            <w:tcW w:w="2146" w:type="dxa"/>
            <w:tcBorders>
              <w:top w:val="single" w:color="auto" w:sz="12" w:space="0"/>
              <w:left w:val="nil"/>
              <w:bottom w:val="nil"/>
              <w:right w:val="nil"/>
            </w:tcBorders>
            <w:noWrap w:val="0"/>
            <w:tcMar>
              <w:top w:w="-1" w:type="dxa"/>
              <w:left w:w="-1" w:type="dxa"/>
              <w:bottom w:w="-1" w:type="dxa"/>
              <w:right w:w="-1" w:type="dxa"/>
            </w:tcMar>
            <w:vAlign w:val="center"/>
          </w:tcPr>
          <w:p w14:paraId="2B8B10F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b/>
                <w:sz w:val="20"/>
              </w:rPr>
            </w:pPr>
            <w:r>
              <w:rPr>
                <w:rFonts w:ascii="微软雅黑" w:hAnsi="微软雅黑" w:eastAsia="微软雅黑" w:cs="微软雅黑"/>
                <w:b/>
                <w:sz w:val="20"/>
              </w:rPr>
              <w:t>System Prompt</w:t>
            </w:r>
          </w:p>
        </w:tc>
        <w:tc>
          <w:tcPr>
            <w:tcW w:w="3020" w:type="dxa"/>
            <w:tcBorders>
              <w:top w:val="single" w:color="auto" w:sz="12" w:space="0"/>
              <w:left w:val="nil"/>
              <w:bottom w:val="nil"/>
              <w:right w:val="nil"/>
            </w:tcBorders>
            <w:noWrap w:val="0"/>
            <w:tcMar>
              <w:top w:w="-1" w:type="dxa"/>
              <w:left w:w="-1" w:type="dxa"/>
              <w:bottom w:w="-1" w:type="dxa"/>
              <w:right w:w="-1" w:type="dxa"/>
            </w:tcMar>
            <w:vAlign w:val="center"/>
          </w:tcPr>
          <w:p w14:paraId="10378113">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b/>
                <w:sz w:val="20"/>
              </w:rPr>
            </w:pPr>
            <w:r>
              <w:rPr>
                <w:rFonts w:ascii="微软雅黑" w:hAnsi="微软雅黑" w:eastAsia="微软雅黑" w:cs="微软雅黑"/>
                <w:b/>
                <w:sz w:val="20"/>
              </w:rPr>
              <w:t>特点</w:t>
            </w:r>
          </w:p>
        </w:tc>
      </w:tr>
      <w:tr w14:paraId="580EAC87">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3474" w:type="dxa"/>
            <w:tcBorders>
              <w:top w:val="single" w:color="auto" w:sz="4" w:space="0"/>
              <w:left w:val="nil"/>
              <w:bottom w:val="nil"/>
              <w:right w:val="nil"/>
            </w:tcBorders>
            <w:noWrap w:val="0"/>
            <w:tcMar>
              <w:top w:w="-1" w:type="dxa"/>
              <w:left w:w="-1" w:type="dxa"/>
              <w:bottom w:w="-1" w:type="dxa"/>
              <w:right w:w="-1" w:type="dxa"/>
            </w:tcMar>
            <w:vAlign w:val="center"/>
          </w:tcPr>
          <w:p w14:paraId="2F28D17E">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基础 Prompt</w:t>
            </w:r>
          </w:p>
        </w:tc>
        <w:tc>
          <w:tcPr>
            <w:tcW w:w="2146" w:type="dxa"/>
            <w:tcBorders>
              <w:top w:val="single" w:color="auto" w:sz="4" w:space="0"/>
              <w:left w:val="nil"/>
              <w:bottom w:val="nil"/>
              <w:right w:val="nil"/>
            </w:tcBorders>
            <w:noWrap w:val="0"/>
            <w:tcMar>
              <w:top w:w="-1" w:type="dxa"/>
              <w:left w:w="-1" w:type="dxa"/>
              <w:bottom w:w="-1" w:type="dxa"/>
              <w:right w:w="-1" w:type="dxa"/>
            </w:tcMar>
            <w:vAlign w:val="center"/>
          </w:tcPr>
          <w:p w14:paraId="67950A84">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无</w:t>
            </w:r>
          </w:p>
        </w:tc>
        <w:tc>
          <w:tcPr>
            <w:tcW w:w="3020" w:type="dxa"/>
            <w:tcBorders>
              <w:top w:val="single" w:color="auto" w:sz="4" w:space="0"/>
              <w:left w:val="nil"/>
              <w:bottom w:val="nil"/>
              <w:right w:val="nil"/>
            </w:tcBorders>
            <w:noWrap w:val="0"/>
            <w:tcMar>
              <w:top w:w="-1" w:type="dxa"/>
              <w:left w:w="-1" w:type="dxa"/>
              <w:bottom w:w="-1" w:type="dxa"/>
              <w:right w:w="-1" w:type="dxa"/>
            </w:tcMar>
            <w:vAlign w:val="center"/>
          </w:tcPr>
          <w:p w14:paraId="1FE31C0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直接提问，无额外引导</w:t>
            </w:r>
          </w:p>
        </w:tc>
      </w:tr>
      <w:tr w14:paraId="5F49E5CB">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3474" w:type="dxa"/>
            <w:tcBorders>
              <w:top w:val="nil"/>
              <w:left w:val="nil"/>
              <w:bottom w:val="nil"/>
              <w:right w:val="nil"/>
            </w:tcBorders>
            <w:noWrap w:val="0"/>
            <w:tcMar>
              <w:top w:w="-1" w:type="dxa"/>
              <w:left w:w="-1" w:type="dxa"/>
              <w:bottom w:w="-1" w:type="dxa"/>
              <w:right w:w="-1" w:type="dxa"/>
            </w:tcMar>
            <w:vAlign w:val="center"/>
          </w:tcPr>
          <w:p w14:paraId="0ADD83D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角色设定 + 结构化</w:t>
            </w:r>
          </w:p>
        </w:tc>
        <w:tc>
          <w:tcPr>
            <w:tcW w:w="2146" w:type="dxa"/>
            <w:tcBorders>
              <w:top w:val="nil"/>
              <w:left w:val="nil"/>
              <w:bottom w:val="nil"/>
              <w:right w:val="nil"/>
            </w:tcBorders>
            <w:noWrap w:val="0"/>
            <w:tcMar>
              <w:top w:w="-1" w:type="dxa"/>
              <w:left w:w="-1" w:type="dxa"/>
              <w:bottom w:w="-1" w:type="dxa"/>
              <w:right w:w="-1" w:type="dxa"/>
            </w:tcMar>
            <w:vAlign w:val="center"/>
          </w:tcPr>
          <w:p w14:paraId="2B2C47C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20年农业植保专家</w:t>
            </w:r>
          </w:p>
        </w:tc>
        <w:tc>
          <w:tcPr>
            <w:tcW w:w="3020" w:type="dxa"/>
            <w:tcBorders>
              <w:top w:val="nil"/>
              <w:left w:val="nil"/>
              <w:bottom w:val="nil"/>
              <w:right w:val="nil"/>
            </w:tcBorders>
            <w:noWrap w:val="0"/>
            <w:tcMar>
              <w:top w:w="-1" w:type="dxa"/>
              <w:left w:w="-1" w:type="dxa"/>
              <w:bottom w:w="-1" w:type="dxa"/>
              <w:right w:w="-1" w:type="dxa"/>
            </w:tcMar>
            <w:vAlign w:val="center"/>
          </w:tcPr>
          <w:p w14:paraId="58B514F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指定身份 + 要求结构化输出</w:t>
            </w:r>
          </w:p>
        </w:tc>
      </w:tr>
      <w:tr w14:paraId="30089104">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3474" w:type="dxa"/>
            <w:tcBorders>
              <w:top w:val="nil"/>
              <w:left w:val="nil"/>
              <w:bottom w:val="single" w:color="auto" w:sz="12" w:space="0"/>
              <w:right w:val="nil"/>
            </w:tcBorders>
            <w:noWrap w:val="0"/>
            <w:tcMar>
              <w:top w:w="-1" w:type="dxa"/>
              <w:left w:w="-1" w:type="dxa"/>
              <w:bottom w:w="-1" w:type="dxa"/>
              <w:right w:w="-1" w:type="dxa"/>
            </w:tcMar>
            <w:vAlign w:val="center"/>
          </w:tcPr>
          <w:p w14:paraId="2EAE353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Few-shot + Chain-of-Thought</w:t>
            </w:r>
          </w:p>
        </w:tc>
        <w:tc>
          <w:tcPr>
            <w:tcW w:w="2146" w:type="dxa"/>
            <w:tcBorders>
              <w:top w:val="nil"/>
              <w:left w:val="nil"/>
              <w:bottom w:val="single" w:color="auto" w:sz="12" w:space="0"/>
              <w:right w:val="nil"/>
            </w:tcBorders>
            <w:noWrap w:val="0"/>
            <w:tcMar>
              <w:top w:w="-1" w:type="dxa"/>
              <w:left w:w="-1" w:type="dxa"/>
              <w:bottom w:w="-1" w:type="dxa"/>
              <w:right w:w="-1" w:type="dxa"/>
            </w:tcMar>
            <w:vAlign w:val="center"/>
          </w:tcPr>
          <w:p w14:paraId="1CA5F682">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专家 + 诊断示例</w:t>
            </w:r>
          </w:p>
        </w:tc>
        <w:tc>
          <w:tcPr>
            <w:tcW w:w="3020" w:type="dxa"/>
            <w:tcBorders>
              <w:top w:val="nil"/>
              <w:left w:val="nil"/>
              <w:bottom w:val="single" w:color="auto" w:sz="12" w:space="0"/>
              <w:right w:val="nil"/>
            </w:tcBorders>
            <w:noWrap w:val="0"/>
            <w:tcMar>
              <w:top w:w="-1" w:type="dxa"/>
              <w:left w:w="-1" w:type="dxa"/>
              <w:bottom w:w="-1" w:type="dxa"/>
              <w:right w:w="-1" w:type="dxa"/>
            </w:tcMar>
            <w:vAlign w:val="center"/>
          </w:tcPr>
          <w:p w14:paraId="42DC3E16">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微软雅黑" w:eastAsia="微软雅黑"/>
                <w:sz w:val="20"/>
              </w:rPr>
            </w:pPr>
            <w:r>
              <w:rPr>
                <w:rFonts w:ascii="微软雅黑" w:hAnsi="微软雅黑" w:eastAsia="微软雅黑" w:cs="微软雅黑"/>
                <w:sz w:val="20"/>
              </w:rPr>
              <w:t>2个示例 + 逐步推理引导</w:t>
            </w:r>
          </w:p>
        </w:tc>
      </w:tr>
    </w:tbl>
    <w:p w14:paraId="7F6D5F07">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2.3 主程序</w:t>
      </w:r>
    </w:p>
    <w:p w14:paraId="6909AF24">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b/>
          <w:color w:val="3C5488"/>
          <w:sz w:val="28"/>
          <w:lang w:val="en-US" w:eastAsia="zh-CN"/>
        </w:rPr>
      </w:pPr>
      <w:r>
        <w:rPr>
          <w:rFonts w:ascii="微软雅黑" w:hAnsi="微软雅黑" w:eastAsia="微软雅黑" w:cs="微软雅黑"/>
          <w:sz w:val="22"/>
        </w:rPr>
        <w:t>task_a_run.py — 三种 Prompt 策略的对比实验，包括 API 调用、响应评估和多轮对话测试</w:t>
      </w:r>
    </w:p>
    <w:p w14:paraId="17499402">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pPr>
      <w:r>
        <w:drawing>
          <wp:inline distT="0" distB="0" distL="114300" distR="114300">
            <wp:extent cx="3458845" cy="1504315"/>
            <wp:effectExtent l="0" t="0" r="8255" b="698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
                    <a:stretch>
                      <a:fillRect/>
                    </a:stretch>
                  </pic:blipFill>
                  <pic:spPr>
                    <a:xfrm>
                      <a:off x="0" y="0"/>
                      <a:ext cx="3458845" cy="1504315"/>
                    </a:xfrm>
                    <a:prstGeom prst="rect">
                      <a:avLst/>
                    </a:prstGeom>
                    <a:noFill/>
                    <a:ln>
                      <a:noFill/>
                    </a:ln>
                  </pic:spPr>
                </pic:pic>
              </a:graphicData>
            </a:graphic>
          </wp:inline>
        </w:drawing>
      </w:r>
    </w:p>
    <w:p w14:paraId="306FC2F0">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default" w:eastAsia="宋体"/>
          <w:lang w:val="en-US" w:eastAsia="zh-CN"/>
        </w:rPr>
      </w:pPr>
      <w:r>
        <w:rPr>
          <w:rFonts w:hint="eastAsia" w:eastAsia="宋体"/>
          <w:lang w:val="en-US" w:eastAsia="zh-CN"/>
        </w:rPr>
        <w:t>图1 TaskA核心代码（部分）</w:t>
      </w:r>
    </w:p>
    <w:p w14:paraId="6CEF28DB">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ascii="微软雅黑" w:hAnsi="微软雅黑" w:eastAsia="微软雅黑" w:cs="微软雅黑"/>
          <w:b/>
          <w:color w:val="3C5488"/>
          <w:sz w:val="28"/>
        </w:rPr>
      </w:pPr>
      <w:r>
        <w:rPr>
          <w:rFonts w:hint="eastAsia" w:ascii="微软雅黑" w:hAnsi="微软雅黑" w:eastAsia="微软雅黑" w:cs="微软雅黑"/>
          <w:b/>
          <w:color w:val="3C5488"/>
          <w:sz w:val="28"/>
          <w:lang w:val="en-US" w:eastAsia="zh-CN"/>
        </w:rPr>
        <w:t xml:space="preserve">2.4 </w:t>
      </w:r>
      <w:r>
        <w:rPr>
          <w:rFonts w:ascii="微软雅黑" w:hAnsi="微软雅黑" w:eastAsia="微软雅黑" w:cs="微软雅黑"/>
          <w:b/>
          <w:color w:val="3C5488"/>
          <w:sz w:val="28"/>
        </w:rPr>
        <w:t>实验结果</w:t>
      </w:r>
    </w:p>
    <w:p w14:paraId="5A5DEE76">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ascii="微软雅黑" w:hAnsi="微软雅黑" w:eastAsia="微软雅黑" w:cs="微软雅黑"/>
          <w:sz w:val="22"/>
        </w:rPr>
      </w:pPr>
      <w:r>
        <w:rPr>
          <w:rFonts w:ascii="微软雅黑" w:hAnsi="微软雅黑" w:eastAsia="微软雅黑" w:cs="微软雅黑"/>
          <w:sz w:val="22"/>
        </w:rPr>
        <w:t>测试问题：番茄叶子发黄是什么原因？</w:t>
      </w:r>
    </w:p>
    <w:tbl>
      <w:tblPr>
        <w:tblStyle w:val="49"/>
        <w:tblW w:w="8640"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3127"/>
        <w:gridCol w:w="1692"/>
        <w:gridCol w:w="2128"/>
        <w:gridCol w:w="1693"/>
      </w:tblGrid>
      <w:tr w14:paraId="0752AC5F">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3127" w:type="dxa"/>
            <w:tcBorders>
              <w:top w:val="single" w:color="auto" w:sz="12" w:space="0"/>
              <w:left w:val="nil"/>
              <w:bottom w:val="nil"/>
              <w:right w:val="nil"/>
            </w:tcBorders>
            <w:noWrap w:val="0"/>
            <w:tcMar>
              <w:top w:w="-1" w:type="dxa"/>
              <w:left w:w="-1" w:type="dxa"/>
              <w:bottom w:w="-1" w:type="dxa"/>
              <w:right w:w="-1" w:type="dxa"/>
            </w:tcMar>
            <w:vAlign w:val="center"/>
          </w:tcPr>
          <w:p w14:paraId="5AD91E31">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cs="微软雅黑"/>
                <w:b/>
                <w:sz w:val="20"/>
              </w:rPr>
              <w:t>策略</w:t>
            </w:r>
          </w:p>
        </w:tc>
        <w:tc>
          <w:tcPr>
            <w:tcW w:w="1692" w:type="dxa"/>
            <w:tcBorders>
              <w:top w:val="single" w:color="auto" w:sz="12" w:space="0"/>
              <w:left w:val="nil"/>
              <w:bottom w:val="nil"/>
              <w:right w:val="nil"/>
            </w:tcBorders>
            <w:noWrap w:val="0"/>
            <w:tcMar>
              <w:top w:w="-1" w:type="dxa"/>
              <w:left w:w="-1" w:type="dxa"/>
              <w:bottom w:w="-1" w:type="dxa"/>
              <w:right w:w="-1" w:type="dxa"/>
            </w:tcMar>
            <w:vAlign w:val="center"/>
          </w:tcPr>
          <w:p w14:paraId="5454EA84">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cs="微软雅黑"/>
                <w:b/>
                <w:sz w:val="20"/>
              </w:rPr>
              <w:t>响应时间</w:t>
            </w:r>
          </w:p>
        </w:tc>
        <w:tc>
          <w:tcPr>
            <w:tcW w:w="2128" w:type="dxa"/>
            <w:tcBorders>
              <w:top w:val="single" w:color="auto" w:sz="12" w:space="0"/>
              <w:left w:val="nil"/>
              <w:bottom w:val="nil"/>
              <w:right w:val="nil"/>
            </w:tcBorders>
            <w:noWrap w:val="0"/>
            <w:tcMar>
              <w:top w:w="-1" w:type="dxa"/>
              <w:left w:w="-1" w:type="dxa"/>
              <w:bottom w:w="-1" w:type="dxa"/>
              <w:right w:w="-1" w:type="dxa"/>
            </w:tcMar>
            <w:vAlign w:val="center"/>
          </w:tcPr>
          <w:p w14:paraId="6EE2C715">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cs="微软雅黑"/>
                <w:b/>
                <w:sz w:val="20"/>
              </w:rPr>
              <w:t>回答长度</w:t>
            </w:r>
          </w:p>
        </w:tc>
        <w:tc>
          <w:tcPr>
            <w:tcW w:w="1692" w:type="dxa"/>
            <w:tcBorders>
              <w:top w:val="single" w:color="auto" w:sz="12" w:space="0"/>
              <w:left w:val="nil"/>
              <w:bottom w:val="nil"/>
              <w:right w:val="nil"/>
            </w:tcBorders>
            <w:noWrap w:val="0"/>
            <w:tcMar>
              <w:top w:w="-1" w:type="dxa"/>
              <w:left w:w="-1" w:type="dxa"/>
              <w:bottom w:w="-1" w:type="dxa"/>
              <w:right w:w="-1" w:type="dxa"/>
            </w:tcMar>
            <w:vAlign w:val="center"/>
          </w:tcPr>
          <w:p w14:paraId="2E84EAFC">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cs="微软雅黑"/>
                <w:b/>
                <w:sz w:val="20"/>
              </w:rPr>
              <w:t>质量评分</w:t>
            </w:r>
          </w:p>
        </w:tc>
      </w:tr>
      <w:tr w14:paraId="4B2269B4">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3127" w:type="dxa"/>
            <w:tcBorders>
              <w:top w:val="single" w:color="auto" w:sz="4" w:space="0"/>
              <w:left w:val="nil"/>
              <w:bottom w:val="nil"/>
              <w:right w:val="nil"/>
            </w:tcBorders>
            <w:noWrap w:val="0"/>
            <w:tcMar>
              <w:top w:w="-1" w:type="dxa"/>
              <w:left w:w="-1" w:type="dxa"/>
              <w:bottom w:w="-1" w:type="dxa"/>
              <w:right w:w="-1" w:type="dxa"/>
            </w:tcMar>
            <w:vAlign w:val="center"/>
          </w:tcPr>
          <w:p w14:paraId="389E466E">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基础 Prompt</w:t>
            </w:r>
          </w:p>
        </w:tc>
        <w:tc>
          <w:tcPr>
            <w:tcW w:w="1692" w:type="dxa"/>
            <w:tcBorders>
              <w:top w:val="single" w:color="auto" w:sz="4" w:space="0"/>
              <w:left w:val="nil"/>
              <w:bottom w:val="nil"/>
              <w:right w:val="nil"/>
            </w:tcBorders>
            <w:noWrap w:val="0"/>
            <w:tcMar>
              <w:top w:w="-1" w:type="dxa"/>
              <w:left w:w="-1" w:type="dxa"/>
              <w:bottom w:w="-1" w:type="dxa"/>
              <w:right w:w="-1" w:type="dxa"/>
            </w:tcMar>
            <w:vAlign w:val="center"/>
          </w:tcPr>
          <w:p w14:paraId="1309AE03">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6.2s</w:t>
            </w:r>
          </w:p>
        </w:tc>
        <w:tc>
          <w:tcPr>
            <w:tcW w:w="2128" w:type="dxa"/>
            <w:tcBorders>
              <w:top w:val="single" w:color="auto" w:sz="4" w:space="0"/>
              <w:left w:val="nil"/>
              <w:bottom w:val="nil"/>
              <w:right w:val="nil"/>
            </w:tcBorders>
            <w:noWrap w:val="0"/>
            <w:tcMar>
              <w:top w:w="-1" w:type="dxa"/>
              <w:left w:w="-1" w:type="dxa"/>
              <w:bottom w:w="-1" w:type="dxa"/>
              <w:right w:w="-1" w:type="dxa"/>
            </w:tcMar>
            <w:vAlign w:val="center"/>
          </w:tcPr>
          <w:p w14:paraId="5FE712FE">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~500 chars</w:t>
            </w:r>
          </w:p>
        </w:tc>
        <w:tc>
          <w:tcPr>
            <w:tcW w:w="1692" w:type="dxa"/>
            <w:tcBorders>
              <w:top w:val="single" w:color="auto" w:sz="4" w:space="0"/>
              <w:left w:val="nil"/>
              <w:bottom w:val="nil"/>
              <w:right w:val="nil"/>
            </w:tcBorders>
            <w:noWrap w:val="0"/>
            <w:tcMar>
              <w:top w:w="-1" w:type="dxa"/>
              <w:left w:w="-1" w:type="dxa"/>
              <w:bottom w:w="-1" w:type="dxa"/>
              <w:right w:w="-1" w:type="dxa"/>
            </w:tcMar>
            <w:vAlign w:val="center"/>
          </w:tcPr>
          <w:p w14:paraId="6498AC90">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3/10</w:t>
            </w:r>
          </w:p>
        </w:tc>
      </w:tr>
      <w:tr w14:paraId="1282BA80">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3127" w:type="dxa"/>
            <w:tcBorders>
              <w:top w:val="nil"/>
              <w:left w:val="nil"/>
              <w:bottom w:val="nil"/>
              <w:right w:val="nil"/>
            </w:tcBorders>
            <w:noWrap w:val="0"/>
            <w:tcMar>
              <w:top w:w="-1" w:type="dxa"/>
              <w:left w:w="-1" w:type="dxa"/>
              <w:bottom w:w="-1" w:type="dxa"/>
              <w:right w:w="-1" w:type="dxa"/>
            </w:tcMar>
            <w:vAlign w:val="center"/>
          </w:tcPr>
          <w:p w14:paraId="478A3390">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角色设定 + 结构化</w:t>
            </w:r>
          </w:p>
        </w:tc>
        <w:tc>
          <w:tcPr>
            <w:tcW w:w="1692" w:type="dxa"/>
            <w:tcBorders>
              <w:top w:val="nil"/>
              <w:left w:val="nil"/>
              <w:bottom w:val="nil"/>
              <w:right w:val="nil"/>
            </w:tcBorders>
            <w:noWrap w:val="0"/>
            <w:tcMar>
              <w:top w:w="-1" w:type="dxa"/>
              <w:left w:w="-1" w:type="dxa"/>
              <w:bottom w:w="-1" w:type="dxa"/>
              <w:right w:w="-1" w:type="dxa"/>
            </w:tcMar>
            <w:vAlign w:val="center"/>
          </w:tcPr>
          <w:p w14:paraId="4722C064">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7.3s</w:t>
            </w:r>
          </w:p>
        </w:tc>
        <w:tc>
          <w:tcPr>
            <w:tcW w:w="2128" w:type="dxa"/>
            <w:tcBorders>
              <w:top w:val="nil"/>
              <w:left w:val="nil"/>
              <w:bottom w:val="nil"/>
              <w:right w:val="nil"/>
            </w:tcBorders>
            <w:noWrap w:val="0"/>
            <w:tcMar>
              <w:top w:w="-1" w:type="dxa"/>
              <w:left w:w="-1" w:type="dxa"/>
              <w:bottom w:w="-1" w:type="dxa"/>
              <w:right w:w="-1" w:type="dxa"/>
            </w:tcMar>
            <w:vAlign w:val="center"/>
          </w:tcPr>
          <w:p w14:paraId="386DB2BF">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~700 chars</w:t>
            </w:r>
          </w:p>
        </w:tc>
        <w:tc>
          <w:tcPr>
            <w:tcW w:w="1692" w:type="dxa"/>
            <w:tcBorders>
              <w:top w:val="nil"/>
              <w:left w:val="nil"/>
              <w:bottom w:val="nil"/>
              <w:right w:val="nil"/>
            </w:tcBorders>
            <w:noWrap w:val="0"/>
            <w:tcMar>
              <w:top w:w="-1" w:type="dxa"/>
              <w:left w:w="-1" w:type="dxa"/>
              <w:bottom w:w="-1" w:type="dxa"/>
              <w:right w:w="-1" w:type="dxa"/>
            </w:tcMar>
            <w:vAlign w:val="center"/>
          </w:tcPr>
          <w:p w14:paraId="1CE32C39">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7/10</w:t>
            </w:r>
          </w:p>
        </w:tc>
      </w:tr>
      <w:tr w14:paraId="654292E2">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3127" w:type="dxa"/>
            <w:tcBorders>
              <w:top w:val="nil"/>
              <w:left w:val="nil"/>
              <w:bottom w:val="single" w:color="auto" w:sz="12" w:space="0"/>
              <w:right w:val="nil"/>
            </w:tcBorders>
            <w:noWrap w:val="0"/>
            <w:tcMar>
              <w:top w:w="-1" w:type="dxa"/>
              <w:left w:w="-1" w:type="dxa"/>
              <w:bottom w:w="-1" w:type="dxa"/>
              <w:right w:w="-1" w:type="dxa"/>
            </w:tcMar>
            <w:vAlign w:val="center"/>
          </w:tcPr>
          <w:p w14:paraId="47CD0FC4">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Few-shot + CoT</w:t>
            </w:r>
          </w:p>
        </w:tc>
        <w:tc>
          <w:tcPr>
            <w:tcW w:w="1692" w:type="dxa"/>
            <w:tcBorders>
              <w:top w:val="nil"/>
              <w:left w:val="nil"/>
              <w:bottom w:val="single" w:color="auto" w:sz="12" w:space="0"/>
              <w:right w:val="nil"/>
            </w:tcBorders>
            <w:noWrap w:val="0"/>
            <w:tcMar>
              <w:top w:w="-1" w:type="dxa"/>
              <w:left w:w="-1" w:type="dxa"/>
              <w:bottom w:w="-1" w:type="dxa"/>
              <w:right w:w="-1" w:type="dxa"/>
            </w:tcMar>
            <w:vAlign w:val="center"/>
          </w:tcPr>
          <w:p w14:paraId="64FAC3BA">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3.2s</w:t>
            </w:r>
          </w:p>
        </w:tc>
        <w:tc>
          <w:tcPr>
            <w:tcW w:w="2128" w:type="dxa"/>
            <w:tcBorders>
              <w:top w:val="nil"/>
              <w:left w:val="nil"/>
              <w:bottom w:val="single" w:color="auto" w:sz="12" w:space="0"/>
              <w:right w:val="nil"/>
            </w:tcBorders>
            <w:noWrap w:val="0"/>
            <w:tcMar>
              <w:top w:w="-1" w:type="dxa"/>
              <w:left w:w="-1" w:type="dxa"/>
              <w:bottom w:w="-1" w:type="dxa"/>
              <w:right w:w="-1" w:type="dxa"/>
            </w:tcMar>
            <w:vAlign w:val="center"/>
          </w:tcPr>
          <w:p w14:paraId="17BB116B">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~350 chars</w:t>
            </w:r>
          </w:p>
        </w:tc>
        <w:tc>
          <w:tcPr>
            <w:tcW w:w="1692" w:type="dxa"/>
            <w:tcBorders>
              <w:top w:val="nil"/>
              <w:left w:val="nil"/>
              <w:bottom w:val="single" w:color="auto" w:sz="12" w:space="0"/>
              <w:right w:val="nil"/>
            </w:tcBorders>
            <w:noWrap w:val="0"/>
            <w:tcMar>
              <w:top w:w="-1" w:type="dxa"/>
              <w:left w:w="-1" w:type="dxa"/>
              <w:bottom w:w="-1" w:type="dxa"/>
              <w:right w:w="-1" w:type="dxa"/>
            </w:tcMar>
            <w:vAlign w:val="center"/>
          </w:tcPr>
          <w:p w14:paraId="64AA734C">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cs="微软雅黑"/>
                <w:sz w:val="20"/>
              </w:rPr>
              <w:t>9/10</w:t>
            </w:r>
          </w:p>
        </w:tc>
      </w:tr>
    </w:tbl>
    <w:p w14:paraId="17070B27">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2.5 可视化结果</w:t>
      </w:r>
    </w:p>
    <w:p w14:paraId="6E991FD5">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ascii="微软雅黑" w:hAnsi="微软雅黑" w:eastAsia="微软雅黑" w:cs="微软雅黑"/>
          <w:sz w:val="22"/>
        </w:rPr>
      </w:pPr>
      <w:r>
        <w:rPr>
          <w:rFonts w:hint="eastAsia" w:ascii="微软雅黑" w:hAnsi="微软雅黑" w:eastAsia="微软雅黑" w:cs="微软雅黑"/>
          <w:sz w:val="22"/>
          <w:lang w:val="en-US" w:eastAsia="zh-CN"/>
        </w:rPr>
        <w:t>由图1可知，</w:t>
      </w:r>
      <w:r>
        <w:rPr>
          <w:rFonts w:hint="eastAsia" w:ascii="微软雅黑" w:hAnsi="微软雅黑" w:eastAsia="微软雅黑" w:cs="微软雅黑"/>
          <w:sz w:val="22"/>
        </w:rPr>
        <w:t>给几个示例再让模型一步步推理，效果远好于直接问。</w:t>
      </w:r>
    </w:p>
    <w:p w14:paraId="4FD6C712">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4587240" cy="2837815"/>
            <wp:effectExtent l="0" t="0" r="1016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587240" cy="2837815"/>
                    </a:xfrm>
                    <a:prstGeom prst="rect">
                      <a:avLst/>
                    </a:prstGeom>
                  </pic:spPr>
                </pic:pic>
              </a:graphicData>
            </a:graphic>
          </wp:inline>
        </w:drawing>
      </w:r>
    </w:p>
    <w:p w14:paraId="1B99FACD">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图2 三种 Prompt 策略的质量评分对比。</w:t>
      </w:r>
    </w:p>
    <w:p w14:paraId="16EC1B67">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由图2可知，</w:t>
      </w:r>
      <w:r>
        <w:rPr>
          <w:rFonts w:hint="eastAsia" w:ascii="微软雅黑" w:hAnsi="微软雅黑" w:eastAsia="微软雅黑" w:cs="微软雅黑"/>
          <w:sz w:val="22"/>
        </w:rPr>
        <w:t>Few-shot 反而最快——可能因为输出更精简，没有废话。</w:t>
      </w:r>
    </w:p>
    <w:p w14:paraId="349F6193">
      <w:pPr>
        <w:keepNext w:val="0"/>
        <w:keepLines w:val="0"/>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4346575" cy="2614930"/>
            <wp:effectExtent l="0" t="0" r="952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346575" cy="2614930"/>
                    </a:xfrm>
                    <a:prstGeom prst="rect">
                      <a:avLst/>
                    </a:prstGeom>
                  </pic:spPr>
                </pic:pic>
              </a:graphicData>
            </a:graphic>
          </wp:inline>
        </w:drawing>
      </w:r>
    </w:p>
    <w:p w14:paraId="11CA1D08">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图3 各策略的响应时间与回答长度双轴对比。</w:t>
      </w:r>
    </w:p>
    <w:p w14:paraId="32A12CAF">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rPr>
      </w:pPr>
      <w:r>
        <w:rPr>
          <w:rFonts w:hint="eastAsia" w:ascii="微软雅黑" w:hAnsi="微软雅黑" w:eastAsia="微软雅黑" w:cs="微软雅黑"/>
          <w:sz w:val="22"/>
          <w:lang w:val="en-US" w:eastAsia="zh-CN"/>
        </w:rPr>
        <w:t>由图3可知，</w:t>
      </w:r>
      <w:r>
        <w:rPr>
          <w:rFonts w:hint="eastAsia" w:ascii="微软雅黑" w:hAnsi="微软雅黑" w:eastAsia="微软雅黑" w:cs="微软雅黑"/>
          <w:sz w:val="22"/>
        </w:rPr>
        <w:t>Few-shot 在专业性和准确性上拉满，基础 Prompt 各项都拉胯。</w:t>
      </w:r>
    </w:p>
    <w:p w14:paraId="2F85A755">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3954145" cy="303466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954145" cy="3034665"/>
                    </a:xfrm>
                    <a:prstGeom prst="rect">
                      <a:avLst/>
                    </a:prstGeom>
                  </pic:spPr>
                </pic:pic>
              </a:graphicData>
            </a:graphic>
          </wp:inline>
        </w:drawing>
      </w:r>
    </w:p>
    <w:p w14:paraId="336901E0">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图4 多维评估雷达图</w:t>
      </w:r>
    </w:p>
    <w:p w14:paraId="76A7E781">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2.6 多轮对话测试</w:t>
      </w:r>
    </w:p>
    <w:p w14:paraId="2E4A0032">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模拟农业咨询场景的三轮对话（病害诊断 → 用药咨询 → 施用频率），模型展现出良好的上下文理解能力。</w:t>
      </w:r>
    </w:p>
    <w:p w14:paraId="14A68D83">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2.7 结论</w:t>
      </w:r>
    </w:p>
    <w:p w14:paraId="6106F4B8">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1.角色设定显著提升回答的专业性和可操作性</w:t>
      </w:r>
    </w:p>
    <w:p w14:paraId="2D8F9640">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2.Few-shot + CoT 策略在专业诊断场景中效果最佳</w:t>
      </w:r>
    </w:p>
    <w:p w14:paraId="6F4C4151">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3.结构化输出要求对农业技术指导场景至关重要</w:t>
      </w:r>
    </w:p>
    <w:p w14:paraId="1DE0E4B6">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eastAsia" w:ascii="微软雅黑" w:hAnsi="微软雅黑" w:eastAsia="微软雅黑" w:cs="微软雅黑"/>
          <w:b/>
          <w:color w:val="3C5488"/>
          <w:sz w:val="32"/>
          <w:lang w:val="en-US" w:eastAsia="zh-CN"/>
        </w:rPr>
      </w:pPr>
      <w:r>
        <w:rPr>
          <w:rFonts w:hint="eastAsia" w:ascii="微软雅黑" w:hAnsi="微软雅黑" w:eastAsia="微软雅黑" w:cs="微软雅黑"/>
          <w:b/>
          <w:color w:val="3C5488"/>
          <w:sz w:val="32"/>
          <w:lang w:val="en-US" w:eastAsia="zh-CN"/>
        </w:rPr>
        <w:t>三、任务 B：RAG 农业知识库问答系统</w:t>
      </w:r>
    </w:p>
    <w:p w14:paraId="60D47626">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3.1 实验目的</w:t>
      </w:r>
    </w:p>
    <w:p w14:paraId="4FFF3F1D">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构建基于检索增强生成（RAG）的农业知识问答系统，对比有/无知识库的回答质量。</w:t>
      </w:r>
    </w:p>
    <w:p w14:paraId="695AC4C9">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3.2 系统架构</w:t>
      </w:r>
    </w:p>
    <w:p w14:paraId="37F91FD6">
      <w:pPr>
        <w:spacing w:before="0" w:after="0"/>
        <w:ind w:left="567"/>
        <w:jc w:val="center"/>
        <w:rPr>
          <w:rFonts w:ascii="Consolas" w:hAnsi="Consolas" w:eastAsia="Consolas" w:cs="Consolas"/>
          <w:color w:val="333333"/>
          <w:sz w:val="16"/>
        </w:rPr>
      </w:pPr>
      <w:r>
        <w:rPr>
          <w:rFonts w:ascii="宋体" w:hAnsi="宋体" w:eastAsia="宋体" w:cs="宋体"/>
          <w:sz w:val="24"/>
          <w:szCs w:val="24"/>
        </w:rPr>
        <w:drawing>
          <wp:inline distT="0" distB="0" distL="114300" distR="114300">
            <wp:extent cx="4079875" cy="1499235"/>
            <wp:effectExtent l="0" t="0" r="9525" b="12065"/>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10"/>
                    <a:stretch>
                      <a:fillRect/>
                    </a:stretch>
                  </pic:blipFill>
                  <pic:spPr>
                    <a:xfrm>
                      <a:off x="0" y="0"/>
                      <a:ext cx="4079875" cy="1499235"/>
                    </a:xfrm>
                    <a:prstGeom prst="rect">
                      <a:avLst/>
                    </a:prstGeom>
                    <a:noFill/>
                    <a:ln w="9525">
                      <a:noFill/>
                    </a:ln>
                  </pic:spPr>
                </pic:pic>
              </a:graphicData>
            </a:graphic>
          </wp:inline>
        </w:drawing>
      </w:r>
    </w:p>
    <w:p w14:paraId="2B3FDDA5">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default" w:eastAsia="宋体"/>
          <w:lang w:val="en-US" w:eastAsia="zh-CN"/>
        </w:rPr>
      </w:pPr>
      <w:r>
        <w:rPr>
          <w:rFonts w:hint="eastAsia" w:eastAsia="宋体"/>
          <w:lang w:val="en-US" w:eastAsia="zh-CN"/>
        </w:rPr>
        <w:t>图5 知识文档处理流程</w:t>
      </w:r>
    </w:p>
    <w:p w14:paraId="07FBE446">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3.4 主程序</w:t>
      </w:r>
    </w:p>
    <w:p w14:paraId="1A2FF666">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task_b_run.py — RAG 系统核心流水线：文档加载→文本分块→向量化→ChromaDB 存储→检索→LLM 生成。</w:t>
      </w:r>
    </w:p>
    <w:p w14:paraId="28934243">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ascii="微软雅黑" w:hAnsi="微软雅黑" w:eastAsia="微软雅黑" w:cs="微软雅黑"/>
          <w:sz w:val="22"/>
          <w:lang w:val="en-US" w:eastAsia="zh-CN"/>
        </w:rPr>
      </w:pPr>
      <w:r>
        <w:drawing>
          <wp:inline distT="0" distB="0" distL="114300" distR="114300">
            <wp:extent cx="4709160" cy="2571750"/>
            <wp:effectExtent l="0" t="0" r="2540" b="635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1"/>
                    <a:stretch>
                      <a:fillRect/>
                    </a:stretch>
                  </pic:blipFill>
                  <pic:spPr>
                    <a:xfrm>
                      <a:off x="0" y="0"/>
                      <a:ext cx="4709160" cy="2571750"/>
                    </a:xfrm>
                    <a:prstGeom prst="rect">
                      <a:avLst/>
                    </a:prstGeom>
                    <a:noFill/>
                    <a:ln>
                      <a:noFill/>
                    </a:ln>
                  </pic:spPr>
                </pic:pic>
              </a:graphicData>
            </a:graphic>
          </wp:inline>
        </w:drawing>
      </w:r>
    </w:p>
    <w:p w14:paraId="6B0E5075">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图6 Task B 核心代码（部分）</w:t>
      </w:r>
    </w:p>
    <w:p w14:paraId="3CDC7BCB">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3.3 知识库构成</w:t>
      </w:r>
    </w:p>
    <w:p w14:paraId="4B917081">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含4篇文档（diseases/planting/pesticide），共18个文本块。</w:t>
      </w:r>
    </w:p>
    <w:p w14:paraId="46D240D4">
      <w:pPr>
        <w:jc w:val="center"/>
      </w:pPr>
    </w:p>
    <w:p w14:paraId="1A5E9FFA">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4547870" cy="200660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547870" cy="2006600"/>
                    </a:xfrm>
                    <a:prstGeom prst="rect">
                      <a:avLst/>
                    </a:prstGeom>
                  </pic:spPr>
                </pic:pic>
              </a:graphicData>
            </a:graphic>
          </wp:inline>
        </w:drawing>
      </w:r>
    </w:p>
    <w:p w14:paraId="4EA6920D">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图6 知识库包</w:t>
      </w:r>
    </w:p>
    <w:p w14:paraId="02851438">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3.4 检索效果</w:t>
      </w:r>
    </w:p>
    <w:p w14:paraId="314848F0">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挑了三个典型农业问题，看检索能不能找到对的东西，Top-3 检索的平均相关度在 0.70-0.80 之间。</w:t>
      </w:r>
    </w:p>
    <w:p w14:paraId="6A192B33">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5029200" cy="343027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029200" cy="3430281"/>
                    </a:xfrm>
                    <a:prstGeom prst="rect">
                      <a:avLst/>
                    </a:prstGeom>
                  </pic:spPr>
                </pic:pic>
              </a:graphicData>
            </a:graphic>
          </wp:inline>
        </w:drawing>
      </w:r>
    </w:p>
    <w:p w14:paraId="60C8EB63">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图7 三个问题的检索相关度</w:t>
      </w:r>
    </w:p>
    <w:p w14:paraId="75EDDEFB">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有图8可知，同类文档检索效果最佳。</w:t>
      </w:r>
    </w:p>
    <w:p w14:paraId="533C8CEF">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5029200" cy="325310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029200" cy="3253146"/>
                    </a:xfrm>
                    <a:prstGeom prst="rect">
                      <a:avLst/>
                    </a:prstGeom>
                  </pic:spPr>
                </pic:pic>
              </a:graphicData>
            </a:graphic>
          </wp:inline>
        </w:drawing>
      </w:r>
    </w:p>
    <w:p w14:paraId="23E221EC">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图8 检索相关度热力图。</w:t>
      </w:r>
    </w:p>
    <w:p w14:paraId="55846056">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3.5 RAG vs Direct LLM 对比</w:t>
      </w:r>
    </w:p>
    <w:p w14:paraId="048D0E79">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由图9可知，有 RAG 的回答能提供具体药品名称、浓度和安全间隔期，而无 RAG 的回答较为笼统。</w:t>
      </w:r>
    </w:p>
    <w:p w14:paraId="6F9F5289">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4586605" cy="3380740"/>
            <wp:effectExtent l="0" t="0" r="1079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rcRect r="3068"/>
                    <a:stretch>
                      <a:fillRect/>
                    </a:stretch>
                  </pic:blipFill>
                  <pic:spPr>
                    <a:xfrm>
                      <a:off x="0" y="0"/>
                      <a:ext cx="4586605" cy="3380740"/>
                    </a:xfrm>
                    <a:prstGeom prst="rect">
                      <a:avLst/>
                    </a:prstGeom>
                  </pic:spPr>
                </pic:pic>
              </a:graphicData>
            </a:graphic>
          </wp:inline>
        </w:drawing>
      </w:r>
    </w:p>
    <w:p w14:paraId="765FE9FA">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default" w:eastAsia="宋体"/>
          <w:lang w:val="en-US" w:eastAsia="zh-CN"/>
        </w:rPr>
      </w:pPr>
      <w:r>
        <w:rPr>
          <w:rFonts w:hint="eastAsia" w:eastAsia="宋体"/>
          <w:lang w:val="en-US" w:eastAsia="zh-CN"/>
        </w:rPr>
        <w:t>图9 有无RAG结果对比</w:t>
      </w:r>
    </w:p>
    <w:p w14:paraId="428B95FB">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3.6 关键发现</w:t>
      </w:r>
    </w:p>
    <w:p w14:paraId="74A80C49">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1.减少幻觉：RAG 将回答锚定在实际文档上，大幅减少编造信息</w:t>
      </w:r>
    </w:p>
    <w:p w14:paraId="5630FCD1">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2.专业深度：知识库中的专业内容（农药浓度、安全间隔期）直接被引用</w:t>
      </w:r>
    </w:p>
    <w:p w14:paraId="0492718D">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3.可追溯性：每个回答都能追溯到具体的参考文档</w:t>
      </w:r>
    </w:p>
    <w:p w14:paraId="426B6DBF">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eastAsia" w:ascii="微软雅黑" w:hAnsi="微软雅黑" w:eastAsia="微软雅黑" w:cs="微软雅黑"/>
          <w:b/>
          <w:color w:val="3C5488"/>
          <w:sz w:val="32"/>
          <w:lang w:val="en-US" w:eastAsia="zh-CN"/>
        </w:rPr>
      </w:pPr>
      <w:r>
        <w:rPr>
          <w:rFonts w:hint="eastAsia" w:ascii="微软雅黑" w:hAnsi="微软雅黑" w:eastAsia="微软雅黑" w:cs="微软雅黑"/>
          <w:b/>
          <w:color w:val="3C5488"/>
          <w:sz w:val="32"/>
          <w:lang w:val="en-US" w:eastAsia="zh-CN"/>
        </w:rPr>
        <w:t>四、任务C：GPU服务器本地模型部署与性能对比</w:t>
      </w:r>
    </w:p>
    <w:p w14:paraId="2172AAD0">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4.1 实验目的</w:t>
      </w:r>
    </w:p>
    <w:p w14:paraId="737661D9">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在 GPU 服务器上部署开源模型，对比本地部署与云端 API 的性能差异。</w:t>
      </w:r>
    </w:p>
    <w:p w14:paraId="359E4432">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4.2 部署配置</w:t>
      </w:r>
    </w:p>
    <w:tbl>
      <w:tblPr>
        <w:tblStyle w:val="49"/>
        <w:tblW w:w="0" w:type="auto"/>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016"/>
        <w:gridCol w:w="4076"/>
      </w:tblGrid>
      <w:tr w14:paraId="0CAF4F9B">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C4D7BB6">
            <w:pPr>
              <w:spacing w:after="0" w:line="240" w:lineRule="auto"/>
              <w:jc w:val="center"/>
              <w:rPr>
                <w:rFonts w:ascii="微软雅黑" w:eastAsia="微软雅黑"/>
                <w:b/>
                <w:sz w:val="20"/>
              </w:rPr>
            </w:pPr>
            <w:r>
              <w:rPr>
                <w:rFonts w:ascii="微软雅黑" w:hAnsi="微软雅黑" w:eastAsia="微软雅黑" w:cs="微软雅黑"/>
                <w:b/>
                <w:sz w:val="20"/>
              </w:rPr>
              <w:t>项目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6BB47A0">
            <w:pPr>
              <w:spacing w:after="0" w:line="240" w:lineRule="auto"/>
              <w:jc w:val="center"/>
              <w:rPr>
                <w:rFonts w:ascii="微软雅黑" w:eastAsia="微软雅黑"/>
                <w:b/>
                <w:sz w:val="20"/>
              </w:rPr>
            </w:pPr>
            <w:r>
              <w:rPr>
                <w:rFonts w:ascii="微软雅黑" w:hAnsi="微软雅黑" w:eastAsia="微软雅黑" w:cs="微软雅黑"/>
                <w:b/>
                <w:sz w:val="20"/>
              </w:rPr>
              <w:t>配置</w:t>
            </w:r>
          </w:p>
        </w:tc>
      </w:tr>
      <w:tr w14:paraId="77296DCA">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11659BB">
            <w:pPr>
              <w:spacing w:after="0" w:line="240" w:lineRule="auto"/>
              <w:jc w:val="center"/>
              <w:rPr>
                <w:rFonts w:ascii="微软雅黑" w:eastAsia="微软雅黑"/>
                <w:sz w:val="20"/>
              </w:rPr>
            </w:pPr>
            <w:r>
              <w:rPr>
                <w:rFonts w:ascii="微软雅黑" w:hAnsi="微软雅黑" w:eastAsia="微软雅黑" w:cs="微软雅黑"/>
                <w:sz w:val="20"/>
              </w:rPr>
              <w:t>GPU</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16C5AD7">
            <w:pPr>
              <w:spacing w:after="0" w:line="240" w:lineRule="auto"/>
              <w:jc w:val="center"/>
              <w:rPr>
                <w:rFonts w:ascii="微软雅黑" w:eastAsia="微软雅黑"/>
                <w:sz w:val="20"/>
              </w:rPr>
            </w:pPr>
            <w:r>
              <w:rPr>
                <w:rFonts w:ascii="微软雅黑" w:hAnsi="微软雅黑" w:eastAsia="微软雅黑" w:cs="微软雅黑"/>
                <w:sz w:val="20"/>
              </w:rPr>
              <w:t>Tesla V100S 32GB</w:t>
            </w:r>
          </w:p>
        </w:tc>
      </w:tr>
      <w:tr w14:paraId="58B3475E">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FD6A">
            <w:pPr>
              <w:spacing w:after="0" w:line="240" w:lineRule="auto"/>
              <w:jc w:val="center"/>
              <w:rPr>
                <w:rFonts w:ascii="微软雅黑" w:eastAsia="微软雅黑"/>
                <w:sz w:val="20"/>
              </w:rPr>
            </w:pPr>
            <w:r>
              <w:rPr>
                <w:rFonts w:ascii="微软雅黑" w:hAnsi="微软雅黑" w:eastAsia="微软雅黑" w:cs="微软雅黑"/>
                <w:sz w:val="20"/>
              </w:rPr>
              <w:t>模型</w:t>
            </w:r>
          </w:p>
        </w:tc>
        <w:tc>
          <w:tcPr>
            <w:tcW w:w="0" w:type="auto"/>
            <w:tcBorders>
              <w:top w:val="nil"/>
              <w:left w:val="nil"/>
              <w:bottom w:val="nil"/>
              <w:right w:val="nil"/>
            </w:tcBorders>
            <w:noWrap w:val="0"/>
            <w:tcMar>
              <w:top w:w="-1" w:type="dxa"/>
              <w:left w:w="-1" w:type="dxa"/>
              <w:bottom w:w="-1" w:type="dxa"/>
              <w:right w:w="-1" w:type="dxa"/>
            </w:tcMar>
            <w:vAlign w:val="center"/>
          </w:tcPr>
          <w:p w14:paraId="06695E25">
            <w:pPr>
              <w:spacing w:after="0" w:line="240" w:lineRule="auto"/>
              <w:jc w:val="center"/>
              <w:rPr>
                <w:rFonts w:ascii="微软雅黑" w:eastAsia="微软雅黑"/>
                <w:sz w:val="20"/>
              </w:rPr>
            </w:pPr>
            <w:r>
              <w:rPr>
                <w:rFonts w:ascii="微软雅黑" w:hAnsi="微软雅黑" w:eastAsia="微软雅黑" w:cs="微软雅黑"/>
                <w:sz w:val="20"/>
              </w:rPr>
              <w:t>Qwen2.5-7B-Instruct (FP16, ~14GB 显存)</w:t>
            </w:r>
          </w:p>
        </w:tc>
      </w:tr>
      <w:tr w14:paraId="5959ED93">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3836AE">
            <w:pPr>
              <w:spacing w:after="0" w:line="240" w:lineRule="auto"/>
              <w:jc w:val="center"/>
              <w:rPr>
                <w:rFonts w:ascii="微软雅黑" w:eastAsia="微软雅黑"/>
                <w:sz w:val="20"/>
              </w:rPr>
            </w:pPr>
            <w:r>
              <w:rPr>
                <w:rFonts w:ascii="微软雅黑" w:hAnsi="微软雅黑" w:eastAsia="微软雅黑" w:cs="微软雅黑"/>
                <w:sz w:val="20"/>
              </w:rPr>
              <w:t>推理框架</w:t>
            </w:r>
          </w:p>
        </w:tc>
        <w:tc>
          <w:tcPr>
            <w:tcW w:w="0" w:type="auto"/>
            <w:tcBorders>
              <w:top w:val="nil"/>
              <w:left w:val="nil"/>
              <w:bottom w:val="nil"/>
              <w:right w:val="nil"/>
            </w:tcBorders>
            <w:noWrap w:val="0"/>
            <w:tcMar>
              <w:top w:w="-1" w:type="dxa"/>
              <w:left w:w="-1" w:type="dxa"/>
              <w:bottom w:w="-1" w:type="dxa"/>
              <w:right w:w="-1" w:type="dxa"/>
            </w:tcMar>
            <w:vAlign w:val="center"/>
          </w:tcPr>
          <w:p w14:paraId="4DECDC35">
            <w:pPr>
              <w:spacing w:after="0" w:line="240" w:lineRule="auto"/>
              <w:jc w:val="center"/>
              <w:rPr>
                <w:rFonts w:ascii="微软雅黑" w:eastAsia="微软雅黑"/>
                <w:sz w:val="20"/>
              </w:rPr>
            </w:pPr>
            <w:r>
              <w:rPr>
                <w:rFonts w:ascii="微软雅黑" w:hAnsi="微软雅黑" w:eastAsia="微软雅黑" w:cs="微软雅黑"/>
                <w:sz w:val="20"/>
              </w:rPr>
              <w:t>Flask + HuggingFace Transformers</w:t>
            </w:r>
          </w:p>
        </w:tc>
      </w:tr>
      <w:tr w14:paraId="32282B12">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016" w:type="dxa"/>
            <w:tcBorders>
              <w:top w:val="nil"/>
              <w:left w:val="nil"/>
              <w:bottom w:val="single" w:color="auto" w:sz="12" w:space="0"/>
              <w:right w:val="nil"/>
            </w:tcBorders>
            <w:noWrap w:val="0"/>
            <w:tcMar>
              <w:top w:w="-1" w:type="dxa"/>
              <w:left w:w="-1" w:type="dxa"/>
              <w:bottom w:w="-1" w:type="dxa"/>
              <w:right w:w="-1" w:type="dxa"/>
            </w:tcMar>
            <w:vAlign w:val="center"/>
          </w:tcPr>
          <w:p w14:paraId="323D7C28">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API 接口</w:t>
            </w:r>
          </w:p>
        </w:tc>
        <w:tc>
          <w:tcPr>
            <w:tcW w:w="4076" w:type="dxa"/>
            <w:tcBorders>
              <w:top w:val="nil"/>
              <w:left w:val="nil"/>
              <w:bottom w:val="single" w:color="auto" w:sz="12" w:space="0"/>
              <w:right w:val="nil"/>
            </w:tcBorders>
            <w:noWrap w:val="0"/>
            <w:tcMar>
              <w:top w:w="-1" w:type="dxa"/>
              <w:left w:w="-1" w:type="dxa"/>
              <w:bottom w:w="-1" w:type="dxa"/>
              <w:right w:w="-1" w:type="dxa"/>
            </w:tcMar>
            <w:vAlign w:val="center"/>
          </w:tcPr>
          <w:p w14:paraId="4421BABF">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OpenAI 兼容 (/v1/chat/completions)</w:t>
            </w:r>
          </w:p>
        </w:tc>
      </w:tr>
    </w:tbl>
    <w:p w14:paraId="5D9A33A0">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4.3 主程序</w:t>
      </w:r>
    </w:p>
    <w:p w14:paraId="6CE95D36">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api_server.py — 基于 Flask 的 GPU 推理服务，加载 Qwen2.5-7B-Instruct 模型，提供 OpenAI 兼容的 /v1/</w:t>
      </w:r>
      <w:bookmarkStart w:id="0" w:name="_GoBack"/>
      <w:bookmarkEnd w:id="0"/>
      <w:r>
        <w:rPr>
          <w:rFonts w:hint="eastAsia" w:ascii="微软雅黑" w:hAnsi="微软雅黑" w:eastAsia="微软雅黑" w:cs="微软雅黑"/>
          <w:sz w:val="22"/>
          <w:lang w:val="en-US" w:eastAsia="zh-CN"/>
        </w:rPr>
        <w:t>chat/completions 接口。</w:t>
      </w:r>
    </w:p>
    <w:p w14:paraId="5A630A1F">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bench.py — 对比本地 GPU（V100S）与云端 API（gpt-4o-mini）的响应时间、输出长度和字符生成速度。</w:t>
      </w:r>
    </w:p>
    <w:p w14:paraId="2714F770">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vllm_setup.sh — GPU 服务器上的 vLLM 环境安装脚本，包括 CUDA 工具包、PyTorch、vLLM 及模型下载。</w:t>
      </w:r>
    </w:p>
    <w:p w14:paraId="07FF40FE">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4088130" cy="3094990"/>
            <wp:effectExtent l="0" t="0" r="1270" b="381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6"/>
                    <a:stretch>
                      <a:fillRect/>
                    </a:stretch>
                  </pic:blipFill>
                  <pic:spPr>
                    <a:xfrm>
                      <a:off x="0" y="0"/>
                      <a:ext cx="4088130" cy="3094990"/>
                    </a:xfrm>
                    <a:prstGeom prst="rect">
                      <a:avLst/>
                    </a:prstGeom>
                    <a:noFill/>
                    <a:ln>
                      <a:noFill/>
                    </a:ln>
                  </pic:spPr>
                </pic:pic>
              </a:graphicData>
            </a:graphic>
          </wp:inline>
        </w:drawing>
      </w:r>
    </w:p>
    <w:p w14:paraId="70069AF5">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图10 Task C核心代码（部分）</w:t>
      </w:r>
    </w:p>
    <w:p w14:paraId="03E15FE2">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4.4 实验结果性能对比</w:t>
      </w:r>
    </w:p>
    <w:tbl>
      <w:tblPr>
        <w:tblStyle w:val="49"/>
        <w:tblW w:w="0" w:type="auto"/>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416"/>
        <w:gridCol w:w="1965"/>
        <w:gridCol w:w="2463"/>
      </w:tblGrid>
      <w:tr w14:paraId="160E483B">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CA2A95E">
            <w:pPr>
              <w:spacing w:after="0" w:line="240" w:lineRule="auto"/>
              <w:jc w:val="center"/>
              <w:rPr>
                <w:rFonts w:ascii="微软雅黑" w:eastAsia="微软雅黑"/>
                <w:b/>
                <w:sz w:val="20"/>
              </w:rPr>
            </w:pPr>
            <w:r>
              <w:rPr>
                <w:rFonts w:ascii="微软雅黑" w:hAnsi="微软雅黑" w:eastAsia="微软雅黑" w:cs="微软雅黑"/>
                <w:b/>
                <w:sz w:val="20"/>
              </w:rPr>
              <w:t>指标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49F8AE2">
            <w:pPr>
              <w:spacing w:after="0" w:line="240" w:lineRule="auto"/>
              <w:jc w:val="center"/>
              <w:rPr>
                <w:rFonts w:ascii="微软雅黑" w:eastAsia="微软雅黑"/>
                <w:b/>
                <w:sz w:val="20"/>
              </w:rPr>
            </w:pPr>
            <w:r>
              <w:rPr>
                <w:rFonts w:ascii="微软雅黑" w:hAnsi="微软雅黑" w:eastAsia="微软雅黑" w:cs="微软雅黑"/>
                <w:b/>
                <w:sz w:val="20"/>
              </w:rPr>
              <w:t>本地 GPU (V100S)</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8A58874">
            <w:pPr>
              <w:spacing w:after="0" w:line="240" w:lineRule="auto"/>
              <w:jc w:val="center"/>
              <w:rPr>
                <w:rFonts w:ascii="微软雅黑" w:hAnsi="微软雅黑" w:eastAsia="微软雅黑" w:cs="微软雅黑"/>
                <w:b/>
                <w:sz w:val="20"/>
              </w:rPr>
            </w:pPr>
            <w:r>
              <w:rPr>
                <w:rFonts w:ascii="微软雅黑" w:hAnsi="微软雅黑" w:eastAsia="微软雅黑" w:cs="微软雅黑"/>
                <w:b/>
                <w:sz w:val="20"/>
              </w:rPr>
              <w:t>云端 API (gpt-4o-mini)</w:t>
            </w:r>
          </w:p>
        </w:tc>
      </w:tr>
      <w:tr w14:paraId="53BE056E">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0ADDF15">
            <w:pPr>
              <w:spacing w:after="0" w:line="240" w:lineRule="auto"/>
              <w:jc w:val="center"/>
              <w:rPr>
                <w:rFonts w:ascii="微软雅黑" w:eastAsia="微软雅黑"/>
                <w:sz w:val="20"/>
              </w:rPr>
            </w:pPr>
            <w:r>
              <w:rPr>
                <w:rFonts w:ascii="微软雅黑" w:hAnsi="微软雅黑" w:eastAsia="微软雅黑" w:cs="微软雅黑"/>
                <w:sz w:val="20"/>
              </w:rPr>
              <w:t>平均响应时间</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56AE95">
            <w:pPr>
              <w:spacing w:after="0" w:line="240" w:lineRule="auto"/>
              <w:jc w:val="center"/>
              <w:rPr>
                <w:rFonts w:ascii="微软雅黑" w:eastAsia="微软雅黑"/>
                <w:sz w:val="20"/>
              </w:rPr>
            </w:pPr>
            <w:r>
              <w:rPr>
                <w:rFonts w:ascii="微软雅黑" w:hAnsi="微软雅黑" w:eastAsia="微软雅黑" w:cs="微软雅黑"/>
                <w:sz w:val="20"/>
              </w:rPr>
              <w:t>20.11s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62EE99">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5.98s</w:t>
            </w:r>
          </w:p>
        </w:tc>
      </w:tr>
      <w:tr w14:paraId="62908E35">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D5F2E31">
            <w:pPr>
              <w:spacing w:after="0" w:line="240" w:lineRule="auto"/>
              <w:jc w:val="center"/>
              <w:rPr>
                <w:rFonts w:ascii="微软雅黑" w:eastAsia="微软雅黑"/>
                <w:sz w:val="20"/>
              </w:rPr>
            </w:pPr>
            <w:r>
              <w:rPr>
                <w:rFonts w:ascii="微软雅黑" w:hAnsi="微软雅黑" w:eastAsia="微软雅黑" w:cs="微软雅黑"/>
                <w:sz w:val="20"/>
              </w:rPr>
              <w:t>平均输出长度</w:t>
            </w:r>
          </w:p>
        </w:tc>
        <w:tc>
          <w:tcPr>
            <w:tcW w:w="0" w:type="auto"/>
            <w:tcBorders>
              <w:top w:val="nil"/>
              <w:left w:val="nil"/>
              <w:bottom w:val="nil"/>
              <w:right w:val="nil"/>
            </w:tcBorders>
            <w:noWrap w:val="0"/>
            <w:tcMar>
              <w:top w:w="-1" w:type="dxa"/>
              <w:left w:w="-1" w:type="dxa"/>
              <w:bottom w:w="-1" w:type="dxa"/>
              <w:right w:w="-1" w:type="dxa"/>
            </w:tcMar>
            <w:vAlign w:val="center"/>
          </w:tcPr>
          <w:p w14:paraId="2B9769B7">
            <w:pPr>
              <w:spacing w:after="0" w:line="240" w:lineRule="auto"/>
              <w:jc w:val="center"/>
              <w:rPr>
                <w:rFonts w:ascii="微软雅黑" w:eastAsia="微软雅黑"/>
                <w:sz w:val="20"/>
              </w:rPr>
            </w:pPr>
            <w:r>
              <w:rPr>
                <w:rFonts w:ascii="微软雅黑" w:hAnsi="微软雅黑" w:eastAsia="微软雅黑" w:cs="微软雅黑"/>
                <w:sz w:val="20"/>
              </w:rPr>
              <w:t>817 chars</w:t>
            </w:r>
          </w:p>
        </w:tc>
        <w:tc>
          <w:tcPr>
            <w:tcW w:w="0" w:type="auto"/>
            <w:tcBorders>
              <w:top w:val="nil"/>
              <w:left w:val="nil"/>
              <w:bottom w:val="nil"/>
              <w:right w:val="nil"/>
            </w:tcBorders>
            <w:noWrap w:val="0"/>
            <w:tcMar>
              <w:top w:w="-1" w:type="dxa"/>
              <w:left w:w="-1" w:type="dxa"/>
              <w:bottom w:w="-1" w:type="dxa"/>
              <w:right w:w="-1" w:type="dxa"/>
            </w:tcMar>
            <w:vAlign w:val="center"/>
          </w:tcPr>
          <w:p w14:paraId="5D05ADAE">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659 chars</w:t>
            </w:r>
          </w:p>
        </w:tc>
      </w:tr>
      <w:tr w14:paraId="28328129">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67A02BD">
            <w:pPr>
              <w:spacing w:after="0" w:line="240" w:lineRule="auto"/>
              <w:jc w:val="center"/>
              <w:rPr>
                <w:rFonts w:ascii="微软雅黑" w:eastAsia="微软雅黑"/>
                <w:sz w:val="20"/>
              </w:rPr>
            </w:pPr>
            <w:r>
              <w:rPr>
                <w:rFonts w:ascii="微软雅黑" w:hAnsi="微软雅黑" w:eastAsia="微软雅黑" w:cs="微软雅黑"/>
                <w:sz w:val="20"/>
              </w:rPr>
              <w:t>字符生成速度</w:t>
            </w:r>
          </w:p>
        </w:tc>
        <w:tc>
          <w:tcPr>
            <w:tcW w:w="0" w:type="auto"/>
            <w:tcBorders>
              <w:top w:val="nil"/>
              <w:left w:val="nil"/>
              <w:bottom w:val="nil"/>
              <w:right w:val="nil"/>
            </w:tcBorders>
            <w:noWrap w:val="0"/>
            <w:tcMar>
              <w:top w:w="-1" w:type="dxa"/>
              <w:left w:w="-1" w:type="dxa"/>
              <w:bottom w:w="-1" w:type="dxa"/>
              <w:right w:w="-1" w:type="dxa"/>
            </w:tcMar>
            <w:vAlign w:val="center"/>
          </w:tcPr>
          <w:p w14:paraId="2A1B7A89">
            <w:pPr>
              <w:spacing w:after="0" w:line="240" w:lineRule="auto"/>
              <w:jc w:val="center"/>
              <w:rPr>
                <w:rFonts w:ascii="微软雅黑" w:eastAsia="微软雅黑"/>
                <w:sz w:val="20"/>
              </w:rPr>
            </w:pPr>
            <w:r>
              <w:rPr>
                <w:rFonts w:ascii="微软雅黑" w:hAnsi="微软雅黑" w:eastAsia="微软雅黑" w:cs="微软雅黑"/>
                <w:sz w:val="20"/>
              </w:rPr>
              <w:t>40.6 chars/s</w:t>
            </w:r>
          </w:p>
        </w:tc>
        <w:tc>
          <w:tcPr>
            <w:tcW w:w="0" w:type="auto"/>
            <w:tcBorders>
              <w:top w:val="nil"/>
              <w:left w:val="nil"/>
              <w:bottom w:val="nil"/>
              <w:right w:val="nil"/>
            </w:tcBorders>
            <w:noWrap w:val="0"/>
            <w:tcMar>
              <w:top w:w="-1" w:type="dxa"/>
              <w:left w:w="-1" w:type="dxa"/>
              <w:bottom w:w="-1" w:type="dxa"/>
              <w:right w:w="-1" w:type="dxa"/>
            </w:tcMar>
            <w:vAlign w:val="center"/>
          </w:tcPr>
          <w:p w14:paraId="3F35A42D">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110.2 chars/s</w:t>
            </w:r>
          </w:p>
        </w:tc>
      </w:tr>
      <w:tr w14:paraId="345DD9C7">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6D23F90F">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显存占用</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0340AA9A">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~15 GB</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2BFED15A">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N/A</w:t>
            </w:r>
          </w:p>
        </w:tc>
      </w:tr>
    </w:tbl>
    <w:p w14:paraId="637CAD66">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4.5可视化结果</w:t>
      </w:r>
    </w:p>
    <w:p w14:paraId="5D2B1739">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由图11可知，云端API响应速度快3.4倍，云端 API 的吞吐量是本地 V100S 的2.7倍。</w:t>
      </w:r>
    </w:p>
    <w:p w14:paraId="19FB748D">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2692400" cy="1910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2692400" cy="1910080"/>
                    </a:xfrm>
                    <a:prstGeom prst="rect">
                      <a:avLst/>
                    </a:prstGeom>
                  </pic:spPr>
                </pic:pic>
              </a:graphicData>
            </a:graphic>
          </wp:inline>
        </w:drawing>
      </w:r>
      <w:r>
        <w:drawing>
          <wp:inline distT="0" distB="0" distL="114300" distR="114300">
            <wp:extent cx="2672080" cy="1893570"/>
            <wp:effectExtent l="0" t="0" r="762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2672080" cy="1893570"/>
                    </a:xfrm>
                    <a:prstGeom prst="rect">
                      <a:avLst/>
                    </a:prstGeom>
                  </pic:spPr>
                </pic:pic>
              </a:graphicData>
            </a:graphic>
          </wp:inline>
        </w:drawing>
      </w:r>
    </w:p>
    <w:p w14:paraId="180031AD">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图11 本地 GPU vs 云端 API 响应时间、字符生成速度对比</w:t>
      </w:r>
    </w:p>
    <w:p w14:paraId="540579CA">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由图12可知，本地模型输出更详细（+24%），但速度较慢。</w:t>
      </w:r>
    </w:p>
    <w:p w14:paraId="1E0DE5FB">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4296410" cy="26670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296410" cy="2667000"/>
                    </a:xfrm>
                    <a:prstGeom prst="rect">
                      <a:avLst/>
                    </a:prstGeom>
                  </pic:spPr>
                </pic:pic>
              </a:graphicData>
            </a:graphic>
          </wp:inline>
        </w:drawing>
      </w:r>
    </w:p>
    <w:p w14:paraId="717F039B">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图12 响应时间与输出长度双轴对比。</w:t>
      </w:r>
    </w:p>
    <w:p w14:paraId="608ED3B8">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4.6 讨论</w:t>
      </w:r>
    </w:p>
    <w:p w14:paraId="0711F111">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1.云端优势：gpt-4o-mini 在速度上明显领先（5.98s vs 20.11s），得益于更强的基础设施</w:t>
      </w:r>
    </w:p>
    <w:p w14:paraId="6903E039">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2.本地优势：无 API 费用、数据不出服务器、可完全控制模型行为</w:t>
      </w:r>
    </w:p>
    <w:p w14:paraId="09E5EED7">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3.V100S 局限性：较老架构，FP16 推理速度有限；使用 vLLM 或 TensorRT-LLM 可显著提升</w:t>
      </w:r>
    </w:p>
    <w:p w14:paraId="683F2F34">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eastAsia" w:ascii="微软雅黑" w:hAnsi="微软雅黑" w:eastAsia="微软雅黑" w:cs="微软雅黑"/>
          <w:b/>
          <w:color w:val="3C5488"/>
          <w:sz w:val="32"/>
          <w:lang w:val="en-US" w:eastAsia="zh-CN"/>
        </w:rPr>
      </w:pPr>
      <w:r>
        <w:rPr>
          <w:rFonts w:hint="eastAsia" w:ascii="微软雅黑" w:hAnsi="微软雅黑" w:eastAsia="微软雅黑" w:cs="微软雅黑"/>
          <w:b/>
          <w:color w:val="3C5488"/>
          <w:sz w:val="32"/>
          <w:lang w:val="en-US" w:eastAsia="zh-CN"/>
        </w:rPr>
        <w:t>五、任务 D：农业 AI 助手 Web 应用</w:t>
      </w:r>
    </w:p>
    <w:p w14:paraId="638DF126">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5.1 功能特性</w:t>
      </w:r>
    </w:p>
    <w:p w14:paraId="19BF22A6">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1.Streamlit Web UI：简洁的聊天界面，侧边栏配置 API Key 和模型</w:t>
      </w:r>
    </w:p>
    <w:p w14:paraId="7873FF77">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2.RAG 引擎：BGE-small-zh-v1.5 向量检索 + ChromaDB 持久化知识库</w:t>
      </w:r>
    </w:p>
    <w:p w14:paraId="793DFE4B">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3.多模型支持：可切换 gpt-4o-mini / qwen-plus</w:t>
      </w:r>
    </w:p>
    <w:p w14:paraId="69D905B2">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4.参考来源展示：每次回答附带检索到的文档来源和相关度</w:t>
      </w:r>
    </w:p>
    <w:p w14:paraId="0011C9F3">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5.2 运行方式</w:t>
      </w:r>
    </w:p>
    <w:p w14:paraId="33D2BDC8">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streamlit run task_d_challenge.py --server.address 0.0.0.0 --server.port 8501</w:t>
      </w:r>
    </w:p>
    <w:p w14:paraId="4FB91C2A">
      <w:pPr>
        <w:keepNext w:val="0"/>
        <w:keepLines w:val="0"/>
        <w:pageBreakBefore w:val="0"/>
        <w:widowControl/>
        <w:kinsoku/>
        <w:wordWrap/>
        <w:overflowPunct/>
        <w:topLinePunct w:val="0"/>
        <w:autoSpaceDE/>
        <w:autoSpaceDN/>
        <w:bidi w:val="0"/>
        <w:adjustRightInd/>
        <w:snapToGrid/>
        <w:spacing w:after="0" w:line="240" w:lineRule="auto"/>
        <w:ind w:firstLine="880" w:firstLineChars="4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应用地址：</w:t>
      </w:r>
      <w:r>
        <w:rPr>
          <w:rFonts w:hint="eastAsia" w:ascii="微软雅黑" w:hAnsi="微软雅黑" w:eastAsia="微软雅黑" w:cs="微软雅黑"/>
          <w:sz w:val="22"/>
          <w:lang w:val="en-US" w:eastAsia="zh-CN"/>
        </w:rPr>
        <w:fldChar w:fldCharType="begin"/>
      </w:r>
      <w:r>
        <w:rPr>
          <w:rFonts w:hint="eastAsia" w:ascii="微软雅黑" w:hAnsi="微软雅黑" w:eastAsia="微软雅黑" w:cs="微软雅黑"/>
          <w:sz w:val="22"/>
          <w:lang w:val="en-US" w:eastAsia="zh-CN"/>
        </w:rPr>
        <w:instrText xml:space="preserve"> HYPERLINK "http://localhost:8501" </w:instrText>
      </w:r>
      <w:r>
        <w:rPr>
          <w:rFonts w:hint="eastAsia" w:ascii="微软雅黑" w:hAnsi="微软雅黑" w:eastAsia="微软雅黑" w:cs="微软雅黑"/>
          <w:sz w:val="22"/>
          <w:lang w:val="en-US" w:eastAsia="zh-CN"/>
        </w:rPr>
        <w:fldChar w:fldCharType="separate"/>
      </w:r>
      <w:r>
        <w:rPr>
          <w:rStyle w:val="135"/>
          <w:rFonts w:hint="eastAsia" w:ascii="微软雅黑" w:hAnsi="微软雅黑" w:eastAsia="微软雅黑" w:cs="微软雅黑"/>
          <w:sz w:val="22"/>
          <w:lang w:val="en-US" w:eastAsia="zh-CN"/>
        </w:rPr>
        <w:t>http://localhost:8501</w:t>
      </w:r>
      <w:r>
        <w:rPr>
          <w:rFonts w:hint="eastAsia" w:ascii="微软雅黑" w:hAnsi="微软雅黑" w:eastAsia="微软雅黑" w:cs="微软雅黑"/>
          <w:sz w:val="22"/>
          <w:lang w:val="en-US" w:eastAsia="zh-CN"/>
        </w:rPr>
        <w:fldChar w:fldCharType="end"/>
      </w:r>
    </w:p>
    <w:p w14:paraId="46F88073">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5.3 主程序</w:t>
      </w:r>
    </w:p>
    <w:p w14:paraId="01724EE8">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task_d_challenge.py — 基于 Streamlit 的农业 AI 助手 Web 应用，集成 RAG 引擎和多模型支持。</w:t>
      </w:r>
    </w:p>
    <w:p w14:paraId="4F48238D">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pPr>
      <w:r>
        <w:drawing>
          <wp:inline distT="0" distB="0" distL="114300" distR="114300">
            <wp:extent cx="5105400" cy="2959100"/>
            <wp:effectExtent l="0" t="0" r="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0"/>
                    <a:stretch>
                      <a:fillRect/>
                    </a:stretch>
                  </pic:blipFill>
                  <pic:spPr>
                    <a:xfrm>
                      <a:off x="0" y="0"/>
                      <a:ext cx="5105400" cy="2959100"/>
                    </a:xfrm>
                    <a:prstGeom prst="rect">
                      <a:avLst/>
                    </a:prstGeom>
                    <a:noFill/>
                    <a:ln>
                      <a:noFill/>
                    </a:ln>
                  </pic:spPr>
                </pic:pic>
              </a:graphicData>
            </a:graphic>
          </wp:inline>
        </w:drawing>
      </w:r>
    </w:p>
    <w:p w14:paraId="50C06111">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lang w:val="en-US" w:eastAsia="zh-CN"/>
        </w:rPr>
      </w:pPr>
      <w:r>
        <w:rPr>
          <w:rFonts w:hint="eastAsia" w:eastAsia="宋体"/>
          <w:lang w:val="en-US" w:eastAsia="zh-CN"/>
        </w:rPr>
        <w:t>图13 Task D核心代码（部分）</w:t>
      </w:r>
    </w:p>
    <w:p w14:paraId="269A8890">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5.4 系统截图</w:t>
      </w:r>
    </w:p>
    <w:p w14:paraId="47411EC4">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测试问题："番茄叶片出现褐色斑点，是什么病？怎么防治？"。系统通过 RAG 检索知识库，返回了包括晚疫病和早疫病的详细诊断及具体防治方案（含农药名称、浓度、安全间隔期），并附带可追溯的参考来源。</w:t>
      </w:r>
    </w:p>
    <w:p w14:paraId="2F57D943">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5303520" cy="2783840"/>
            <wp:effectExtent l="0" t="0" r="508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303520" cy="2784348"/>
                    </a:xfrm>
                    <a:prstGeom prst="rect">
                      <a:avLst/>
                    </a:prstGeom>
                  </pic:spPr>
                </pic:pic>
              </a:graphicData>
            </a:graphic>
          </wp:inline>
        </w:drawing>
      </w:r>
    </w:p>
    <w:p w14:paraId="2E1678ED">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图14 Streamlit 农业 AI 助手 Web 应用。</w:t>
      </w:r>
    </w:p>
    <w:p w14:paraId="55327F20">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eastAsia" w:ascii="微软雅黑" w:hAnsi="微软雅黑" w:eastAsia="微软雅黑" w:cs="微软雅黑"/>
          <w:b/>
          <w:color w:val="3C5488"/>
          <w:sz w:val="32"/>
          <w:lang w:val="en-US" w:eastAsia="zh-CN"/>
        </w:rPr>
      </w:pPr>
      <w:r>
        <w:rPr>
          <w:rFonts w:hint="eastAsia" w:ascii="微软雅黑" w:hAnsi="微软雅黑" w:eastAsia="微软雅黑" w:cs="微软雅黑"/>
          <w:b/>
          <w:color w:val="3C5488"/>
          <w:sz w:val="32"/>
          <w:lang w:val="en-US" w:eastAsia="zh-CN"/>
        </w:rPr>
        <w:t>六、Git 提交记录</w:t>
      </w:r>
    </w:p>
    <w:p w14:paraId="7DA3DB34">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提交截图.png — GitHub 仓库 SB123-Tech/sb-task5 的完整提交历史，包含 8 个提交，按任务分组。</w:t>
      </w:r>
    </w:p>
    <w:p w14:paraId="6CC6731C">
      <w:pPr>
        <w:jc w:val="center"/>
      </w:pPr>
      <w:r>
        <w:drawing>
          <wp:inline distT="0" distB="0" distL="114300" distR="114300">
            <wp:extent cx="5303520" cy="2783840"/>
            <wp:effectExtent l="0" t="0" r="508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303520" cy="2784348"/>
                    </a:xfrm>
                    <a:prstGeom prst="rect">
                      <a:avLst/>
                    </a:prstGeom>
                  </pic:spPr>
                </pic:pic>
              </a:graphicData>
            </a:graphic>
          </wp:inline>
        </w:drawing>
      </w:r>
    </w:p>
    <w:p w14:paraId="01D2A926">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rPr>
          <w:rFonts w:hint="eastAsia" w:eastAsia="宋体"/>
          <w:lang w:val="en-US" w:eastAsia="zh-CN"/>
        </w:rPr>
      </w:pPr>
      <w:r>
        <w:rPr>
          <w:rFonts w:hint="eastAsia" w:eastAsia="宋体"/>
          <w:lang w:val="en-US" w:eastAsia="zh-CN"/>
        </w:rPr>
        <w:t>图15 GitHub 提交记录</w:t>
      </w:r>
    </w:p>
    <w:p w14:paraId="0B354B84">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eastAsia" w:ascii="微软雅黑" w:hAnsi="微软雅黑" w:eastAsia="微软雅黑" w:cs="微软雅黑"/>
          <w:b/>
          <w:color w:val="3C5488"/>
          <w:sz w:val="32"/>
          <w:lang w:val="en-US" w:eastAsia="zh-CN"/>
        </w:rPr>
      </w:pPr>
      <w:r>
        <w:rPr>
          <w:rFonts w:hint="eastAsia" w:ascii="微软雅黑" w:hAnsi="微软雅黑" w:eastAsia="微软雅黑" w:cs="微软雅黑"/>
          <w:b/>
          <w:color w:val="3C5488"/>
          <w:sz w:val="32"/>
          <w:lang w:val="en-US" w:eastAsia="zh-CN"/>
        </w:rPr>
        <w:t>七、任务总结</w:t>
      </w:r>
    </w:p>
    <w:p w14:paraId="7091A569">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7.1 完成情况</w:t>
      </w:r>
    </w:p>
    <w:tbl>
      <w:tblPr>
        <w:tblStyle w:val="49"/>
        <w:tblW w:w="0" w:type="auto"/>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2870"/>
        <w:gridCol w:w="816"/>
        <w:gridCol w:w="4682"/>
      </w:tblGrid>
      <w:tr w14:paraId="27893107">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9FB8AE2">
            <w:pPr>
              <w:spacing w:after="0" w:line="240" w:lineRule="auto"/>
              <w:jc w:val="center"/>
              <w:rPr>
                <w:rFonts w:ascii="微软雅黑" w:eastAsia="微软雅黑"/>
                <w:b/>
                <w:sz w:val="20"/>
              </w:rPr>
            </w:pPr>
            <w:r>
              <w:rPr>
                <w:rFonts w:ascii="微软雅黑" w:hAnsi="微软雅黑" w:eastAsia="微软雅黑" w:cs="微软雅黑"/>
                <w:b/>
                <w:sz w:val="20"/>
              </w:rPr>
              <w:t>任务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3C724AD">
            <w:pPr>
              <w:spacing w:after="0" w:line="240" w:lineRule="auto"/>
              <w:jc w:val="center"/>
              <w:rPr>
                <w:rFonts w:ascii="微软雅黑" w:eastAsia="微软雅黑"/>
                <w:b/>
                <w:sz w:val="20"/>
              </w:rPr>
            </w:pPr>
            <w:r>
              <w:rPr>
                <w:rFonts w:ascii="微软雅黑" w:hAnsi="微软雅黑" w:eastAsia="微软雅黑" w:cs="微软雅黑"/>
                <w:b/>
                <w:sz w:val="20"/>
              </w:rPr>
              <w:t>状态</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4ADCE1F">
            <w:pPr>
              <w:spacing w:after="0" w:line="240" w:lineRule="auto"/>
              <w:jc w:val="center"/>
              <w:rPr>
                <w:rFonts w:ascii="微软雅黑" w:hAnsi="微软雅黑" w:eastAsia="微软雅黑" w:cs="微软雅黑"/>
                <w:b/>
                <w:sz w:val="20"/>
              </w:rPr>
            </w:pPr>
            <w:r>
              <w:rPr>
                <w:rFonts w:ascii="微软雅黑" w:hAnsi="微软雅黑" w:eastAsia="微软雅黑" w:cs="微软雅黑"/>
                <w:b/>
                <w:sz w:val="20"/>
              </w:rPr>
              <w:t>关键产出</w:t>
            </w:r>
          </w:p>
        </w:tc>
      </w:tr>
      <w:tr w14:paraId="29DC3B63">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E11CC5">
            <w:pPr>
              <w:spacing w:after="0" w:line="240" w:lineRule="auto"/>
              <w:jc w:val="center"/>
              <w:rPr>
                <w:rFonts w:ascii="微软雅黑" w:eastAsia="微软雅黑"/>
                <w:sz w:val="20"/>
              </w:rPr>
            </w:pPr>
            <w:r>
              <w:rPr>
                <w:rFonts w:ascii="微软雅黑" w:hAnsi="微软雅黑" w:eastAsia="微软雅黑" w:cs="微软雅黑"/>
                <w:sz w:val="20"/>
              </w:rPr>
              <w:t>Task A: Prompt Engineering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9CED655">
            <w:pPr>
              <w:spacing w:after="0" w:line="240" w:lineRule="auto"/>
              <w:jc w:val="center"/>
              <w:rPr>
                <w:rFonts w:ascii="微软雅黑" w:eastAsia="微软雅黑"/>
                <w:sz w:val="20"/>
              </w:rPr>
            </w:pPr>
            <w:r>
              <w:rPr>
                <w:rFonts w:ascii="微软雅黑" w:hAnsi="微软雅黑" w:eastAsia="微软雅黑" w:cs="微软雅黑"/>
                <w:sz w:val="20"/>
              </w:rPr>
              <w:t>已完成</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4ED5CE4">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3种策略对比 + 3张NPG图表</w:t>
            </w:r>
          </w:p>
        </w:tc>
      </w:tr>
      <w:tr w14:paraId="3C11325D">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09ADBF">
            <w:pPr>
              <w:spacing w:after="0" w:line="240" w:lineRule="auto"/>
              <w:jc w:val="center"/>
              <w:rPr>
                <w:rFonts w:ascii="微软雅黑" w:eastAsia="微软雅黑"/>
                <w:sz w:val="20"/>
              </w:rPr>
            </w:pPr>
            <w:r>
              <w:rPr>
                <w:rFonts w:ascii="微软雅黑" w:hAnsi="微软雅黑" w:eastAsia="微软雅黑" w:cs="微软雅黑"/>
                <w:sz w:val="20"/>
              </w:rPr>
              <w:t>Task B: RAG 系统</w:t>
            </w:r>
          </w:p>
        </w:tc>
        <w:tc>
          <w:tcPr>
            <w:tcW w:w="0" w:type="auto"/>
            <w:tcBorders>
              <w:top w:val="nil"/>
              <w:left w:val="nil"/>
              <w:bottom w:val="nil"/>
              <w:right w:val="nil"/>
            </w:tcBorders>
            <w:noWrap w:val="0"/>
            <w:tcMar>
              <w:top w:w="-1" w:type="dxa"/>
              <w:left w:w="-1" w:type="dxa"/>
              <w:bottom w:w="-1" w:type="dxa"/>
              <w:right w:w="-1" w:type="dxa"/>
            </w:tcMar>
            <w:vAlign w:val="center"/>
          </w:tcPr>
          <w:p w14:paraId="0FE435C1">
            <w:pPr>
              <w:spacing w:after="0" w:line="240" w:lineRule="auto"/>
              <w:jc w:val="center"/>
              <w:rPr>
                <w:rFonts w:ascii="微软雅黑" w:eastAsia="微软雅黑"/>
                <w:sz w:val="20"/>
              </w:rPr>
            </w:pPr>
            <w:r>
              <w:rPr>
                <w:rFonts w:ascii="微软雅黑" w:hAnsi="微软雅黑" w:eastAsia="微软雅黑" w:cs="微软雅黑"/>
                <w:sz w:val="20"/>
              </w:rPr>
              <w:t>已完成</w:t>
            </w:r>
          </w:p>
        </w:tc>
        <w:tc>
          <w:tcPr>
            <w:tcW w:w="0" w:type="auto"/>
            <w:tcBorders>
              <w:top w:val="nil"/>
              <w:left w:val="nil"/>
              <w:bottom w:val="nil"/>
              <w:right w:val="nil"/>
            </w:tcBorders>
            <w:noWrap w:val="0"/>
            <w:tcMar>
              <w:top w:w="-1" w:type="dxa"/>
              <w:left w:w="-1" w:type="dxa"/>
              <w:bottom w:w="-1" w:type="dxa"/>
              <w:right w:w="-1" w:type="dxa"/>
            </w:tcMar>
            <w:vAlign w:val="center"/>
          </w:tcPr>
          <w:p w14:paraId="7C448D08">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向量知识库 + RAG vs no-RAG 对比 + 4张图表</w:t>
            </w:r>
          </w:p>
        </w:tc>
      </w:tr>
      <w:tr w14:paraId="2D2A3A05">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30EA98F">
            <w:pPr>
              <w:spacing w:after="0" w:line="240" w:lineRule="auto"/>
              <w:jc w:val="center"/>
              <w:rPr>
                <w:rFonts w:ascii="微软雅黑" w:eastAsia="微软雅黑"/>
                <w:sz w:val="20"/>
              </w:rPr>
            </w:pPr>
            <w:r>
              <w:rPr>
                <w:rFonts w:ascii="微软雅黑" w:hAnsi="微软雅黑" w:eastAsia="微软雅黑" w:cs="微软雅黑"/>
                <w:sz w:val="20"/>
              </w:rPr>
              <w:t>Task C: 本地部署</w:t>
            </w:r>
          </w:p>
        </w:tc>
        <w:tc>
          <w:tcPr>
            <w:tcW w:w="0" w:type="auto"/>
            <w:tcBorders>
              <w:top w:val="nil"/>
              <w:left w:val="nil"/>
              <w:bottom w:val="nil"/>
              <w:right w:val="nil"/>
            </w:tcBorders>
            <w:noWrap w:val="0"/>
            <w:tcMar>
              <w:top w:w="-1" w:type="dxa"/>
              <w:left w:w="-1" w:type="dxa"/>
              <w:bottom w:w="-1" w:type="dxa"/>
              <w:right w:w="-1" w:type="dxa"/>
            </w:tcMar>
            <w:vAlign w:val="center"/>
          </w:tcPr>
          <w:p w14:paraId="2AF393F2">
            <w:pPr>
              <w:spacing w:after="0" w:line="240" w:lineRule="auto"/>
              <w:jc w:val="center"/>
              <w:rPr>
                <w:rFonts w:ascii="微软雅黑" w:eastAsia="微软雅黑"/>
                <w:sz w:val="20"/>
              </w:rPr>
            </w:pPr>
            <w:r>
              <w:rPr>
                <w:rFonts w:ascii="微软雅黑" w:hAnsi="微软雅黑" w:eastAsia="微软雅黑" w:cs="微软雅黑"/>
                <w:sz w:val="20"/>
              </w:rPr>
              <w:t>已完成</w:t>
            </w:r>
          </w:p>
        </w:tc>
        <w:tc>
          <w:tcPr>
            <w:tcW w:w="0" w:type="auto"/>
            <w:tcBorders>
              <w:top w:val="nil"/>
              <w:left w:val="nil"/>
              <w:bottom w:val="nil"/>
              <w:right w:val="nil"/>
            </w:tcBorders>
            <w:noWrap w:val="0"/>
            <w:tcMar>
              <w:top w:w="-1" w:type="dxa"/>
              <w:left w:w="-1" w:type="dxa"/>
              <w:bottom w:w="-1" w:type="dxa"/>
              <w:right w:w="-1" w:type="dxa"/>
            </w:tcMar>
            <w:vAlign w:val="center"/>
          </w:tcPr>
          <w:p w14:paraId="3E31A53B">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Flask + Qwen2.5-7B 部署 + 性能对比 + 3张图表</w:t>
            </w:r>
          </w:p>
        </w:tc>
      </w:tr>
      <w:tr w14:paraId="050FBE03">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A77F022">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Task D: Web 应用</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7B638DB4">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已完成</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B952BC0">
            <w:pPr>
              <w:spacing w:after="0" w:line="240" w:lineRule="auto"/>
              <w:jc w:val="center"/>
              <w:rPr>
                <w:rFonts w:ascii="微软雅黑" w:hAnsi="微软雅黑" w:eastAsia="微软雅黑" w:cs="微软雅黑"/>
                <w:sz w:val="20"/>
              </w:rPr>
            </w:pPr>
            <w:r>
              <w:rPr>
                <w:rFonts w:ascii="微软雅黑" w:hAnsi="微软雅黑" w:eastAsia="微软雅黑" w:cs="微软雅黑"/>
                <w:sz w:val="20"/>
              </w:rPr>
              <w:t>Streamlit 农业 AI 助手（含功能截图）</w:t>
            </w:r>
          </w:p>
        </w:tc>
      </w:tr>
    </w:tbl>
    <w:p w14:paraId="7B98B6EB">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7.2 关键技术栈</w:t>
      </w:r>
    </w:p>
    <w:p w14:paraId="207E79D4">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1.LLMAPI:agicto(兼容OpenAISDK)</w:t>
      </w:r>
    </w:p>
    <w:p w14:paraId="6B21AA24">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2.向量模型:BAAI/bge-small-zh-v1.5(512维)</w:t>
      </w:r>
    </w:p>
    <w:p w14:paraId="6052A301">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3.向量数据库:ChromaDB(持久化存储)</w:t>
      </w:r>
    </w:p>
    <w:p w14:paraId="7D299CF9">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4.本地推理:Flask+HuggingFaceTransformers+PyTorch2.6.0</w:t>
      </w:r>
    </w:p>
    <w:p w14:paraId="106984B5">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5.可视化:Matplotlib(NPGNaturePublishingGroup顶刊配色)</w:t>
      </w:r>
    </w:p>
    <w:p w14:paraId="65C53067">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outlineLvl w:val="9"/>
        <w:rPr>
          <w:rFonts w:hint="eastAsia" w:ascii="微软雅黑" w:hAnsi="微软雅黑" w:eastAsia="微软雅黑" w:cs="微软雅黑"/>
          <w:sz w:val="22"/>
          <w:lang w:val="en-US" w:eastAsia="zh-CN"/>
        </w:rPr>
      </w:pPr>
      <w:r>
        <w:rPr>
          <w:rFonts w:hint="eastAsia" w:ascii="微软雅黑" w:hAnsi="微软雅黑" w:eastAsia="微软雅黑" w:cs="微软雅黑"/>
          <w:sz w:val="22"/>
          <w:lang w:val="en-US" w:eastAsia="zh-CN"/>
        </w:rPr>
        <w:t>6.Web框架:Streamlit</w:t>
      </w:r>
    </w:p>
    <w:p w14:paraId="49FBDE8F">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eastAsia" w:ascii="微软雅黑" w:hAnsi="微软雅黑" w:eastAsia="微软雅黑" w:cs="微软雅黑"/>
          <w:b/>
          <w:color w:val="3C5488"/>
          <w:sz w:val="32"/>
          <w:lang w:val="en-US" w:eastAsia="zh-CN"/>
        </w:rPr>
      </w:pPr>
      <w:r>
        <w:rPr>
          <w:rFonts w:hint="eastAsia" w:ascii="微软雅黑" w:hAnsi="微软雅黑" w:eastAsia="微软雅黑" w:cs="微软雅黑"/>
          <w:b/>
          <w:color w:val="3C5488"/>
          <w:sz w:val="32"/>
          <w:lang w:val="en-US" w:eastAsia="zh-CN"/>
        </w:rPr>
        <w:t>八、思考题回答</w:t>
      </w:r>
    </w:p>
    <w:p w14:paraId="3A4C0483">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8.1 TaskA思考题</w:t>
      </w:r>
    </w:p>
    <w:p w14:paraId="6E181D91">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1.为什么角色设定能显著提升LLM的回答质量？</w:t>
      </w:r>
    </w:p>
    <w:p w14:paraId="0A637B13">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角色设定（RolePrompting）能够显著提升LLM回答质量，原因包括以下几个方面：</w:t>
      </w:r>
    </w:p>
    <w:p w14:paraId="5E515824">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激活领域知识模式。LLM在预训练阶段学习了海量文本，其中包含了不同身份、不同专业背景的表达方式。当给定"农业植保专家"这一角色时，模型会激活训练数据中与该角色相关的词汇、知识结构和表达风格，使输出更贴合专业场景。这种机制可以理解为一种"条件生成"——角色设定作为条件信号，约束了模型在特定知识子空间中进行采样。</w:t>
      </w:r>
    </w:p>
    <w:p w14:paraId="3806AF2E">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缩小输出空间。通用LLM在面对开放问题时，可能的输出空间非常大，容易产生泛泛而谈的回答。角色设定相当于给模型划定了一个"专业边界"，缩小了输出的可能性空间，让模型聚焦于与角色相关的知识和表达方式。</w:t>
      </w:r>
    </w:p>
    <w:p w14:paraId="5A44DF54">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提升回答的结构性和可操作性。角色设定往往隐含了该角色的沟通习惯和思维方式。例如，农业专家在面对病害咨询时，自然会按照"症状识别→病因分析→防治方案"的逻辑来组织回答，而非简单地罗列知识点。这种隐含的结构性指导使回答更加实用。</w:t>
      </w:r>
    </w:p>
    <w:p w14:paraId="6EC0FEFE">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（4）增强可信度。角色设定还可以影响回答的语气和措辞，让回答听起来更专业、更有说服力。对于需要实操指导的农业场景，这种可信度尤为重要。</w:t>
      </w:r>
    </w:p>
    <w:p w14:paraId="4025C252">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本实验中，角色设定（策略2）将质量评分从基础Prompt的3/10提升到7/10，验证了这一结论。</w:t>
      </w:r>
    </w:p>
    <w:p w14:paraId="739C8570">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2.Few-shotlearning中，示例的数量和质量哪个更重要？</w:t>
      </w:r>
    </w:p>
    <w:p w14:paraId="4E8C2554">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在Few-shotlearning中，示例的质量比数量更重要，但两者存在一个最优平衡点。</w:t>
      </w:r>
    </w:p>
    <w:p w14:paraId="25D1F598">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质量优先的理由：LLM对示例的模式非常敏感。高质量的示例能够精准地展示输入-输出的映射关系、推理步骤和输出格式，模型可以从中快速"学会"期望的行为模式。一个精心设计的示例比三个粗糙的示例更有价值。低质量的示例（如推理逻辑混乱、格式不一致、信息不准确）会误导模型，甚至降低回答质量。在本实验中，仅使用2个高质量的诊断示例（策略3），就获得了最高评分9/10。</w:t>
      </w:r>
    </w:p>
    <w:p w14:paraId="70C43112">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数量的作用：当任务模式较为复杂或多变时，增加示例数量可以帮助模型更好地理解任务的边界和多样性。但示例数量存在边际收益递减规律——从0到2-3个示例的收益最大，超过5个后收益急剧下降。过多的示例（尤其对较短的上下文窗口）会占用宝贵的token空间，反而压缩了输出空间。</w:t>
      </w:r>
    </w:p>
    <w:p w14:paraId="00C0F3B7">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（3）实际建议：优先保证示例质量（准确性、代表性、格式一致性），在此基础上提供2-4个覆盖不同情况的示例。对于农业诊断场景，应选择典型、特征明确、推理链清晰的案例作为示例。</w:t>
      </w:r>
    </w:p>
    <w:p w14:paraId="6AC97081">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3.在农业场景下，结构化输出为什么特别重要？</w:t>
      </w:r>
    </w:p>
    <w:p w14:paraId="3307AC0F">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农业场景下结构化输出特别重要，原因如下：</w:t>
      </w:r>
    </w:p>
    <w:p w14:paraId="5B82922E">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实操性强。农业技术指导（如病害防治）通常包含多个相互关联但逻辑不同的部分——症状识别、病因分析、农业防治、化学防治、安全间隔期等。结构化输出能将这些信息分类呈现，便于农民或技术人员快速定位所需内容。例如，一个农民可能更关心"用什么药"和"打多少"，而非病原菌的学名。</w:t>
      </w:r>
    </w:p>
    <w:p w14:paraId="3EE088E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减少误用风险。农业用药涉及浓度、安全间隔期等关键安全参数。如果这些信息混杂在冗长的段落中，用户可能忽略或记错，导致农药残留超标或药害。结构化输出（如表格形式列出药剂、浓度、间隔期）能显著降低此类风险。</w:t>
      </w:r>
    </w:p>
    <w:p w14:paraId="7C7C2ED7">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（3）便于标准化推广。农业技术推广需要标准化的信息传递格式。结构化输出便于制作技术手册、培训材料和数字化的农业知识库，实现知识的标准化管理和传播。</w:t>
      </w:r>
    </w:p>
    <w:p w14:paraId="5564AF54">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（4）提升用户信任。结构清晰、信息完整的回答给用户以"专业可靠"的印象，增强用户对AI系统的信任度。</w:t>
      </w:r>
    </w:p>
    <w:p w14:paraId="58AC5C21">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本实验中，策略2（角色设定+结构化）相比策略1（基础Prompt）评分从3/10跃升至7/10，结构化要求在其中的贡献不可忽视。</w:t>
      </w:r>
    </w:p>
    <w:p w14:paraId="503BD60E">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8.2 TaskB思考题</w:t>
      </w:r>
    </w:p>
    <w:p w14:paraId="43EEBD7F">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1.RAG系统为什么能减少LLM的"幻觉"问题？</w:t>
      </w:r>
    </w:p>
    <w:p w14:paraId="46BCE76D">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RAG（检索增强生成）能有效减少LLM幻觉，其核心机制在于将生成范式从"自由回忆"转变为"阅读理解"：</w:t>
      </w:r>
    </w:p>
    <w:p w14:paraId="07B00368">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（1）锚定效应。RAG将检索到的真实文档片段作为LLM生成的"锚点"。模型不再是凭训练记忆凭空生成内容，而是基于给定的参考资料进行"受约束的生成"。这大大降低了模型编造不存在信息的概率。</w:t>
      </w:r>
    </w:p>
    <w:p w14:paraId="446807FA">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认知负荷转移。在没有RAG的情况下，LLM需要同时完成"回忆知识"和"组织语言"两个任务。训练数据中农业领域的细节（如特定农药的浓度、安全间隔期）可能记忆不准确或被遗忘。RAG将"知识供给"外包给检索系统，让LLM专注于"语言组织"，从而减少因记忆不准产生的幻觉。</w:t>
      </w:r>
    </w:p>
    <w:p w14:paraId="74CE2CD4">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可验证性。RAG的每个回答都可以追溯到具体的参考文档片段。如果回答有误，可以定位到是检索阶段（检索到了不相关的内容）还是生成阶段（LLM误解了检索内容）出了问题。而无RAG的回答无法验证其出处。</w:t>
      </w:r>
    </w:p>
    <w:p w14:paraId="235ABE35">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（4）温度参数的配合。在RAG场景中，可以将temperature设得更低（如0.3），因为创意性不再重要，准确性才是关键。低温度进一步减少了模型的随机采样，降低了幻觉产生的概率。</w:t>
      </w:r>
    </w:p>
    <w:p w14:paraId="1D04D798">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本实验中，无RAG的回答较为笼统（如"使用杀菌剂"），而有RAG的回答给出了具体的药品名称、浓度和安全间隔期，这些具体信息直接来源于知识库文档。</w:t>
      </w:r>
    </w:p>
    <w:p w14:paraId="1AC75430">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2.文本分块的大小（chunk_size）对检索效果有什么影响？太大或太小会怎样？</w:t>
      </w:r>
    </w:p>
    <w:p w14:paraId="6B543912">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文本分块大小是RAG系统中关键的超参数，直接影响检索质量和生成效果：</w:t>
      </w:r>
    </w:p>
    <w:p w14:paraId="62079324">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chunk_size过小（如&lt;200字）：优点是检索精度高，能精准匹配到特定细节（如某个农药的浓度值）。缺点是语义信息不完整，一个完整的知识点（如"早疫病的完整防治方案"）可能被切分到多个块中，导致检索到的上下文碎片化，LLM无法获得完整信息来生成连贯的回答。极端情况下，每个句子一个chunk，检索变成了关键词匹配而非语义匹配。</w:t>
      </w:r>
    </w:p>
    <w:p w14:paraId="7DC11F4D">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chunk_size过大（如&gt;2000字）：优点是包含完整上下文，LLM可以看到一个主题的全貌。缺点是检索精度下降，chunk中可能包含大量与查询无关的内容（噪音），稀释了关键信息的密度。同时，向量嵌入对长文本的语义表示能力也会下降——长文本的向量是全文语义的"平均"，特定细节可能被淹没。</w:t>
      </w:r>
    </w:p>
    <w:p w14:paraId="7E60CF55">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最优策略：中等大小（300-800字）+适当重叠（10-20%）是大多数场景的最佳实践。本实验采用500字/块+50字重叠的配置，在语义完整性和检索精度之间取得了较好的平衡。对于包含表格（如农药浓度表）的结构化内容，应考虑按表格的语义单元（如一个完整的表格行组）进行分块。</w:t>
      </w:r>
    </w:p>
    <w:p w14:paraId="0A2C2EA5">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（4）进阶思路："多粒度检索"——同时维护不同chunk_size的索引，先用小块检索精确信息，再用大块补充上下文，最后合并给LLM。</w:t>
      </w:r>
    </w:p>
    <w:p w14:paraId="449E0107">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3.如果知识库中没有相关内容，系统应该如何处理？</w:t>
      </w:r>
    </w:p>
    <w:p w14:paraId="7A92E74B">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这是一个非常重要的工程问题。RAG系统必须优雅地处理知识库覆盖不足的情况，否则LLM可能会基于不相关的检索结果强行"编造"答案，反而比不使用RAG更差。推荐以下多层级的处理策略：</w:t>
      </w:r>
    </w:p>
    <w:p w14:paraId="603FD3A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（1）检索质量阈值过滤。为检索结果设置一个相关度阈值（如cosinesimilarity&gt;0.6或distance&lt;0.4）。如果Top-K结果的相关度都低于阈值，说明知识库中没有相关内容，此时应触发"知识不足"分支。</w:t>
      </w:r>
    </w:p>
    <w:p w14:paraId="47DFF94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（2）诚实告知+降级回答。当知识库覆盖不足时，系统应明确告知用户"抱歉，当前知识库中没有关于该问题的直接资料"，同时可以选择性地提供通用建议（但需标注"以下信息未经验证"）。</w:t>
      </w:r>
    </w:p>
    <w:p w14:paraId="4F85459A">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（3）降级为直接LLM回答（谨慎使用）。作为备选方案，可以在无相关检索结果时回退到直接LLM回答，但必须明确标注"以下回答未基于知识库，仅供参考"。</w:t>
      </w:r>
    </w:p>
    <w:p w14:paraId="4BC5B08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（4）记录未命中查询。将知识库未能覆盖的查询记录下来，作为后续扩充知识库的依据。这是RAG系统持续改进的重要数据来源。</w:t>
      </w:r>
    </w:p>
    <w:p w14:paraId="7A24BA57">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5）本实验中的处理。系统Prompt中明确要求"如果参考资料不足以回答问题，请如实告知"，从生成侧约束LLM不要强行编造。这是最简单但有效的兜底策略。最佳实践是结合检索侧（阈值过滤）和生成侧（Prompt约束）的双重保障。</w:t>
      </w:r>
    </w:p>
    <w:p w14:paraId="19EA3CAB">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4.中文向量模型和英文模型有什么区别？为什么要用专门的中文模型？</w:t>
      </w:r>
    </w:p>
    <w:p w14:paraId="289AE2D5">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中文向量模型和英文模型在多个层面存在显著差异，使用专门的中文模型对于中文RAG系统至关重要：</w:t>
      </w:r>
    </w:p>
    <w:p w14:paraId="7AF665D6">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分词粒度不同。英文以空格分词，单词是自然的语义单元。英文模型的tokenizer基于BPE（BytePairEncoding），对英文单词的切分较为自然。中文没有天然的分词边界，同一个句子可以有多种切分方式（如"农业知识库"可切为"农业/知识库"或"农/业/知识/库"）。中文模型（如BGE-small-zh）的tokenizer专门针对中文语料训练，能更合理地处理中文分词。</w:t>
      </w:r>
    </w:p>
    <w:p w14:paraId="0E1DC978">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语义表示能力不同。通用多语言模型（如multilingual-e5）虽然支持中文，但在中文语义理解上的精度通常不如专门的中文模型。因为多语言模型的训练数据需要在多种语言之间分配，中文数据的比例和深度有限。专门的中文模型（如BAAI/bge-small-zh-v1.5）在海量中文语料上训练，对中文特有的表达方式、成语、专业术语有更好的理解。</w:t>
      </w:r>
    </w:p>
    <w:p w14:paraId="40D837F6">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向量维度与效率。英文/多语言模型通常维度较高（如768或1024维），计算和存储开销更大。中文模型可以在较低维度（如512维）下保持良好的语义区分能力，更高效。本实验使用的bge-small-zh-v1.5仅512维，在农业知识库上检索相关度达到0.70-0.80，效果良好。</w:t>
      </w:r>
    </w:p>
    <w:p w14:paraId="3A8E2311">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农业领域的特殊性。农业中文文本含有大量专业术语（如"代森锰锌""烯酰吗啉""同心轮纹"等），这些术语在英文或多语言模型中可能被错误切分或无法准确理解其语义关联。专门的中文模型能更好地处理这些专业表达。</w:t>
      </w:r>
    </w:p>
    <w:p w14:paraId="38D4E05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综上，对于中文RAG系统，使用专门的中文向量模型在检索精度、计算效率和领域适应方面都优于通用多语言模型。</w:t>
      </w:r>
    </w:p>
    <w:p w14:paraId="2C0F3DA8">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outlineLvl w:val="1"/>
        <w:rPr>
          <w:rFonts w:hint="eastAsia" w:ascii="微软雅黑" w:hAnsi="微软雅黑" w:eastAsia="微软雅黑" w:cs="微软雅黑"/>
          <w:b/>
          <w:color w:val="3C5488"/>
          <w:sz w:val="28"/>
          <w:lang w:val="en-US" w:eastAsia="zh-CN"/>
        </w:rPr>
      </w:pPr>
      <w:r>
        <w:rPr>
          <w:rFonts w:hint="eastAsia" w:ascii="微软雅黑" w:hAnsi="微软雅黑" w:eastAsia="微软雅黑" w:cs="微软雅黑"/>
          <w:b/>
          <w:color w:val="3C5488"/>
          <w:sz w:val="28"/>
          <w:lang w:val="en-US" w:eastAsia="zh-CN"/>
        </w:rPr>
        <w:t>8.3 TaskC思考题</w:t>
      </w:r>
    </w:p>
    <w:p w14:paraId="47CB2AEB">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1.vLLM相比直接用HuggingFaceTransformers推理有什么优势？</w:t>
      </w:r>
    </w:p>
    <w:p w14:paraId="301533B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vLLM是专为高性能LLM推理设计的框架，相比直接使用HuggingFaceTransformers有以下核心优势：</w:t>
      </w:r>
    </w:p>
    <w:p w14:paraId="2418AC50">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PagedAttention技术。这是vLLM最核心的创新。传统HuggingFace推理中，KVCache的显存管理采用连续分配方式，会产生大量显存碎片（类似操作系统中的内存碎片问题），实际显存利用率仅20-40%。PagedAttention借鉴操作系统的虚拟内存分页机制，将KVCache切分为固定大小的"页"，按需分配和回收，显存利用率可提升至接近100%，几乎消除浪费。</w:t>
      </w:r>
    </w:p>
    <w:p w14:paraId="72428A71">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连续批处理（ContinuousBatching）。传统推理每次处理一个请求，新请求需要等当前批次完成。vLLM支持在生成过程中动态插入新请求，当一个序列生成结束后立即释放资源并接收新请求，大幅提升并发吞吐量。官方数据显示吞吐量可达HuggingFace的24倍。</w:t>
      </w:r>
    </w:p>
    <w:p w14:paraId="46DCC8D8">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（3）高效的内核实现。vLLM使用CUDA级别的优化内核（如FlashAttention），在GPU计算层面减少显存读写，进一步加速推理。这些优化对普通用户是透明的，无需手动配置。</w:t>
      </w:r>
    </w:p>
    <w:p w14:paraId="489D422C">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（4）OpenAI兼容API。vLLM原生提供与OpenAIAPI兼容的HTTP服务接口（/v1/chat/completions），部署后可直接用OpenAISDK调用，降低了系统集成成本。</w:t>
      </w:r>
    </w:p>
    <w:p w14:paraId="2A8D0E2F">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（5）生产级特性。支持量化（AWQ、GPTQ）、多GPU张量并行、前缀缓存（PrefixCaching）等生产环境必需的功能。</w:t>
      </w:r>
    </w:p>
    <w:p w14:paraId="6184855D">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注：本实验中，受限于V100S的CUDA兼容性问题（vLLM0.21.0+对较老架构支持有限），最终使用了Flask+HuggingFaceTransformers的方式部署。但在较新的GPU（如A100、H100）上，vLLM是更优选择。</w:t>
      </w:r>
    </w:p>
    <w:p w14:paraId="20883AAA">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2.如果显存不够，有哪些方法可以降低显存占用？</w:t>
      </w:r>
    </w:p>
    <w:p w14:paraId="4158799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显存不足是本地部署LLM时最常见的问题。以下是降低显存占用的主要方法，按效果从大到小排列：</w:t>
      </w:r>
    </w:p>
    <w:p w14:paraId="41F0CBFF">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1）模型量化（Quantization）。INT8量化将模型参数从FP16（每个参数2字节）压缩到INT8（每个参数1字节），显存需求减半，精度损失通常&lt;1%。INT4量化（GPTQ/AWQ）将参数压缩到4位（每个参数0.5字节），显存需求降至FP16的1/4。例如Qwen2.5-7B从约14GB降至约4-5GB，精度损失约2-5%，但在多数应用场景下仍可接受。GGUF格式（llama.cpp）专为CPU/边缘设备设计，支持2-8位量化。</w:t>
      </w:r>
    </w:p>
    <w:p w14:paraId="31869E7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2）选择更小的模型。7B→3B→1.5B参数量的阶梯式降级。虽然能力会下降，但在特定垂直领域（如农业），通过微调可以弥补参数量的不足。例如Qwen2.5-1.5B-Instruct仅需约3GB显存（FP16），在简单问答场景下仍有不错表现。</w:t>
      </w:r>
    </w:p>
    <w:p w14:paraId="3207BEEA">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（3）减少上下文长度（max-model-len）。KVCache的显存占用与序列长度成正比。将max-model-len从8192降至4096或2048，可以节省数GB显存。</w:t>
      </w:r>
    </w:p>
    <w:p w14:paraId="29E05675">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（4）降低批处理大小（batchsize）。同时处理的请求数越少，KVCache占用越小。在低并发场景下可以显著节省显存。</w:t>
      </w:r>
    </w:p>
    <w:p w14:paraId="49BB4A63">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（5）使用FlashAttention。将注意力计算从O(n²)显存降为O(n)，对大上下文场景节省明显。vLLM和较新版本的Transformers已默认启用。</w:t>
      </w:r>
    </w:p>
    <w:p w14:paraId="452D726B">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（6）CPUOffloading。将部分层或KVCache卸载到CPU内存，牺牲速度换取更大的可用空间。</w:t>
      </w:r>
    </w:p>
    <w:p w14:paraId="64D9FAF8">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本实验中，Qwen2.5-7B(FP16)占用约15GB，在32GB的V100S上运行绰绰有余。如果使用24GB的RTX3090，FP16模式也可正常运行（剩余约9GB给KVCache）。</w:t>
      </w:r>
    </w:p>
    <w:p w14:paraId="391023BC">
      <w:pPr>
        <w:keepNext w:val="0"/>
        <w:keepLines w:val="0"/>
        <w:pageBreakBefore w:val="0"/>
        <w:widowControl/>
        <w:kinsoku/>
        <w:wordWrap/>
        <w:overflowPunct/>
        <w:topLinePunct w:val="0"/>
        <w:autoSpaceDE/>
        <w:autoSpaceDN/>
        <w:bidi w:val="0"/>
        <w:adjustRightInd/>
        <w:snapToGrid/>
        <w:spacing w:after="0" w:line="240" w:lineRule="auto"/>
        <w:ind w:left="0" w:firstLine="480" w:firstLineChars="200"/>
        <w:textAlignment w:val="auto"/>
      </w:pPr>
      <w:r>
        <w:rPr>
          <w:rFonts w:ascii="微软雅黑" w:hAnsi="微软雅黑" w:eastAsia="微软雅黑" w:cs="微软雅黑"/>
          <w:b/>
          <w:color w:val="3C5488"/>
          <w:sz w:val="24"/>
        </w:rPr>
        <w:t>3.本地部署和云端API各有什么优劣？在实际项目中如何选择？</w:t>
      </w:r>
    </w:p>
    <w:p w14:paraId="37DCE581">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本地部署和云端API各有优劣势，选择需要综合考虑多个维度。</w:t>
      </w:r>
    </w:p>
    <w:p w14:paraId="3E95847E">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一、云端API的优势与劣势：</w:t>
      </w:r>
    </w:p>
    <w:p w14:paraId="2FFC3388">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优势：（1）零运维成本，无需购买和维护GPU硬件，无需处理驱动、CUDA版本兼容等问题。（2）弹性伸缩，按需付费，可根据流量自动扩缩容，适合流量波动大的场景。（3）高性能，云厂商的GPU集群（A100/H100）通常比个人/小团队能获得的硬件更强大。本实验中云端gpt-4o-mini的响应速度（5.98s）是本地V100S（20.11s）的3.4倍。（4）快速迭代，无需等待模型下载和部署，API调用即可开始开发。</w:t>
      </w:r>
    </w:p>
    <w:p w14:paraId="522CB103">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劣势：（1）数据隐私风险，敏感数据（如农业企业的核心种植数据）需要发送到云端，存在合规和隐私隐患。（2）长期成本高，高频调用场景下，API费用可能远超购买GPU的一次性成本。（3）可控性差，无法自定义模型行为、无法微调、受限于API提供商的速率限制和服务可用性。（4）网络依赖，离线或网络不稳定的农业场景（如田间地头）无法使用。</w:t>
      </w:r>
    </w:p>
    <w:p w14:paraId="482EC5EF">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二、本地部署的优势与劣势：</w:t>
      </w:r>
    </w:p>
    <w:p w14:paraId="182CD8F1">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优势：（1）数据安全，全部数据留在本地服务器，适合处理敏感农业数据或企业机密。（2）无调用成本，高频调用场景下边际成本接近零，适合大规模农业知识服务。（3）完全可控，可自由选择模型、微调、量化策略，可根据农业领域定制优化。（4）离线可用，不依赖网络连接，适合偏远地区的农业应用场景。</w:t>
      </w:r>
    </w:p>
    <w:p w14:paraId="665D3A99">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劣势：（1）硬件投入高，GPU服务器一次性投入大（V100S约3-5万元，A100约8-15万元）。（2）运维维护，需要维护硬件、更新驱动、监控服务状态。（3）性能受限，个人/小团队通常只能获得1-2块GPU，并发能力和推理速度有限。本实验中本地V100S的字符生成速度（40.6chars/s）仅为云端（110.2chars/s）的37%。</w:t>
      </w:r>
    </w:p>
    <w:p w14:paraId="0DA10982">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三、实际项目选择建议：</w:t>
      </w:r>
    </w:p>
    <w:p w14:paraId="1AD32472">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原型验证/低频调用→云端API（快速启动、成本低）</w:t>
      </w:r>
    </w:p>
    <w:p w14:paraId="354DC59F">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数据敏感的农业企业→本地部署（数据不出门）</w:t>
      </w:r>
    </w:p>
    <w:p w14:paraId="3B0F911C">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高并发/大规模服务→需权衡：云端弹性+便捷vs本地低成本+可控</w:t>
      </w:r>
    </w:p>
    <w:p w14:paraId="2971CD85">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推荐混合架构：日常使用云端API，核心敏感数据用本地模型处理，两者通过统一接口调用</w:t>
      </w:r>
    </w:p>
    <w:p w14:paraId="561DC864">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离线/边缘场景（如田间诊断）→本地部署轻量化模型（INT4量化+小参数模型）</w:t>
      </w:r>
    </w:p>
    <w:p w14:paraId="6037EA4C">
      <w:pPr>
        <w:keepNext w:val="0"/>
        <w:keepLines w:val="0"/>
        <w:pageBreakBefore w:val="0"/>
        <w:widowControl/>
        <w:kinsoku/>
        <w:wordWrap/>
        <w:overflowPunct/>
        <w:topLinePunct w:val="0"/>
        <w:autoSpaceDE/>
        <w:autoSpaceDN/>
        <w:bidi w:val="0"/>
        <w:adjustRightInd/>
        <w:snapToGrid/>
        <w:spacing w:after="0" w:line="240" w:lineRule="auto"/>
        <w:ind w:left="0" w:firstLine="440" w:firstLineChars="200"/>
        <w:textAlignment w:val="auto"/>
      </w:pPr>
      <w:r>
        <w:rPr>
          <w:rFonts w:ascii="微软雅黑" w:hAnsi="微软雅黑" w:eastAsia="微软雅黑" w:cs="微软雅黑"/>
          <w:sz w:val="22"/>
        </w:rPr>
        <w:t>本实验展示了两种方案的完整实现：云端agictoAPI(TaskA/B/D)和本地Flask+Qwen2.5-7B(TaskC)，为实际项目中的架构选择提供了参考依据。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8E598B"/>
    <w:rsid w:val="183666D6"/>
    <w:rsid w:val="1C8C02F2"/>
    <w:rsid w:val="34563267"/>
    <w:rsid w:val="3ACC3003"/>
    <w:rsid w:val="3CD56791"/>
    <w:rsid w:val="3D930B56"/>
    <w:rsid w:val="4B571947"/>
    <w:rsid w:val="51E7154B"/>
    <w:rsid w:val="543A26B7"/>
    <w:rsid w:val="5D79399F"/>
    <w:rsid w:val="627110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1752</Words>
  <Characters>2859</Characters>
  <Lines>0</Lines>
  <Paragraphs>0</Paragraphs>
  <TotalTime>4</TotalTime>
  <ScaleCrop>false</ScaleCrop>
  <LinksUpToDate>false</LinksUpToDate>
  <CharactersWithSpaces>3126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WPS_1386374294</cp:lastModifiedBy>
  <dcterms:modified xsi:type="dcterms:W3CDTF">2026-05-20T12:18:16Z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eyJoZGlkIjoiOTk3ODZkZjRjZjk3NzQ3MTA4ODFkMGUxYWNmODBhZTIiLCJ1c2VySWQiOiIxMzg2Mzc0Mjk0In0=</vt:lpwstr>
  </property>
  <property fmtid="{D5CDD505-2E9C-101B-9397-08002B2CF9AE}" pid="3" name="KSOProductBuildVer">
    <vt:lpwstr>2052-12.1.0.26375</vt:lpwstr>
  </property>
  <property fmtid="{D5CDD505-2E9C-101B-9397-08002B2CF9AE}" pid="4" name="ICV">
    <vt:lpwstr>BB6A8B456C2A47B682FA28B6A054533D_12</vt:lpwstr>
  </property>
</Properties>
</file>