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Annealing of oligonucleotides [Ref: 1]:</w:t>
      </w:r>
    </w:p>
    <w:p w:rsidR="00000000" w:rsidDel="00000000" w:rsidP="00000000" w:rsidRDefault="00000000" w:rsidRPr="00000000" w14:paraId="00000002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the required volume of 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to the lyophilized oligonucleotides to obtain a concentration of 100µM. Vortex both tubes for 30 s and incubate them at RT for 5 min to dissolve them.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 the annealing mix by adding 45’5µl of 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O, 2’5µl of 1 M NaCl, 1µl of oligo Forward (100µM) and 1µl of the oligo Reverse (100µM) into a PCR tube.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 the PCR tube with the mix in a thermocycler with the following annealing programme: 5 min at 95°C; then, 1 min at 95°C and ramp down 1°C per cycle for 72 cycles and end by keeping the temperature at 10°C.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10µl of the annealed F:R oligonucleotides and dilute it with 90µl of 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to obtain a 0’2µM concentration. The annealed oligonucleotides stocks can be stored at -20°C for future use.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u w:val="single"/>
          <w:rtl w:val="0"/>
        </w:rPr>
        <w:t xml:space="preserve">Ligation of annealing product:</w:t>
      </w:r>
    </w:p>
    <w:p w:rsidR="00000000" w:rsidDel="00000000" w:rsidP="00000000" w:rsidRDefault="00000000" w:rsidRPr="00000000" w14:paraId="0000000D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1µl Plasmid (pSEVA182 digested with </w:t>
      </w:r>
      <w:r w:rsidDel="00000000" w:rsidR="00000000" w:rsidRPr="00000000">
        <w:rPr>
          <w:i w:val="1"/>
          <w:rtl w:val="0"/>
        </w:rPr>
        <w:t xml:space="preserve">SmaI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11µl annealing product (diluted)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1’5µl T4 Ligase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1’5µl Buffer Ligase 10X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[1]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Aparicio, T., de Lorenzo, V., &amp; Martínez‐García, E. CRISPR/Cas9‐enhanced ss DNA recombineering for Pseudomonas putida.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Microbial Biotechnology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C45383"/>
    <w:pPr>
      <w:ind w:left="720"/>
      <w:contextualSpacing w:val="1"/>
    </w:pPr>
  </w:style>
  <w:style w:type="character" w:styleId="Textodelmarcadordeposicin">
    <w:name w:val="Placeholder Text"/>
    <w:basedOn w:val="Fuentedeprrafopredeter"/>
    <w:uiPriority w:val="99"/>
    <w:semiHidden w:val="1"/>
    <w:rsid w:val="0048729C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RH0Fx14YjE0TjQYMx1nABCFQ/w==">AMUW2mUfshRTf9Gb9aBTKqg/6kNDNgjZaa+JODrsrhlUMnFT/DVGVWXg7uR1HdZydUSgKLdK6DS/WPnMa28XOc2/OZbbRYV8ap88I5vSCzywDEh5E39Vwhfx2j7UnWYqcdgCdi0KOCNj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2019-07-22T13:36:00Z</dcterms:created>
  <dc:creator>Lucía</dc:creator>
</cp:coreProperties>
</file>