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ACBCA">
      <w:pPr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高频经济指标参考说明</w:t>
      </w:r>
    </w:p>
    <w:bookmarkEnd w:id="0"/>
    <w:p w14:paraId="03D9A0F7">
      <w:pPr>
        <w:jc w:val="both"/>
        <w:rPr>
          <w:rFonts w:ascii="宋体" w:hAnsi="宋体" w:eastAsia="宋体" w:cs="宋体"/>
          <w:sz w:val="24"/>
          <w:szCs w:val="24"/>
        </w:rPr>
      </w:pPr>
    </w:p>
    <w:p w14:paraId="0321DDB6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. 信用利差：信用债与同期限国债收益率差，衡量信用风险溢价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基础构建方式如：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做多企业债，做空国债指数。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. 期限利差：分别指中短期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相对</w:t>
      </w:r>
      <w:r>
        <w:rPr>
          <w:rFonts w:ascii="宋体" w:hAnsi="宋体" w:eastAsia="宋体" w:cs="宋体"/>
          <w:sz w:val="24"/>
          <w:szCs w:val="24"/>
        </w:rPr>
        <w:t>长期债收益差，反映利率期限结构与政策预期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. 美元指数：美元对一篮子货币的汇率加权平均，体现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美元对非美主要国家货币的强弱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.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利率水平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利率水平与</w:t>
      </w:r>
      <w:r>
        <w:rPr>
          <w:rFonts w:ascii="宋体" w:hAnsi="宋体" w:eastAsia="宋体" w:cs="宋体"/>
          <w:sz w:val="24"/>
          <w:szCs w:val="24"/>
        </w:rPr>
        <w:t>国债市场整体价格/收益走势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. 经济增长5构成：刻画经济增长核心维度，覆盖生产、投资、景气度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. 消费端通胀：反映居民消费商品服务价格涨幅；生产端通胀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反映工业原材料和产出品价格水平</w:t>
      </w:r>
    </w:p>
    <w:p w14:paraId="41409A80">
      <w:pPr>
        <w:jc w:val="both"/>
        <w:rPr>
          <w:rFonts w:hint="eastAsia" w:ascii="宋体" w:hAnsi="宋体" w:eastAsia="宋体" w:cs="宋体"/>
        </w:rPr>
      </w:pP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4"/>
          <w:szCs w:val="24"/>
        </w:rPr>
        <w:t>.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资本市场流动性</w:t>
      </w:r>
      <w:r>
        <w:rPr>
          <w:rFonts w:ascii="宋体" w:hAnsi="宋体" w:eastAsia="宋体" w:cs="宋体"/>
          <w:sz w:val="24"/>
          <w:szCs w:val="24"/>
        </w:rPr>
        <w:t>：对应大/小盘指数市盈率，反映板块估值与流动性溢价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sz w:val="24"/>
          <w:szCs w:val="24"/>
        </w:rPr>
        <w:t>. VIX指数：衡量美股市场波动率，是全球资本市场恐慌情绪风向标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sz w:val="24"/>
          <w:szCs w:val="24"/>
        </w:rPr>
        <w:t>. 美国实际利率：扣除通胀后的美债收益率，影响全球资本流动与资产定价</w:t>
      </w:r>
    </w:p>
    <w:p w14:paraId="7A0C7032">
      <w:pPr>
        <w:jc w:val="both"/>
        <w:rPr>
          <w:rFonts w:hint="eastAsia" w:ascii="宋体" w:hAnsi="宋体" w:eastAsia="宋体" w:cs="宋体"/>
        </w:rPr>
      </w:pPr>
    </w:p>
    <w:p w14:paraId="6F8DF964">
      <w:pPr>
        <w:jc w:val="both"/>
        <w:rPr>
          <w:rFonts w:hint="eastAsia" w:ascii="宋体" w:hAnsi="宋体" w:eastAsia="宋体" w:cs="宋体"/>
        </w:rPr>
      </w:pPr>
    </w:p>
    <w:p w14:paraId="58BBF788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32"/>
        </w:rPr>
        <w:t>指标构成表</w:t>
      </w: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81"/>
        <w:gridCol w:w="4825"/>
      </w:tblGrid>
      <w:tr w14:paraId="0EC9A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B4431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指标名称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7D44FB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构成指标</w:t>
            </w:r>
          </w:p>
        </w:tc>
      </w:tr>
      <w:tr w14:paraId="3DD7B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D67B0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信用利差：国债端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E3CA5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中债国债财富总值指数（3-5年）</w:t>
            </w:r>
          </w:p>
        </w:tc>
      </w:tr>
      <w:tr w14:paraId="170A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83D9D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信用利差：信用债端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D3E87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中债企业债AA指数（3-5年）</w:t>
            </w:r>
          </w:p>
        </w:tc>
      </w:tr>
      <w:tr w14:paraId="53FD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4D0D6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期限利差：中短期债端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58072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中债中短期债券指数</w:t>
            </w:r>
          </w:p>
        </w:tc>
      </w:tr>
      <w:tr w14:paraId="00FF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33856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期限利差：中长期债端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FE146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中债长期债券指数</w:t>
            </w:r>
          </w:p>
        </w:tc>
      </w:tr>
      <w:tr w14:paraId="078BB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F7DE2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汇率：美元指数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223173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美元指数</w:t>
            </w:r>
          </w:p>
        </w:tc>
      </w:tr>
      <w:tr w14:paraId="4892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CEB6A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利率水平：国债指数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ECD1B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中债国债总净价指数</w:t>
            </w:r>
          </w:p>
        </w:tc>
      </w:tr>
      <w:tr w14:paraId="030D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727A9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经济增长：构成1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10425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恒生指数</w:t>
            </w:r>
          </w:p>
        </w:tc>
      </w:tr>
      <w:tr w14:paraId="2995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2CB91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经济增长：构成2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E54A7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CRB现货指数：金属</w:t>
            </w:r>
          </w:p>
        </w:tc>
      </w:tr>
      <w:tr w14:paraId="1B2F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099B6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经济增长：构成3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750A7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CRB现货指数：工业原料</w:t>
            </w:r>
          </w:p>
        </w:tc>
      </w:tr>
      <w:tr w14:paraId="488E5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1E184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经济增长：构成4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6C101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南华沪铜指数</w:t>
            </w:r>
          </w:p>
        </w:tc>
      </w:tr>
      <w:tr w14:paraId="35E62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39D58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经济增长：构成5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408D3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房地产开发指数</w:t>
            </w:r>
          </w:p>
        </w:tc>
      </w:tr>
      <w:tr w14:paraId="3FBE3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80755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消费端通胀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A3E2B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猪肉价格</w:t>
            </w:r>
          </w:p>
        </w:tc>
      </w:tr>
      <w:tr w14:paraId="05271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C9F69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生产端通胀：构成1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3802B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布伦特原油</w:t>
            </w:r>
          </w:p>
        </w:tc>
      </w:tr>
      <w:tr w14:paraId="18EC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BE62C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生产端通胀：构成2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4F851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CRB现货综合指数</w:t>
            </w:r>
          </w:p>
        </w:tc>
      </w:tr>
      <w:tr w14:paraId="0E921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DA737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资本市场流动性：大盘PE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B34B6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大盘指数市盈率</w:t>
            </w:r>
          </w:p>
        </w:tc>
      </w:tr>
      <w:tr w14:paraId="5355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695C3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资本市场流动性：小盘PE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92400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小盘指数市盈率</w:t>
            </w:r>
          </w:p>
        </w:tc>
      </w:tr>
      <w:tr w14:paraId="0B38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09E40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市场恐慌程度：VIX指数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245E0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VIX指数</w:t>
            </w:r>
          </w:p>
        </w:tc>
      </w:tr>
      <w:tr w14:paraId="4119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0822E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美国实际利率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18C9DE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美国10年期TIPS利率</w:t>
            </w:r>
          </w:p>
        </w:tc>
      </w:tr>
    </w:tbl>
    <w:p w14:paraId="1D2EC3F1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ADCF56"/>
    <w:multiLevelType w:val="multilevel"/>
    <w:tmpl w:val="B6ADCF56"/>
    <w:lvl w:ilvl="0" w:tentative="0">
      <w:start w:val="1"/>
      <w:numFmt w:val="japaneseCounting"/>
      <w:pStyle w:val="4"/>
      <w:lvlText w:val="%1、"/>
      <w:lvlJc w:val="left"/>
      <w:pPr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64816"/>
    <w:rsid w:val="25A23E95"/>
    <w:rsid w:val="2D1146E0"/>
    <w:rsid w:val="49703EC1"/>
    <w:rsid w:val="49DC79CB"/>
    <w:rsid w:val="4FC847D1"/>
    <w:rsid w:val="5A5B5277"/>
    <w:rsid w:val="5E175B3B"/>
    <w:rsid w:val="6BEE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一级标题"/>
    <w:basedOn w:val="1"/>
    <w:qFormat/>
    <w:uiPriority w:val="0"/>
    <w:pPr>
      <w:numPr>
        <w:ilvl w:val="0"/>
        <w:numId w:val="1"/>
      </w:numPr>
      <w:ind w:firstLine="0" w:firstLineChars="0"/>
    </w:pPr>
    <w:rPr>
      <w:rFonts w:hint="eastAsia" w:ascii="仿宋" w:hAnsi="仿宋" w:eastAsia="仿宋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623</Words>
  <Characters>655</Characters>
  <Lines>0</Lines>
  <Paragraphs>0</Paragraphs>
  <TotalTime>2</TotalTime>
  <ScaleCrop>false</ScaleCrop>
  <LinksUpToDate>false</LinksUpToDate>
  <CharactersWithSpaces>672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2025-11-18T03:02:00Z</dcterms:created>
  <dc:creator>suma</dc:creator>
  <cp:lastModifiedBy>动物园园长</cp:lastModifiedBy>
  <dcterms:modified xsi:type="dcterms:W3CDTF">2026-01-16T01:08:57Z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F0486F248ECD4AF9BACFD0CC00D0819E_13</vt:lpwstr>
  </property>
  <property fmtid="{D5CDD505-2E9C-101B-9397-08002B2CF9AE}" pid="4" name="KSOTemplateDocerSaveRecord">
    <vt:lpwstr>eyJoZGlkIjoiZDI3YzgzNThkNTYwY2MwYmY4ZjJiZjM1YTJjMjMxNzMiLCJ1c2VySWQiOiIxNTcyNzk0ODkzIn0=</vt:lpwstr>
  </property>
</Properties>
</file>