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2A6" w:rsidRPr="004102A6" w:rsidRDefault="004102A6" w:rsidP="004102A6">
      <w:pPr>
        <w:shd w:val="clear" w:color="auto" w:fill="FFFFFF"/>
        <w:spacing w:after="0" w:line="240" w:lineRule="auto"/>
        <w:jc w:val="center"/>
        <w:rPr>
          <w:rFonts w:ascii="Courier New" w:eastAsia="Times New Roman" w:hAnsi="Courier New" w:cs="Courier New"/>
          <w:color w:val="222222"/>
          <w:sz w:val="24"/>
          <w:szCs w:val="24"/>
        </w:rPr>
      </w:pPr>
      <w:r w:rsidRPr="004102A6">
        <w:rPr>
          <w:rFonts w:ascii="Times New Roman" w:eastAsia="Times New Roman" w:hAnsi="Times New Roman" w:cs="Times New Roman"/>
          <w:b/>
          <w:bCs/>
          <w:color w:val="000000"/>
          <w:sz w:val="20"/>
          <w:szCs w:val="20"/>
        </w:rPr>
        <w:t xml:space="preserve">Researching Human </w:t>
      </w:r>
      <w:proofErr w:type="spellStart"/>
      <w:r w:rsidRPr="004102A6">
        <w:rPr>
          <w:rFonts w:ascii="Times New Roman" w:eastAsia="Times New Roman" w:hAnsi="Times New Roman" w:cs="Times New Roman"/>
          <w:b/>
          <w:bCs/>
          <w:color w:val="000000"/>
          <w:sz w:val="20"/>
          <w:szCs w:val="20"/>
        </w:rPr>
        <w:t>Behaviour</w:t>
      </w:r>
      <w:proofErr w:type="spellEnd"/>
      <w:r w:rsidRPr="004102A6">
        <w:rPr>
          <w:rFonts w:ascii="Times New Roman" w:eastAsia="Times New Roman" w:hAnsi="Times New Roman" w:cs="Times New Roman"/>
          <w:b/>
          <w:bCs/>
          <w:color w:val="000000"/>
          <w:sz w:val="20"/>
          <w:szCs w:val="20"/>
        </w:rPr>
        <w:t xml:space="preserve"> using Smartphones and Wearables: A Hands-On Introduction</w:t>
      </w:r>
    </w:p>
    <w:p w:rsidR="004102A6" w:rsidRPr="004102A6" w:rsidRDefault="004102A6" w:rsidP="004102A6">
      <w:pPr>
        <w:spacing w:after="0" w:line="240" w:lineRule="auto"/>
        <w:rPr>
          <w:rFonts w:ascii="Times New Roman" w:eastAsia="Times New Roman" w:hAnsi="Times New Roman" w:cs="Times New Roman"/>
          <w:sz w:val="24"/>
          <w:szCs w:val="24"/>
        </w:rPr>
      </w:pPr>
      <w:r w:rsidRPr="004102A6">
        <w:rPr>
          <w:rFonts w:ascii="Courier New" w:eastAsia="Times New Roman" w:hAnsi="Courier New" w:cs="Courier New"/>
          <w:color w:val="222222"/>
          <w:sz w:val="24"/>
          <w:szCs w:val="24"/>
        </w:rPr>
        <w:br/>
      </w:r>
    </w:p>
    <w:p w:rsidR="004102A6" w:rsidRPr="004102A6" w:rsidRDefault="004102A6" w:rsidP="004102A6">
      <w:pPr>
        <w:shd w:val="clear" w:color="auto" w:fill="FFFFFF"/>
        <w:spacing w:after="80" w:line="240" w:lineRule="auto"/>
        <w:ind w:left="80"/>
        <w:rPr>
          <w:rFonts w:ascii="Courier New" w:eastAsia="Times New Roman" w:hAnsi="Courier New" w:cs="Courier New"/>
          <w:color w:val="222222"/>
          <w:sz w:val="24"/>
          <w:szCs w:val="24"/>
        </w:rPr>
      </w:pPr>
      <w:r w:rsidRPr="004102A6">
        <w:rPr>
          <w:rFonts w:ascii="Times New Roman" w:eastAsia="Times New Roman" w:hAnsi="Times New Roman" w:cs="Times New Roman"/>
          <w:color w:val="222222"/>
          <w:sz w:val="20"/>
          <w:szCs w:val="20"/>
        </w:rPr>
        <w:t xml:space="preserve">Acquisition of evidence regarding human behaviors and exposure to environments forms a central focus of health and social research, and an important foundation for effective policy in these areas. The use of smartphones and affiliated devices to study health behavior via cross-linked sensor data and on-device self-reporting and crowdsourcing offers compelling advantages to complement traditional techniques. Data collected on such devices wearables can be particularly powerful in supporting understanding of behaviors in areas where accurate self-reporting is difficult, including nutritional intake, physical activity and sedentary </w:t>
      </w:r>
      <w:proofErr w:type="spellStart"/>
      <w:r w:rsidRPr="004102A6">
        <w:rPr>
          <w:rFonts w:ascii="Times New Roman" w:eastAsia="Times New Roman" w:hAnsi="Times New Roman" w:cs="Times New Roman"/>
          <w:color w:val="222222"/>
          <w:sz w:val="20"/>
          <w:szCs w:val="20"/>
        </w:rPr>
        <w:t>behaviour</w:t>
      </w:r>
      <w:proofErr w:type="spellEnd"/>
      <w:r w:rsidRPr="004102A6">
        <w:rPr>
          <w:rFonts w:ascii="Times New Roman" w:eastAsia="Times New Roman" w:hAnsi="Times New Roman" w:cs="Times New Roman"/>
          <w:color w:val="222222"/>
          <w:sz w:val="20"/>
          <w:szCs w:val="20"/>
        </w:rPr>
        <w:t>, contact patterns, and exposure to physical and social environments. Through structured surveys and crowdsourcing mechanisms, such devices can further provide potent means of gaining insight into knowledge, attitudes, beliefs, and perceptions in health and social domains. Finally, while little explored, some of the most powerful uses of such data lie in terms of understanding the particular causal pathways impacted by interventions.</w:t>
      </w:r>
    </w:p>
    <w:p w:rsidR="004102A6" w:rsidRPr="004102A6" w:rsidRDefault="004102A6" w:rsidP="004102A6">
      <w:pPr>
        <w:shd w:val="clear" w:color="auto" w:fill="FFFFFF"/>
        <w:spacing w:after="80" w:line="240" w:lineRule="auto"/>
        <w:ind w:left="80"/>
        <w:rPr>
          <w:rFonts w:ascii="Courier New" w:eastAsia="Times New Roman" w:hAnsi="Courier New" w:cs="Courier New"/>
          <w:color w:val="222222"/>
          <w:sz w:val="24"/>
          <w:szCs w:val="24"/>
        </w:rPr>
      </w:pPr>
      <w:r w:rsidRPr="004102A6">
        <w:rPr>
          <w:rFonts w:ascii="Times New Roman" w:eastAsia="Times New Roman" w:hAnsi="Times New Roman" w:cs="Times New Roman"/>
          <w:color w:val="222222"/>
          <w:sz w:val="20"/>
          <w:szCs w:val="20"/>
        </w:rPr>
        <w:t xml:space="preserve">Following last year’s well-received tutorial, we will present a high-level introduction to human </w:t>
      </w:r>
      <w:proofErr w:type="spellStart"/>
      <w:r w:rsidRPr="004102A6">
        <w:rPr>
          <w:rFonts w:ascii="Times New Roman" w:eastAsia="Times New Roman" w:hAnsi="Times New Roman" w:cs="Times New Roman"/>
          <w:color w:val="222222"/>
          <w:sz w:val="20"/>
          <w:szCs w:val="20"/>
        </w:rPr>
        <w:t>behaviour</w:t>
      </w:r>
      <w:proofErr w:type="spellEnd"/>
      <w:r w:rsidRPr="004102A6">
        <w:rPr>
          <w:rFonts w:ascii="Times New Roman" w:eastAsia="Times New Roman" w:hAnsi="Times New Roman" w:cs="Times New Roman"/>
          <w:color w:val="222222"/>
          <w:sz w:val="20"/>
          <w:szCs w:val="20"/>
        </w:rPr>
        <w:t xml:space="preserve"> data collection from mobile devices using the widely used </w:t>
      </w:r>
      <w:proofErr w:type="spellStart"/>
      <w:r w:rsidRPr="004102A6">
        <w:rPr>
          <w:rFonts w:ascii="Times New Roman" w:eastAsia="Times New Roman" w:hAnsi="Times New Roman" w:cs="Times New Roman"/>
          <w:color w:val="222222"/>
          <w:sz w:val="20"/>
          <w:szCs w:val="20"/>
        </w:rPr>
        <w:t>Ethica</w:t>
      </w:r>
      <w:proofErr w:type="spellEnd"/>
      <w:r w:rsidRPr="004102A6">
        <w:rPr>
          <w:rFonts w:ascii="Times New Roman" w:eastAsia="Times New Roman" w:hAnsi="Times New Roman" w:cs="Times New Roman"/>
          <w:color w:val="222222"/>
          <w:sz w:val="20"/>
          <w:szCs w:val="20"/>
        </w:rPr>
        <w:t xml:space="preserve"> Data system.  Tutorial participants will be guided through the use of this state-of-the-art mobile data collection system spanning the iOS (iPhones), Android and web platforms, its web-based study, sensor and survey definition tools, adherence monitoring system, reporting system, and flexible Apache </w:t>
      </w:r>
      <w:proofErr w:type="spellStart"/>
      <w:r w:rsidRPr="004102A6">
        <w:rPr>
          <w:rFonts w:ascii="Times New Roman" w:eastAsia="Times New Roman" w:hAnsi="Times New Roman" w:cs="Times New Roman"/>
          <w:color w:val="222222"/>
          <w:sz w:val="20"/>
          <w:szCs w:val="20"/>
        </w:rPr>
        <w:t>Kibana</w:t>
      </w:r>
      <w:proofErr w:type="spellEnd"/>
      <w:r w:rsidRPr="004102A6">
        <w:rPr>
          <w:rFonts w:ascii="Times New Roman" w:eastAsia="Times New Roman" w:hAnsi="Times New Roman" w:cs="Times New Roman"/>
          <w:color w:val="222222"/>
          <w:sz w:val="20"/>
          <w:szCs w:val="20"/>
        </w:rPr>
        <w:t>-based visualization toolkit.  </w:t>
      </w:r>
    </w:p>
    <w:p w:rsidR="004102A6" w:rsidRPr="004102A6" w:rsidRDefault="004102A6" w:rsidP="004102A6">
      <w:pPr>
        <w:shd w:val="clear" w:color="auto" w:fill="FFFFFF"/>
        <w:spacing w:after="80" w:line="240" w:lineRule="auto"/>
        <w:ind w:left="80"/>
        <w:rPr>
          <w:rFonts w:ascii="Courier New" w:eastAsia="Times New Roman" w:hAnsi="Courier New" w:cs="Courier New"/>
          <w:color w:val="222222"/>
          <w:sz w:val="24"/>
          <w:szCs w:val="24"/>
        </w:rPr>
      </w:pPr>
      <w:r w:rsidRPr="004102A6">
        <w:rPr>
          <w:rFonts w:ascii="Times New Roman" w:eastAsia="Times New Roman" w:hAnsi="Times New Roman" w:cs="Times New Roman"/>
          <w:color w:val="222222"/>
          <w:sz w:val="20"/>
          <w:szCs w:val="20"/>
        </w:rPr>
        <w:t>Coverage will include -- but will not be limited to -- the following:</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 xml:space="preserve">Defining and real-time modification of the study design, including specification of participant involvement duration and study length, and enrollment staging, and specific sensor streams to collect. </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Definition of surveys with triggering conditions based on time, stochastic occurrence, or sensor data.</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 xml:space="preserve">Graphical, web-based drag-and-drop interface for defining survey questions, including multimedia questions (photo, audio, </w:t>
      </w:r>
      <w:proofErr w:type="gramStart"/>
      <w:r w:rsidRPr="004102A6">
        <w:rPr>
          <w:rFonts w:ascii="Times New Roman" w:eastAsia="Times New Roman" w:hAnsi="Times New Roman" w:cs="Times New Roman"/>
          <w:color w:val="222222"/>
          <w:sz w:val="20"/>
          <w:szCs w:val="20"/>
        </w:rPr>
        <w:t>video</w:t>
      </w:r>
      <w:proofErr w:type="gramEnd"/>
      <w:r w:rsidRPr="004102A6">
        <w:rPr>
          <w:rFonts w:ascii="Times New Roman" w:eastAsia="Times New Roman" w:hAnsi="Times New Roman" w:cs="Times New Roman"/>
          <w:color w:val="222222"/>
          <w:sz w:val="20"/>
          <w:szCs w:val="20"/>
        </w:rPr>
        <w:t>) and conditional patterns/skip questions.</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Using extensions to collect time-use and nutrition data, enable in-app chatting between participants, and administer cognitive tests.</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Participant enrollment within a defined study, and live updates of surveys and study definition.</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 xml:space="preserve">Monitoring adherence:  Monitoring data received from participants, and completeness of participant response to survey questions; per-participant completeness of sensor-specific data; pushing content to particular participants. </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 xml:space="preserve">Reporting interfaces, including participant </w:t>
      </w:r>
      <w:proofErr w:type="spellStart"/>
      <w:r w:rsidRPr="004102A6">
        <w:rPr>
          <w:rFonts w:ascii="Times New Roman" w:eastAsia="Times New Roman" w:hAnsi="Times New Roman" w:cs="Times New Roman"/>
          <w:color w:val="222222"/>
          <w:sz w:val="20"/>
          <w:szCs w:val="20"/>
        </w:rPr>
        <w:t>heatmaps</w:t>
      </w:r>
      <w:proofErr w:type="spellEnd"/>
      <w:r w:rsidRPr="004102A6">
        <w:rPr>
          <w:rFonts w:ascii="Times New Roman" w:eastAsia="Times New Roman" w:hAnsi="Times New Roman" w:cs="Times New Roman"/>
          <w:color w:val="222222"/>
          <w:sz w:val="20"/>
          <w:szCs w:val="20"/>
        </w:rPr>
        <w:t xml:space="preserve">, enumerated survey responses (also showing audio-video question responses), GPS-based response maps, </w:t>
      </w:r>
      <w:proofErr w:type="spellStart"/>
      <w:r w:rsidRPr="004102A6">
        <w:rPr>
          <w:rFonts w:ascii="Times New Roman" w:eastAsia="Times New Roman" w:hAnsi="Times New Roman" w:cs="Times New Roman"/>
          <w:color w:val="222222"/>
          <w:sz w:val="20"/>
          <w:szCs w:val="20"/>
        </w:rPr>
        <w:t>bluetooth</w:t>
      </w:r>
      <w:proofErr w:type="spellEnd"/>
      <w:r w:rsidRPr="004102A6">
        <w:rPr>
          <w:rFonts w:ascii="Times New Roman" w:eastAsia="Times New Roman" w:hAnsi="Times New Roman" w:cs="Times New Roman"/>
          <w:color w:val="222222"/>
          <w:sz w:val="20"/>
          <w:szCs w:val="20"/>
        </w:rPr>
        <w:t>-beacon-based network depiction, and data downloads.</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 xml:space="preserve">Use of Apache </w:t>
      </w:r>
      <w:proofErr w:type="spellStart"/>
      <w:r w:rsidRPr="004102A6">
        <w:rPr>
          <w:rFonts w:ascii="Times New Roman" w:eastAsia="Times New Roman" w:hAnsi="Times New Roman" w:cs="Times New Roman"/>
          <w:color w:val="222222"/>
          <w:sz w:val="20"/>
          <w:szCs w:val="20"/>
        </w:rPr>
        <w:t>Kibana</w:t>
      </w:r>
      <w:proofErr w:type="spellEnd"/>
      <w:r w:rsidRPr="004102A6">
        <w:rPr>
          <w:rFonts w:ascii="Times New Roman" w:eastAsia="Times New Roman" w:hAnsi="Times New Roman" w:cs="Times New Roman"/>
          <w:color w:val="222222"/>
          <w:sz w:val="20"/>
          <w:szCs w:val="20"/>
        </w:rPr>
        <w:t xml:space="preserve"> and VEGA-based visualization for flexible online visualization.</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Export of study data, and database interfaces.</w:t>
      </w:r>
    </w:p>
    <w:p w:rsidR="004102A6" w:rsidRPr="004102A6" w:rsidRDefault="004102A6" w:rsidP="004102A6">
      <w:pPr>
        <w:numPr>
          <w:ilvl w:val="0"/>
          <w:numId w:val="1"/>
        </w:numPr>
        <w:shd w:val="clear" w:color="auto" w:fill="FFFFFF"/>
        <w:spacing w:after="0" w:line="240" w:lineRule="auto"/>
        <w:ind w:left="945"/>
        <w:textAlignment w:val="baseline"/>
        <w:rPr>
          <w:rFonts w:ascii="Times New Roman" w:eastAsia="Times New Roman" w:hAnsi="Times New Roman" w:cs="Times New Roman"/>
          <w:color w:val="222222"/>
          <w:sz w:val="20"/>
          <w:szCs w:val="20"/>
        </w:rPr>
      </w:pPr>
      <w:r w:rsidRPr="004102A6">
        <w:rPr>
          <w:rFonts w:ascii="Times New Roman" w:eastAsia="Times New Roman" w:hAnsi="Times New Roman" w:cs="Times New Roman"/>
          <w:color w:val="222222"/>
          <w:sz w:val="20"/>
          <w:szCs w:val="20"/>
        </w:rPr>
        <w:t xml:space="preserve">Wearables: Use of </w:t>
      </w:r>
      <w:proofErr w:type="spellStart"/>
      <w:r w:rsidRPr="004102A6">
        <w:rPr>
          <w:rFonts w:ascii="Times New Roman" w:eastAsia="Times New Roman" w:hAnsi="Times New Roman" w:cs="Times New Roman"/>
          <w:color w:val="222222"/>
          <w:sz w:val="20"/>
          <w:szCs w:val="20"/>
        </w:rPr>
        <w:t>bluetooth</w:t>
      </w:r>
      <w:proofErr w:type="spellEnd"/>
      <w:r w:rsidRPr="004102A6">
        <w:rPr>
          <w:rFonts w:ascii="Times New Roman" w:eastAsia="Times New Roman" w:hAnsi="Times New Roman" w:cs="Times New Roman"/>
          <w:color w:val="222222"/>
          <w:sz w:val="20"/>
          <w:szCs w:val="20"/>
        </w:rPr>
        <w:t xml:space="preserve"> beacons to record and trigger surveys based on proximity between participants, or of participants with resources, locations or other actors.</w:t>
      </w:r>
    </w:p>
    <w:p w:rsidR="004102A6" w:rsidRPr="004102A6" w:rsidRDefault="004102A6" w:rsidP="004102A6">
      <w:pPr>
        <w:spacing w:after="0" w:line="240" w:lineRule="auto"/>
        <w:rPr>
          <w:rFonts w:ascii="Times New Roman" w:eastAsia="Times New Roman" w:hAnsi="Times New Roman" w:cs="Times New Roman"/>
          <w:sz w:val="24"/>
          <w:szCs w:val="24"/>
        </w:rPr>
      </w:pPr>
      <w:r w:rsidRPr="004102A6">
        <w:rPr>
          <w:rFonts w:ascii="Courier New" w:eastAsia="Times New Roman" w:hAnsi="Courier New" w:cs="Courier New"/>
          <w:color w:val="222222"/>
          <w:sz w:val="24"/>
          <w:szCs w:val="24"/>
        </w:rPr>
        <w:br/>
      </w:r>
    </w:p>
    <w:p w:rsidR="004102A6" w:rsidRPr="004102A6" w:rsidRDefault="004102A6" w:rsidP="004102A6">
      <w:pPr>
        <w:shd w:val="clear" w:color="auto" w:fill="FFFFFF"/>
        <w:spacing w:after="0" w:line="240" w:lineRule="auto"/>
        <w:rPr>
          <w:rFonts w:ascii="Courier New" w:eastAsia="Times New Roman" w:hAnsi="Courier New" w:cs="Courier New"/>
          <w:color w:val="222222"/>
          <w:sz w:val="24"/>
          <w:szCs w:val="24"/>
        </w:rPr>
      </w:pPr>
      <w:r w:rsidRPr="004102A6">
        <w:rPr>
          <w:rFonts w:ascii="Times New Roman" w:eastAsia="Times New Roman" w:hAnsi="Times New Roman" w:cs="Times New Roman"/>
          <w:b/>
          <w:bCs/>
          <w:color w:val="000000"/>
          <w:sz w:val="20"/>
          <w:szCs w:val="20"/>
        </w:rPr>
        <w:t>Audience</w:t>
      </w:r>
      <w:r w:rsidRPr="004102A6">
        <w:rPr>
          <w:rFonts w:ascii="Times New Roman" w:eastAsia="Times New Roman" w:hAnsi="Times New Roman" w:cs="Times New Roman"/>
          <w:color w:val="000000"/>
          <w:sz w:val="20"/>
          <w:szCs w:val="20"/>
        </w:rPr>
        <w:t>: Health, social and computational scientists.  No programming background is required.</w:t>
      </w:r>
    </w:p>
    <w:p w:rsidR="004102A6" w:rsidRPr="004102A6" w:rsidRDefault="004102A6" w:rsidP="004102A6">
      <w:pPr>
        <w:shd w:val="clear" w:color="auto" w:fill="FFFFFF"/>
        <w:spacing w:after="0" w:line="240" w:lineRule="auto"/>
        <w:rPr>
          <w:rFonts w:ascii="Courier New" w:eastAsia="Times New Roman" w:hAnsi="Courier New" w:cs="Courier New"/>
          <w:color w:val="222222"/>
          <w:sz w:val="24"/>
          <w:szCs w:val="24"/>
        </w:rPr>
      </w:pPr>
      <w:r w:rsidRPr="004102A6">
        <w:rPr>
          <w:rFonts w:ascii="Times New Roman" w:eastAsia="Times New Roman" w:hAnsi="Times New Roman" w:cs="Times New Roman"/>
          <w:b/>
          <w:bCs/>
          <w:color w:val="000000"/>
          <w:sz w:val="20"/>
          <w:szCs w:val="20"/>
        </w:rPr>
        <w:t>Organizers:</w:t>
      </w:r>
    </w:p>
    <w:p w:rsidR="004102A6" w:rsidRPr="004102A6" w:rsidRDefault="004102A6" w:rsidP="004102A6">
      <w:pPr>
        <w:shd w:val="clear" w:color="auto" w:fill="FFFFFF"/>
        <w:spacing w:after="0" w:line="240" w:lineRule="auto"/>
        <w:rPr>
          <w:rFonts w:ascii="Courier New" w:eastAsia="Times New Roman" w:hAnsi="Courier New" w:cs="Courier New"/>
          <w:color w:val="222222"/>
          <w:sz w:val="24"/>
          <w:szCs w:val="24"/>
        </w:rPr>
      </w:pPr>
      <w:r w:rsidRPr="004102A6">
        <w:rPr>
          <w:rFonts w:ascii="Times New Roman" w:eastAsia="Times New Roman" w:hAnsi="Times New Roman" w:cs="Times New Roman"/>
          <w:b/>
          <w:bCs/>
          <w:i/>
          <w:iCs/>
          <w:color w:val="000000"/>
          <w:sz w:val="20"/>
          <w:szCs w:val="20"/>
        </w:rPr>
        <w:t xml:space="preserve">Mohammad </w:t>
      </w:r>
      <w:proofErr w:type="spellStart"/>
      <w:r w:rsidRPr="004102A6">
        <w:rPr>
          <w:rFonts w:ascii="Times New Roman" w:eastAsia="Times New Roman" w:hAnsi="Times New Roman" w:cs="Times New Roman"/>
          <w:b/>
          <w:bCs/>
          <w:i/>
          <w:iCs/>
          <w:color w:val="000000"/>
          <w:sz w:val="20"/>
          <w:szCs w:val="20"/>
        </w:rPr>
        <w:t>Hashemian</w:t>
      </w:r>
      <w:proofErr w:type="spellEnd"/>
      <w:r w:rsidRPr="004102A6">
        <w:rPr>
          <w:rFonts w:ascii="Times New Roman" w:eastAsia="Times New Roman" w:hAnsi="Times New Roman" w:cs="Times New Roman"/>
          <w:color w:val="000000"/>
          <w:sz w:val="20"/>
          <w:szCs w:val="20"/>
        </w:rPr>
        <w:t xml:space="preserve">, founder and president of </w:t>
      </w:r>
      <w:proofErr w:type="spellStart"/>
      <w:r w:rsidRPr="004102A6">
        <w:rPr>
          <w:rFonts w:ascii="Times New Roman" w:eastAsia="Times New Roman" w:hAnsi="Times New Roman" w:cs="Times New Roman"/>
          <w:color w:val="000000"/>
          <w:sz w:val="20"/>
          <w:szCs w:val="20"/>
        </w:rPr>
        <w:t>Ethica</w:t>
      </w:r>
      <w:proofErr w:type="spellEnd"/>
      <w:r w:rsidRPr="004102A6">
        <w:rPr>
          <w:rFonts w:ascii="Times New Roman" w:eastAsia="Times New Roman" w:hAnsi="Times New Roman" w:cs="Times New Roman"/>
          <w:color w:val="000000"/>
          <w:sz w:val="20"/>
          <w:szCs w:val="20"/>
        </w:rPr>
        <w:t xml:space="preserve">, holds a B.Sc. in Software Engineering and M.Sc. in Computer Science with a focus on Epidemiology and Public Health. He has been involved in the design and rollout of 46 research projects using </w:t>
      </w:r>
      <w:proofErr w:type="spellStart"/>
      <w:r w:rsidRPr="004102A6">
        <w:rPr>
          <w:rFonts w:ascii="Times New Roman" w:eastAsia="Times New Roman" w:hAnsi="Times New Roman" w:cs="Times New Roman"/>
          <w:color w:val="000000"/>
          <w:sz w:val="20"/>
          <w:szCs w:val="20"/>
        </w:rPr>
        <w:t>Ethica</w:t>
      </w:r>
      <w:proofErr w:type="spellEnd"/>
      <w:r w:rsidRPr="004102A6">
        <w:rPr>
          <w:rFonts w:ascii="Times New Roman" w:eastAsia="Times New Roman" w:hAnsi="Times New Roman" w:cs="Times New Roman"/>
          <w:color w:val="000000"/>
          <w:sz w:val="20"/>
          <w:szCs w:val="20"/>
        </w:rPr>
        <w:t xml:space="preserve"> since 2016. Prior to founding </w:t>
      </w:r>
      <w:proofErr w:type="spellStart"/>
      <w:r w:rsidRPr="004102A6">
        <w:rPr>
          <w:rFonts w:ascii="Times New Roman" w:eastAsia="Times New Roman" w:hAnsi="Times New Roman" w:cs="Times New Roman"/>
          <w:color w:val="000000"/>
          <w:sz w:val="20"/>
          <w:szCs w:val="20"/>
        </w:rPr>
        <w:t>Ethica</w:t>
      </w:r>
      <w:proofErr w:type="spellEnd"/>
      <w:r w:rsidRPr="004102A6">
        <w:rPr>
          <w:rFonts w:ascii="Times New Roman" w:eastAsia="Times New Roman" w:hAnsi="Times New Roman" w:cs="Times New Roman"/>
          <w:color w:val="000000"/>
          <w:sz w:val="20"/>
          <w:szCs w:val="20"/>
        </w:rPr>
        <w:t xml:space="preserve">, he was Platform Developer on Google Android TV. </w:t>
      </w:r>
    </w:p>
    <w:p w:rsidR="004102A6" w:rsidRPr="004102A6" w:rsidRDefault="004102A6" w:rsidP="004102A6">
      <w:pPr>
        <w:shd w:val="clear" w:color="auto" w:fill="FFFFFF"/>
        <w:spacing w:after="0" w:line="240" w:lineRule="auto"/>
        <w:rPr>
          <w:rFonts w:ascii="Courier New" w:eastAsia="Times New Roman" w:hAnsi="Courier New" w:cs="Courier New"/>
          <w:color w:val="222222"/>
          <w:sz w:val="24"/>
          <w:szCs w:val="24"/>
        </w:rPr>
      </w:pPr>
      <w:r w:rsidRPr="004102A6">
        <w:rPr>
          <w:rFonts w:ascii="Times New Roman" w:eastAsia="Times New Roman" w:hAnsi="Times New Roman" w:cs="Times New Roman"/>
          <w:b/>
          <w:bCs/>
          <w:i/>
          <w:iCs/>
          <w:color w:val="000000"/>
          <w:sz w:val="20"/>
          <w:szCs w:val="20"/>
        </w:rPr>
        <w:t>Nathaniel Osgood</w:t>
      </w:r>
      <w:r w:rsidRPr="004102A6">
        <w:rPr>
          <w:rFonts w:ascii="Times New Roman" w:eastAsia="Times New Roman" w:hAnsi="Times New Roman" w:cs="Times New Roman"/>
          <w:color w:val="000000"/>
          <w:sz w:val="20"/>
          <w:szCs w:val="20"/>
        </w:rPr>
        <w:t>, serves as Professor in the Dept. of Computer Science and Associate Faculty in the Dept. of Community Health &amp; Epidemiology at U. Saskatchewan.  He holds a B.Sc., M.Sc. and Ph.D. in Computer Science from MIT. His research focuses on advancing and cross-linking system science, data science, computational science and applied mathematics tools to improve decision making in health and health care policy.  </w:t>
      </w:r>
    </w:p>
    <w:p w:rsidR="00EF34F6" w:rsidRDefault="004102A6">
      <w:bookmarkStart w:id="0" w:name="_GoBack"/>
      <w:bookmarkEnd w:id="0"/>
    </w:p>
    <w:sectPr w:rsidR="00EF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142F"/>
    <w:multiLevelType w:val="multilevel"/>
    <w:tmpl w:val="07C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BD"/>
    <w:rsid w:val="00085DD5"/>
    <w:rsid w:val="003548BD"/>
    <w:rsid w:val="004102A6"/>
    <w:rsid w:val="004B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00FF1-82F1-4949-8921-6BF2CDE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2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Carley</dc:creator>
  <cp:keywords/>
  <dc:description/>
  <cp:lastModifiedBy>Kathleen Carley</cp:lastModifiedBy>
  <cp:revision>2</cp:revision>
  <dcterms:created xsi:type="dcterms:W3CDTF">2019-05-23T13:22:00Z</dcterms:created>
  <dcterms:modified xsi:type="dcterms:W3CDTF">2019-05-23T13:22:00Z</dcterms:modified>
</cp:coreProperties>
</file>