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 Sales - Credit 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 Sales - Credit Memo/1307"/>
          <w:id w:val="1234901919"/>
          <w15:dataBinding w:prefixMappings="xmlns:ns0='urn:microsoft-dynamics-nav/reports/Standard Sales - Credit 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Credit 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Credit 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Credit 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Credit 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 Sales - Credit 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65802753-6823-4751-A1CE-0641EB28A82F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45B75B-708E-4298-8A8F-E5A46EFA95A7}"/>
</file>

<file path=customXml/itemProps4.xml><?xml version="1.0" encoding="utf-8"?>
<ds:datastoreItem xmlns:ds="http://schemas.openxmlformats.org/officeDocument/2006/customXml" ds:itemID="{C48E7D20-F9C3-49AD-8D4B-A6AF8E672A60}"/>
</file>

<file path=customXml/itemProps5.xml><?xml version="1.0" encoding="utf-8"?>
<ds:datastoreItem xmlns:ds="http://schemas.openxmlformats.org/officeDocument/2006/customXml" ds:itemID="{8F35D032-DBF5-4950-B6B3-F3A98B1CC108}"/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0x010100D196EDF668E64D40A1014A61C0EE5B57</vt:lpwstr>
  </property>
</Properties>
</file>