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Default="003701DA">
      <w:pPr>
        <w:pStyle w:val="Heading1"/>
        <w:divId w:val="1808039875"/>
        <w:rPr>
          <w:rFonts w:eastAsia="Times New Roman"/>
        </w:rPr>
      </w:pPr>
      <w:r>
        <w:rPr>
          <w:rFonts w:eastAsia="Times New Roman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 xml:space="preserve">Steven Schram PhD, DC, </w:t>
      </w:r>
      <w:proofErr w:type="spellStart"/>
      <w:r w:rsidR="009F1FC7" w:rsidRPr="00953615">
        <w:rPr>
          <w:rStyle w:val="Strong"/>
          <w:b w:val="0"/>
          <w:bCs w:val="0"/>
        </w:rPr>
        <w:t>LAc</w:t>
      </w:r>
      <w:proofErr w:type="spellEnd"/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4F556C27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9F1FC7" w:rsidRPr="002472C7">
        <w:t>Chinese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 xml:space="preserve">describes a 24-hour cycle where different organ systems reach peak activity during specific two-hour windows.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BD00DB0" w:rsidR="00FC5C97" w:rsidRPr="002472C7" w:rsidRDefault="00553AD1" w:rsidP="002472C7">
      <w:pPr>
        <w:divId w:val="1808039875"/>
      </w:pPr>
      <w:r>
        <w:t>The process of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>is</w:t>
      </w:r>
      <w:r w:rsidR="001624F1" w:rsidRPr="002472C7">
        <w:t xml:space="preserve"> utilized </w:t>
      </w:r>
      <w:r>
        <w:t>by</w:t>
      </w:r>
      <w:r w:rsidR="001624F1" w:rsidRPr="002472C7">
        <w:t xml:space="preserve"> the JetLagPro App</w:t>
      </w:r>
      <w:r>
        <w:t xml:space="preserve"> to apply </w:t>
      </w:r>
      <w:r w:rsidR="00AB1B0D">
        <w:t xml:space="preserve">the </w:t>
      </w:r>
      <w:r>
        <w:t>24-hour Organ Clock</w:t>
      </w:r>
      <w:r w:rsidR="00AB1B0D">
        <w:t xml:space="preserve"> to </w:t>
      </w:r>
      <w:r>
        <w:t>p</w:t>
      </w:r>
      <w:r w:rsidR="00241BBC" w:rsidRPr="002472C7">
        <w:t>resent</w:t>
      </w:r>
      <w:r w:rsidR="001624F1" w:rsidRPr="002472C7">
        <w:t xml:space="preserve"> and remind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bookmarkStart w:id="0" w:name="_GoBack"/>
      <w:bookmarkEnd w:id="0"/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this theory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4BF4FC1F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>ynchronization is maintained by Zeitgebers,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9F1FC7" w:rsidRPr="002472C7">
        <w:t>Jet lag occurs when rapid time zone changes desynchronize these clocks</w:t>
      </w:r>
      <w:r w:rsidR="00F21092" w:rsidRPr="002472C7">
        <w:t>.</w:t>
      </w:r>
    </w:p>
    <w:p w14:paraId="58ECF0C7" w14:textId="7779126E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Acupuncture Theory</w:t>
      </w:r>
    </w:p>
    <w:p w14:paraId="66B12BBD" w14:textId="77777777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 and then Amaro postulated that stimulating horary points sequentially during travel could help pre-synchronize our organ systems to new time zones, targeting jet lag's circadian misalignment.</w:t>
      </w:r>
      <w:r w:rsidR="009F1FC7">
        <w:rPr>
          <w:vertAlign w:val="superscript"/>
        </w:rPr>
        <w:t>9,10</w:t>
      </w:r>
      <w:r w:rsidR="009F1FC7">
        <w:t xml:space="preserve"> 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7F64916F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Chinese Organ Clock Visualization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77777777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Table 1: Chinese Organ Clock 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26EC25D5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>Multiple travelers flying coach have reported difficulty in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lastRenderedPageBreak/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4F021F11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While these studies employed acupuncture points known to assist with sleep issues rather than the </w:t>
      </w:r>
      <w:r w:rsidR="00BF00F9">
        <w:t>organ</w:t>
      </w:r>
      <w:r>
        <w:t xml:space="preserve"> point methodology proposed here, they establish the neurobiological plausibility of acupuncture serving as a non-photic zeitgeber 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DC1CA3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</w:t>
      </w:r>
      <w:r>
        <w:lastRenderedPageBreak/>
        <w:t xml:space="preserve">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3"/>
        <w:gridCol w:w="1581"/>
        <w:gridCol w:w="1541"/>
        <w:gridCol w:w="1541"/>
        <w:gridCol w:w="1567"/>
        <w:gridCol w:w="1567"/>
      </w:tblGrid>
      <w:tr w:rsidR="00CD29C9" w14:paraId="4B8EBBEE" w14:textId="77777777" w:rsidTr="00DC1CA3">
        <w:tc>
          <w:tcPr>
            <w:tcW w:w="1558" w:type="dxa"/>
          </w:tcPr>
          <w:p w14:paraId="683CB082" w14:textId="0E4DE544" w:rsidR="00DC1CA3" w:rsidRDefault="00A41386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4FDFDFD" wp14:editId="046014FD">
                  <wp:extent cx="885825" cy="885825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5D611A1F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23EFD19" wp14:editId="75D29E6D">
                  <wp:extent cx="866775" cy="866775"/>
                  <wp:effectExtent l="0" t="0" r="9525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71340ED8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1EC3720C" wp14:editId="4B5D8A5C">
                  <wp:extent cx="894080" cy="894080"/>
                  <wp:effectExtent l="0" t="0" r="1270" b="127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080" cy="89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66D0A1FA" w:rsidR="00DC1CA3" w:rsidRDefault="00CD29C9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48E82479" wp14:editId="5A8AF8A4">
                  <wp:extent cx="891845" cy="894080"/>
                  <wp:effectExtent l="0" t="0" r="3810" b="127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6775" cy="929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  <w:tc>
          <w:tcPr>
            <w:tcW w:w="1559" w:type="dxa"/>
          </w:tcPr>
          <w:p w14:paraId="02F83B80" w14:textId="783542F4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5C98EF6E" wp14:editId="2769C5A4">
                  <wp:extent cx="866775" cy="866775"/>
                  <wp:effectExtent l="0" t="0" r="9525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2E56818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5F7B846F" wp14:editId="5FAACCC4">
                  <wp:extent cx="857250" cy="85725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CD29C9" w14:paraId="1847A3A8" w14:textId="77777777" w:rsidTr="00DC1CA3">
        <w:tc>
          <w:tcPr>
            <w:tcW w:w="1558" w:type="dxa"/>
          </w:tcPr>
          <w:p w14:paraId="3DCC741E" w14:textId="1DCBA72A" w:rsidR="00DC1CA3" w:rsidRDefault="00CD29C9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DBCFDE5" wp14:editId="48487E51">
                  <wp:extent cx="960962" cy="963546"/>
                  <wp:effectExtent l="0" t="0" r="0" b="825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1931" cy="1004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500C2A65" w:rsidR="00DC1CA3" w:rsidRDefault="00CD29C9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6782E40C" wp14:editId="12ED2255">
                  <wp:extent cx="981075" cy="978647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4649" cy="9921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3FAE4291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F306917" wp14:editId="7CC34FCA">
                  <wp:extent cx="952500" cy="9525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A9FF722">
                  <wp:extent cx="952500" cy="95250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36C594A4" w:rsidR="00DC1CA3" w:rsidRDefault="00CD29C9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DD66AFD" wp14:editId="7B34B927">
                  <wp:extent cx="963295" cy="963295"/>
                  <wp:effectExtent l="0" t="0" r="8255" b="825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295" cy="963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430D0CF" w:rsidR="00DC1CA3" w:rsidRDefault="00CD29C9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58D83360" wp14:editId="18E6DD37">
                  <wp:extent cx="971550" cy="9739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5495" cy="1028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Data Analysis</w:t>
      </w:r>
    </w:p>
    <w:p w14:paraId="6F70818A" w14:textId="77777777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 stratified by time zones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2EEBE58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considered </w:t>
      </w:r>
      <w:r w:rsidR="00A35993">
        <w:t>for inclusion</w:t>
      </w:r>
      <w:r>
        <w:t xml:space="preserve">, </w:t>
      </w:r>
      <w:r w:rsidR="00A35993">
        <w:t xml:space="preserve">our analysis </w:t>
      </w:r>
      <w:r>
        <w:t>require</w:t>
      </w:r>
      <w:r w:rsidR="00A35993">
        <w:t>s</w:t>
      </w:r>
      <w:r>
        <w:t xml:space="preserve"> that the origin and destination time zones differ 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</w:t>
      </w:r>
      <w:proofErr w:type="spellStart"/>
      <w:r>
        <w:t>chronoacupressure</w:t>
      </w:r>
      <w:proofErr w:type="spellEnd"/>
      <w:r>
        <w:t xml:space="preserve">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Discussion</w:t>
      </w:r>
    </w:p>
    <w:p w14:paraId="5B61EBC6" w14:textId="7C0B1D6F" w:rsidR="00FC5C97" w:rsidRDefault="009F1FC7" w:rsidP="002472C7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816119">
        <w:t xml:space="preserve"> including </w:t>
      </w:r>
      <w:r>
        <w:t xml:space="preserve">demographics, and environmental factors. </w:t>
      </w:r>
      <w:r w:rsidR="00816119">
        <w:t xml:space="preserve">We don’t care! We capture point usage data and complement it with </w:t>
      </w:r>
      <w:r>
        <w:t xml:space="preserve">a </w:t>
      </w:r>
      <w:r w:rsidR="00996835">
        <w:t>well-defined</w:t>
      </w:r>
      <w:r>
        <w:t xml:space="preserve"> survey </w:t>
      </w:r>
      <w:r w:rsidR="00816119">
        <w:t xml:space="preserve">that </w:t>
      </w:r>
      <w:r>
        <w:t>circumvents these limitations</w:t>
      </w:r>
      <w:r w:rsidR="00816119">
        <w:t xml:space="preserve">. Our bottom line is in the results. At this point, the data is sparse. Once we have </w:t>
      </w:r>
      <w:r w:rsidR="00B913B6">
        <w:t>a statistically valid data set, we will know for sure whether our theory has real world benefits.</w:t>
      </w:r>
      <w:r w:rsidR="00816119">
        <w:t xml:space="preserve"> 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652433A5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lastRenderedPageBreak/>
        <w:t>References</w:t>
      </w:r>
    </w:p>
    <w:p w14:paraId="012F9FC5" w14:textId="57BCC6A9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>
          <w:rPr>
            <w:rStyle w:val="Hyperlink"/>
          </w:rPr>
          <w:t>https://doi.org/10.1080/07420520701791505</w:t>
        </w:r>
      </w:hyperlink>
    </w:p>
    <w:p w14:paraId="1B1101AA" w14:textId="0C63478E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Panda, S. (2022). Foundations of circadian medicine. </w:t>
      </w:r>
      <w:proofErr w:type="spellStart"/>
      <w:r>
        <w:rPr>
          <w:color w:val="333333"/>
        </w:rPr>
        <w:t>PLoS</w:t>
      </w:r>
      <w:proofErr w:type="spellEnd"/>
      <w:r>
        <w:rPr>
          <w:color w:val="333333"/>
        </w:rPr>
        <w:t xml:space="preserve"> Biology, 20(3), e3001567. </w:t>
      </w:r>
      <w:hyperlink r:id="rId24" w:tgtFrame="_blank" w:history="1">
        <w:r>
          <w:rPr>
            <w:rStyle w:val="Hyperlink"/>
          </w:rPr>
          <w:t>https://doi.org/10.1371/journal.pbio.3001567</w:t>
        </w:r>
      </w:hyperlink>
    </w:p>
    <w:p w14:paraId="767999F7" w14:textId="7264497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S., &amp; </w:t>
      </w: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K.I. (2019). The mammalian circadian timing system and the suprachiasmatic nucleus as its pacemaker. Biology, 8(1), 13. </w:t>
      </w:r>
      <w:hyperlink r:id="rId25" w:tgtFrame="_blank" w:history="1">
        <w:r>
          <w:rPr>
            <w:rStyle w:val="Hyperlink"/>
          </w:rPr>
          <w:t>https://doi.org/10.3390/biology8010013</w:t>
        </w:r>
      </w:hyperlink>
    </w:p>
    <w:p w14:paraId="3214A1D0" w14:textId="3D1F3C9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Paschos</w:t>
      </w:r>
      <w:proofErr w:type="spellEnd"/>
      <w:r>
        <w:rPr>
          <w:color w:val="333333"/>
        </w:rPr>
        <w:t xml:space="preserve">, G.K., &amp; FitzGerald, G.A. (2010). Circadian clocks and vascular function. Circulation Research, 106(5), 833-841. </w:t>
      </w:r>
      <w:hyperlink r:id="rId26" w:tgtFrame="_blank" w:history="1">
        <w:r>
          <w:rPr>
            <w:rStyle w:val="Hyperlink"/>
          </w:rPr>
          <w:t>https://doi.org/10.1161/CIRCRESAHA.109.211706</w:t>
        </w:r>
      </w:hyperlink>
    </w:p>
    <w:p w14:paraId="5C907B35" w14:textId="1383AA0C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>
          <w:rPr>
            <w:rStyle w:val="Hyperlink"/>
          </w:rPr>
          <w:t>https://doi.org/10.1038/nrn1177</w:t>
        </w:r>
      </w:hyperlink>
    </w:p>
    <w:p w14:paraId="2DD38782" w14:textId="1089DA2D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Nangle</w:t>
      </w:r>
      <w:proofErr w:type="spellEnd"/>
      <w:r>
        <w:rPr>
          <w:color w:val="333333"/>
        </w:rPr>
        <w:t xml:space="preserve">, S. N., </w:t>
      </w:r>
      <w:proofErr w:type="spellStart"/>
      <w:r>
        <w:rPr>
          <w:color w:val="333333"/>
        </w:rPr>
        <w:t>Rosensweig</w:t>
      </w:r>
      <w:proofErr w:type="spellEnd"/>
      <w:r>
        <w:rPr>
          <w:color w:val="333333"/>
        </w:rPr>
        <w:t xml:space="preserve">, C., Koike, N., </w:t>
      </w:r>
      <w:proofErr w:type="spellStart"/>
      <w:r>
        <w:rPr>
          <w:color w:val="333333"/>
        </w:rPr>
        <w:t>Tei</w:t>
      </w:r>
      <w:proofErr w:type="spellEnd"/>
      <w:r>
        <w:rPr>
          <w:color w:val="333333"/>
        </w:rPr>
        <w:t xml:space="preserve">, H., Takahashi, J. S., Green, C. B., &amp; Zheng, N. (2014). Molecular assembly of the period-cryptochrome circadian transcriptional repressor complex. </w:t>
      </w:r>
      <w:proofErr w:type="spellStart"/>
      <w:r>
        <w:rPr>
          <w:color w:val="333333"/>
        </w:rPr>
        <w:t>eLife</w:t>
      </w:r>
      <w:proofErr w:type="spellEnd"/>
      <w:r>
        <w:rPr>
          <w:color w:val="333333"/>
        </w:rPr>
        <w:t xml:space="preserve">, 3, e03674. </w:t>
      </w:r>
      <w:hyperlink r:id="rId28" w:tgtFrame="_blank" w:history="1">
        <w:r>
          <w:rPr>
            <w:rStyle w:val="Hyperlink"/>
          </w:rPr>
          <w:t>https://doi.org/10.7554/eLife.03674</w:t>
        </w:r>
      </w:hyperlink>
    </w:p>
    <w:p w14:paraId="2702453E" w14:textId="13146596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Heyde</w:t>
      </w:r>
      <w:proofErr w:type="spellEnd"/>
      <w:r>
        <w:rPr>
          <w:color w:val="333333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>
          <w:rPr>
            <w:rStyle w:val="Hyperlink"/>
          </w:rPr>
          <w:t>https://doi.org/10.1038/s41598-019-56323-z</w:t>
        </w:r>
      </w:hyperlink>
    </w:p>
    <w:p w14:paraId="1D272C26" w14:textId="7D391CD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Huangdi </w:t>
      </w:r>
      <w:proofErr w:type="spellStart"/>
      <w:r>
        <w:rPr>
          <w:color w:val="333333"/>
        </w:rPr>
        <w:t>Neijing</w:t>
      </w:r>
      <w:proofErr w:type="spellEnd"/>
      <w:r>
        <w:rPr>
          <w:color w:val="333333"/>
        </w:rPr>
        <w:t xml:space="preserve"> (Yellow Emperor's Inner Canon). [Classical text, no online link available]</w:t>
      </w:r>
    </w:p>
    <w:p w14:paraId="02D5725E" w14:textId="2FB99295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Khoe, W.H. (1978). Treatment of jet lag syndrome by acupuncture. American Journal of Acupuncture, 6(2), 135–139.</w:t>
      </w:r>
    </w:p>
    <w:p w14:paraId="51913B57" w14:textId="001E2474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>
          <w:rPr>
            <w:rStyle w:val="Hyperlink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>
          <w:rPr>
            <w:rStyle w:val="Hyperlink"/>
          </w:rPr>
          <w:t>https://doi.org/10.3389/fnins.2024.1346635</w:t>
        </w:r>
      </w:hyperlink>
    </w:p>
    <w:p w14:paraId="16A7E73E" w14:textId="7F763465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Waterhouse, J., et al. (2007). Jet lag: trends and coping strategies. The Lancet, 369(9567), 1117–1129.</w:t>
      </w:r>
      <w:r w:rsidR="00E13649">
        <w:rPr>
          <w:color w:val="333333"/>
        </w:rPr>
        <w:t xml:space="preserve"> </w:t>
      </w:r>
      <w:hyperlink r:id="rId32" w:history="1">
        <w:r w:rsidR="00E13649" w:rsidRPr="009E54C8">
          <w:rPr>
            <w:rStyle w:val="Hyperlink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1624F1"/>
    <w:rsid w:val="00183635"/>
    <w:rsid w:val="00184300"/>
    <w:rsid w:val="001E5E8B"/>
    <w:rsid w:val="001F0C7C"/>
    <w:rsid w:val="00241BBC"/>
    <w:rsid w:val="002472C7"/>
    <w:rsid w:val="00282421"/>
    <w:rsid w:val="002B2BF6"/>
    <w:rsid w:val="002C6BFD"/>
    <w:rsid w:val="00340901"/>
    <w:rsid w:val="003701DA"/>
    <w:rsid w:val="003A03B9"/>
    <w:rsid w:val="003A4179"/>
    <w:rsid w:val="003A4A25"/>
    <w:rsid w:val="003E5C13"/>
    <w:rsid w:val="004212FA"/>
    <w:rsid w:val="00451265"/>
    <w:rsid w:val="004945D4"/>
    <w:rsid w:val="004C38B5"/>
    <w:rsid w:val="004E31CD"/>
    <w:rsid w:val="00533157"/>
    <w:rsid w:val="00550043"/>
    <w:rsid w:val="00553AD1"/>
    <w:rsid w:val="00554F93"/>
    <w:rsid w:val="00556FE1"/>
    <w:rsid w:val="005C0AAB"/>
    <w:rsid w:val="006839DA"/>
    <w:rsid w:val="006A0647"/>
    <w:rsid w:val="006C31E6"/>
    <w:rsid w:val="007260A8"/>
    <w:rsid w:val="007559D3"/>
    <w:rsid w:val="007679E5"/>
    <w:rsid w:val="00816119"/>
    <w:rsid w:val="00817D48"/>
    <w:rsid w:val="00831A78"/>
    <w:rsid w:val="0087264F"/>
    <w:rsid w:val="008758D1"/>
    <w:rsid w:val="008822BB"/>
    <w:rsid w:val="008B5B74"/>
    <w:rsid w:val="009106AA"/>
    <w:rsid w:val="00935A09"/>
    <w:rsid w:val="00953615"/>
    <w:rsid w:val="00996835"/>
    <w:rsid w:val="009F1FC7"/>
    <w:rsid w:val="00A30DD4"/>
    <w:rsid w:val="00A35993"/>
    <w:rsid w:val="00A41386"/>
    <w:rsid w:val="00A928E5"/>
    <w:rsid w:val="00AB1B0D"/>
    <w:rsid w:val="00AE4918"/>
    <w:rsid w:val="00B16DE3"/>
    <w:rsid w:val="00B27759"/>
    <w:rsid w:val="00B76942"/>
    <w:rsid w:val="00B913B6"/>
    <w:rsid w:val="00BF00F9"/>
    <w:rsid w:val="00CC51F4"/>
    <w:rsid w:val="00CD29C9"/>
    <w:rsid w:val="00D215CF"/>
    <w:rsid w:val="00D56D41"/>
    <w:rsid w:val="00D623EC"/>
    <w:rsid w:val="00D93B00"/>
    <w:rsid w:val="00DA1EB6"/>
    <w:rsid w:val="00DC1CA3"/>
    <w:rsid w:val="00E078C4"/>
    <w:rsid w:val="00E13649"/>
    <w:rsid w:val="00E370E9"/>
    <w:rsid w:val="00E75183"/>
    <w:rsid w:val="00EB0D76"/>
    <w:rsid w:val="00F003F0"/>
    <w:rsid w:val="00F21092"/>
    <w:rsid w:val="00F64A94"/>
    <w:rsid w:val="00F654E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1637</Words>
  <Characters>9331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4</cp:revision>
  <cp:lastPrinted>2026-01-23T23:44:00Z</cp:lastPrinted>
  <dcterms:created xsi:type="dcterms:W3CDTF">2026-01-23T23:36:00Z</dcterms:created>
  <dcterms:modified xsi:type="dcterms:W3CDTF">2026-01-23T23:49:00Z</dcterms:modified>
</cp:coreProperties>
</file>