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Autospacing="1" w:afterAutospacing="1"/>
        <w:contextualSpacing/>
        <w:jc w:val="center"/>
        <w:outlineLvl w:val="0"/>
        <w:rPr/>
      </w:pPr>
      <w:r>
        <w:rPr>
          <w:b/>
          <w:bCs/>
          <w:sz w:val="32"/>
          <w:szCs w:val="48"/>
        </w:rPr>
        <w:t xml:space="preserve">Study About the </w:t>
      </w:r>
      <w:r>
        <w:rPr>
          <w:b/>
          <w:bCs/>
          <w:sz w:val="32"/>
          <w:szCs w:val="48"/>
        </w:rPr>
        <w:t>Languages Matched By Regular Expressions</w:t>
      </w:r>
    </w:p>
    <w:p>
      <w:pPr>
        <w:pStyle w:val="Normal"/>
        <w:spacing w:beforeAutospacing="1" w:afterAutospacing="1"/>
        <w:contextualSpacing/>
        <w:rPr/>
      </w:pPr>
      <w:r>
        <w:rPr/>
        <w:t>----------------------------------------------------------------------------------------------------------------------------------------------</w:t>
      </w:r>
    </w:p>
    <w:p>
      <w:pPr>
        <w:pStyle w:val="Normal"/>
        <w:numPr>
          <w:ilvl w:val="0"/>
          <w:numId w:val="0"/>
        </w:numPr>
        <w:spacing w:beforeAutospacing="1" w:afterAutospacing="1"/>
        <w:contextualSpacing/>
        <w:jc w:val="center"/>
        <w:outlineLvl w:val="0"/>
        <w:rPr>
          <w:rFonts w:ascii="Calibri" w:hAnsi="Calibri"/>
          <w:b/>
          <w:b/>
          <w:bCs/>
          <w:sz w:val="32"/>
          <w:szCs w:val="48"/>
        </w:rPr>
      </w:pPr>
      <w:r>
        <w:rPr>
          <w:sz w:val="32"/>
          <w:szCs w:val="32"/>
        </w:rPr>
        <w:t xml:space="preserve">Consent Form </w:t>
      </w:r>
    </w:p>
    <w:p>
      <w:pPr>
        <w:pStyle w:val="Normal"/>
        <w:spacing w:beforeAutospacing="1" w:afterAutospacing="1"/>
        <w:contextualSpacing/>
        <w:rPr/>
      </w:pPr>
      <w:r>
        <w:rPr/>
        <w:t>----------------------------------------------------------------------------------------------------------------------------------------------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b/>
          <w:bCs/>
        </w:rPr>
        <w:t>Lead Researcher:</w:t>
      </w:r>
      <w:r>
        <w:rPr/>
        <w:t xml:space="preserve"> Francisco Servant, fservant@vt.edu </w:t>
      </w:r>
    </w:p>
    <w:p>
      <w:pPr>
        <w:pStyle w:val="Normal"/>
        <w:spacing w:beforeAutospacing="1" w:afterAutospacing="1"/>
        <w:contextualSpacing/>
        <w:rPr/>
      </w:pPr>
      <w:r>
        <w:rPr/>
        <w:t>----------------------------------------------------------------------------------------------------------------------------------------------</w:t>
      </w:r>
    </w:p>
    <w:p>
      <w:pPr>
        <w:pStyle w:val="Normal"/>
        <w:spacing w:beforeAutospacing="1" w:afterAutospacing="1"/>
        <w:rPr>
          <w:b/>
          <w:b/>
          <w:bCs/>
        </w:rPr>
      </w:pPr>
      <w:r>
        <w:rPr>
          <w:b/>
          <w:bCs/>
        </w:rPr>
        <w:t xml:space="preserve">PLEASE NOTE: </w:t>
      </w:r>
    </w:p>
    <w:p>
      <w:pPr>
        <w:pStyle w:val="Normal"/>
        <w:spacing w:beforeAutospacing="1" w:afterAutospacing="1"/>
        <w:rPr/>
      </w:pPr>
      <w:r>
        <w:rPr/>
        <w:t xml:space="preserve">Participation in the interview/research-study is entirely voluntary and will help the researchers at VIRGINIA TECH to better understand </w:t>
      </w:r>
      <w:r>
        <w:rPr/>
        <w:t>the use of regular expressions in practice</w:t>
      </w:r>
      <w:r>
        <w:rPr/>
        <w:t>. The interview will require 30-</w:t>
      </w:r>
      <w:r>
        <w:rPr/>
        <w:t>9</w:t>
      </w:r>
      <w:r>
        <w:rPr/>
        <w:t>0 minutes of your time, and will be bound by the following stipulations:</w:t>
      </w:r>
    </w:p>
    <w:p>
      <w:pPr>
        <w:pStyle w:val="ListParagraph"/>
        <w:numPr>
          <w:ilvl w:val="0"/>
          <w:numId w:val="1"/>
        </w:numPr>
        <w:spacing w:beforeAutospacing="1" w:afterAutospacing="1"/>
        <w:rPr/>
      </w:pPr>
      <w:r>
        <w:rPr/>
        <w:t xml:space="preserve">You must be 18 years old or older and have experience with </w:t>
      </w:r>
      <w:r>
        <w:rPr/>
        <w:t>regular expressions.</w:t>
      </w:r>
    </w:p>
    <w:p>
      <w:pPr>
        <w:pStyle w:val="ListParagraph"/>
        <w:numPr>
          <w:ilvl w:val="0"/>
          <w:numId w:val="1"/>
        </w:numPr>
        <w:spacing w:beforeAutospacing="1" w:afterAutospacing="1"/>
        <w:rPr/>
      </w:pPr>
      <w:r>
        <w:rPr/>
        <w:t xml:space="preserve">Your privacy will be maintained. No personally identifiable information will be shared with third parties </w:t>
      </w:r>
      <w:r>
        <w:rPr/>
        <w:t>without your consent</w:t>
      </w:r>
      <w:r>
        <w:rPr/>
        <w:t>, nor will it be kept more than 30 days after the completion of this project.</w:t>
      </w:r>
    </w:p>
    <w:p>
      <w:pPr>
        <w:pStyle w:val="ListParagraph"/>
        <w:widowControl w:val="false"/>
        <w:numPr>
          <w:ilvl w:val="0"/>
          <w:numId w:val="1"/>
        </w:numPr>
        <w:spacing w:beforeAutospacing="1" w:afterAutospacing="1"/>
        <w:rPr/>
      </w:pPr>
      <w:r>
        <w:rPr/>
        <w:t>The content of the interview might be published and/or included in students’ thesis. Any use of data will be in anonymous form only.</w:t>
      </w:r>
    </w:p>
    <w:p>
      <w:pPr>
        <w:pStyle w:val="Normal"/>
        <w:spacing w:beforeAutospacing="1" w:afterAutospacing="1"/>
        <w:rPr>
          <w:b/>
          <w:b/>
          <w:bCs/>
        </w:rPr>
      </w:pPr>
      <w:r>
        <w:rPr>
          <w:b/>
          <w:bCs/>
        </w:rPr>
        <w:t>EXPLANATION OF BENEFITS:</w:t>
      </w:r>
    </w:p>
    <w:p>
      <w:pPr>
        <w:pStyle w:val="Normal"/>
        <w:spacing w:beforeAutospacing="1" w:afterAutospacing="1"/>
        <w:rPr/>
      </w:pPr>
      <w:r>
        <w:rPr/>
        <w:t xml:space="preserve">Your participation in the interview will aid in understanding </w:t>
      </w:r>
      <w:r>
        <w:rPr/>
        <w:t xml:space="preserve">the way software </w:t>
      </w:r>
      <w:r>
        <w:rPr/>
        <w:t xml:space="preserve">developers </w:t>
      </w:r>
      <w:r>
        <w:rPr/>
        <w:t>use regular expressions, which may lead to improvements in software security.</w:t>
      </w:r>
    </w:p>
    <w:p>
      <w:pPr>
        <w:pStyle w:val="Normal"/>
        <w:spacing w:beforeAutospacing="1" w:afterAutospacing="1"/>
        <w:rPr>
          <w:b/>
          <w:b/>
          <w:bCs/>
        </w:rPr>
      </w:pPr>
      <w:r>
        <w:rPr>
          <w:b/>
          <w:bCs/>
        </w:rPr>
        <w:t>COMPENSATION:</w:t>
      </w:r>
    </w:p>
    <w:p>
      <w:pPr>
        <w:pStyle w:val="Normal"/>
        <w:spacing w:beforeAutospacing="1" w:afterAutospacing="1"/>
        <w:rPr/>
      </w:pPr>
      <w:r>
        <w:rPr/>
        <w:t>You will receive no compensation for participating in this study.</w:t>
      </w:r>
    </w:p>
    <w:p>
      <w:pPr>
        <w:pStyle w:val="Normal"/>
        <w:spacing w:beforeAutospacing="1" w:afterAutospacing="1"/>
        <w:rPr>
          <w:b/>
          <w:b/>
          <w:bCs/>
        </w:rPr>
      </w:pPr>
      <w:r>
        <w:rPr>
          <w:b/>
          <w:bCs/>
        </w:rPr>
        <w:t xml:space="preserve">EXPLANATION OF RISKS: </w:t>
      </w:r>
    </w:p>
    <w:p>
      <w:pPr>
        <w:pStyle w:val="Normal"/>
        <w:spacing w:beforeAutospacing="1" w:afterAutospacing="1"/>
        <w:rPr/>
      </w:pPr>
      <w:r>
        <w:rPr/>
        <w:t>There are no foreseeable risks or potential harm expected regarding your participation in this study</w:t>
      </w:r>
      <w:bookmarkStart w:id="0" w:name="_GoBack"/>
      <w:bookmarkEnd w:id="0"/>
      <w:r>
        <w:rPr/>
        <w:t>.</w:t>
      </w:r>
    </w:p>
    <w:p>
      <w:pPr>
        <w:pStyle w:val="Normal"/>
        <w:spacing w:beforeAutospacing="1" w:afterAutospacing="1"/>
        <w:rPr>
          <w:b/>
          <w:b/>
          <w:bCs/>
        </w:rPr>
      </w:pPr>
      <w:r>
        <w:rPr>
          <w:b/>
          <w:bCs/>
        </w:rPr>
        <w:t>QUESTIONS &amp; CONCERNS:</w:t>
      </w:r>
    </w:p>
    <w:p>
      <w:pPr>
        <w:pStyle w:val="ListParagraph"/>
        <w:numPr>
          <w:ilvl w:val="0"/>
          <w:numId w:val="2"/>
        </w:numPr>
        <w:spacing w:beforeAutospacing="1" w:afterAutospacing="1"/>
        <w:contextualSpacing/>
        <w:rPr/>
      </w:pPr>
      <w:r>
        <w:rPr/>
        <w:t xml:space="preserve">If you have questions or concerns about this survey, you may contact Dr. Francisco Servant at </w:t>
      </w:r>
      <w:hyperlink r:id="rId2">
        <w:r>
          <w:rPr>
            <w:rStyle w:val="InternetLink"/>
          </w:rPr>
          <w:t>fservant@vt.edu</w:t>
        </w:r>
      </w:hyperlink>
    </w:p>
    <w:p>
      <w:pPr>
        <w:pStyle w:val="ListParagraph"/>
        <w:numPr>
          <w:ilvl w:val="0"/>
          <w:numId w:val="2"/>
        </w:numPr>
        <w:spacing w:beforeAutospacing="1" w:afterAutospacing="1"/>
        <w:contextualSpacing/>
        <w:rPr/>
      </w:pPr>
      <w:r>
        <w:rPr/>
        <w:t>If you have complaints or otherwise feel you have been mistreated, you may contact the IRB Chair: Dr. David Moore at (540) 231-4991.</w:t>
      </w:r>
    </w:p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contextualSpacing/>
        <w:rPr/>
      </w:pPr>
      <w:r>
        <w:rPr/>
        <w:t>----------------------------------------------------------------------------------------------------------------------------------------------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 YOU UNDERSTAND AND ACCEPT THESE TERMS? Y/N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66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3564"/>
      </w:tblGrid>
      <w:tr>
        <w:trPr/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Participant Name: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___________________________</w:t>
            </w:r>
          </w:p>
        </w:tc>
      </w:tr>
      <w:tr>
        <w:trPr/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Date: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___________________________</w:t>
            </w:r>
          </w:p>
        </w:tc>
      </w:tr>
      <w:tr>
        <w:trPr/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Signature: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___________________________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72" w:hanging="360"/>
      </w:pPr>
    </w:lvl>
    <w:lvl w:ilvl="1">
      <w:start w:val="1"/>
      <w:numFmt w:val="lowerLetter"/>
      <w:lvlText w:val="%2."/>
      <w:lvlJc w:val="left"/>
      <w:pPr>
        <w:ind w:left="1492" w:hanging="360"/>
      </w:pPr>
    </w:lvl>
    <w:lvl w:ilvl="2">
      <w:start w:val="1"/>
      <w:numFmt w:val="lowerRoman"/>
      <w:lvlText w:val="%3."/>
      <w:lvlJc w:val="right"/>
      <w:pPr>
        <w:ind w:left="2212" w:hanging="180"/>
      </w:pPr>
    </w:lvl>
    <w:lvl w:ilvl="3">
      <w:start w:val="1"/>
      <w:numFmt w:val="decimal"/>
      <w:lvlText w:val="%4."/>
      <w:lvlJc w:val="left"/>
      <w:pPr>
        <w:ind w:left="2932" w:hanging="360"/>
      </w:pPr>
    </w:lvl>
    <w:lvl w:ilvl="4">
      <w:start w:val="1"/>
      <w:numFmt w:val="lowerLetter"/>
      <w:lvlText w:val="%5."/>
      <w:lvlJc w:val="left"/>
      <w:pPr>
        <w:ind w:left="3652" w:hanging="360"/>
      </w:pPr>
    </w:lvl>
    <w:lvl w:ilvl="5">
      <w:start w:val="1"/>
      <w:numFmt w:val="lowerRoman"/>
      <w:lvlText w:val="%6."/>
      <w:lvlJc w:val="right"/>
      <w:pPr>
        <w:ind w:left="4372" w:hanging="180"/>
      </w:pPr>
    </w:lvl>
    <w:lvl w:ilvl="6">
      <w:start w:val="1"/>
      <w:numFmt w:val="decimal"/>
      <w:lvlText w:val="%7."/>
      <w:lvlJc w:val="left"/>
      <w:pPr>
        <w:ind w:left="5092" w:hanging="360"/>
      </w:pPr>
    </w:lvl>
    <w:lvl w:ilvl="7">
      <w:start w:val="1"/>
      <w:numFmt w:val="lowerLetter"/>
      <w:lvlText w:val="%8."/>
      <w:lvlJc w:val="left"/>
      <w:pPr>
        <w:ind w:left="5812" w:hanging="360"/>
      </w:pPr>
    </w:lvl>
    <w:lvl w:ilvl="8">
      <w:start w:val="1"/>
      <w:numFmt w:val="lowerRoman"/>
      <w:lvlText w:val="%9."/>
      <w:lvlJc w:val="right"/>
      <w:pPr>
        <w:ind w:left="653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4edc"/>
    <w:pPr>
      <w:pBdr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pBdr>
      <w:shd w:val="clear" w:color="auto" w:fill="FBE4D5" w:themeFill="accent2" w:themeFillTint="33"/>
      <w:spacing w:lineRule="auto" w:line="268" w:before="480" w:after="100"/>
      <w:contextualSpacing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iCs/>
      <w:color w:val="823B0B" w:themeColor="accent2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4edc"/>
    <w:rPr>
      <w:rFonts w:ascii="Calibri Light" w:hAnsi="Calibri Light" w:eastAsia="" w:cs="Times New Roman" w:asciiTheme="majorHAnsi" w:cstheme="majorBidi" w:eastAsiaTheme="majorEastAsia" w:hAnsiTheme="majorHAnsi"/>
      <w:iCs/>
      <w:color w:val="823B0B" w:themeColor="accent2" w:themeShade="7f"/>
      <w:sz w:val="28"/>
      <w:shd w:fill="FBE4D5" w:val="clear"/>
    </w:rPr>
  </w:style>
  <w:style w:type="character" w:styleId="InternetLink">
    <w:name w:val="Internet Link"/>
    <w:basedOn w:val="DefaultParagraphFont"/>
    <w:uiPriority w:val="99"/>
    <w:unhideWhenUsed/>
    <w:rsid w:val="00546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2413e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60c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60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servant@v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2</Pages>
  <Words>252</Words>
  <Characters>1998</Characters>
  <CharactersWithSpaces>2221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2017-10-24T23:44:00Z</dcterms:created>
  <dc:creator>Khadijah AlSafwan</dc:creator>
  <dc:description/>
  <dc:language>en-US</dc:language>
  <cp:lastModifiedBy/>
  <dcterms:modified xsi:type="dcterms:W3CDTF">2018-02-28T13:03:08Z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