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p>
    <w:p>
      <w:pPr>
        <w:pStyle w:val="Author"/>
      </w:pPr>
      <w:r>
        <w:t xml:space="preserve">Silje</w:t>
      </w:r>
      <w:r>
        <w:t xml:space="preserve"> </w:t>
      </w:r>
      <w:r>
        <w:t xml:space="preserve">Marie</w:t>
      </w:r>
      <w:r>
        <w:t xml:space="preserve"> </w:t>
      </w:r>
      <w:r>
        <w:t xml:space="preserve">Danielsen</w:t>
      </w:r>
    </w:p>
    <w:p>
      <w:r>
        <w:br w:type="page"/>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og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mfl.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r>
        <w:br w:type="page"/>
      </w:r>
    </w:p>
    <w:p>
      <w:pPr>
        <w:pStyle w:val="BodyText"/>
      </w:pPr>
      <w:r>
        <w:t xml:space="preserve">##Problemer Hoveddel</w:t>
      </w:r>
    </w:p>
    <w:p>
      <w:pPr>
        <w:pStyle w:val="Heading1"/>
      </w:pPr>
      <w:bookmarkStart w:id="22" w:name="publication-bias"/>
      <w:r>
        <w:rPr>
          <w:b/>
        </w:rP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rPr>
          <w:b/>
        </w:rP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Nelson, og Simonsohn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rPr>
          <w:b/>
        </w:rP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konklusjone man ender med.</w:t>
      </w:r>
      <w:r>
        <w:t xml:space="preserve">(Young, Ioannidis, og Al-Ubaydli 2008)</w:t>
      </w:r>
    </w:p>
    <w:p>
      <w:pPr>
        <w:pStyle w:val="Heading1"/>
      </w:pPr>
      <w:bookmarkStart w:id="25" w:name="the-replication-crisis"/>
      <w:r>
        <w:rPr>
          <w:b/>
        </w:rP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Nelson, og Simonsohn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r>
        <w:br w:type="page"/>
      </w:r>
    </w:p>
    <w:p>
      <w:pPr>
        <w:pStyle w:val="Heading1"/>
      </w:pPr>
      <w:bookmarkStart w:id="26" w:name="avslutning"/>
      <w:r>
        <w:t xml:space="preserve">Avslutning</w:t>
      </w:r>
      <w:bookmarkEnd w:id="26"/>
    </w:p>
    <w:p>
      <w:pPr>
        <w:pStyle w:val="Heading1"/>
      </w:pPr>
      <w:bookmarkStart w:id="27" w:name="terminal-window"/>
      <w:r>
        <w:t xml:space="preserve">Terminal window</w:t>
      </w:r>
      <w:bookmarkEnd w:id="27"/>
    </w:p>
    <w:p>
      <w:pPr>
        <w:pStyle w:val="FirstParagraph"/>
      </w:pPr>
      <w:r>
        <w:t xml:space="preserve">Under her kommer en Git instruksjonsliste fra Jørn</w:t>
      </w:r>
      <w:r>
        <w:t xml:space="preserve"> </w:t>
      </w:r>
      <w:r>
        <w:t xml:space="preserve">Grolemund og Wickham (udatert)</w:t>
      </w:r>
    </w:p>
    <w:p>
      <w:pPr>
        <w:pStyle w:val="Compact"/>
        <w:numPr>
          <w:numId w:val="1001"/>
          <w:ilvl w:val="0"/>
        </w:numPr>
      </w:pPr>
      <w:r>
        <w:t xml:space="preserve">git clone</w:t>
      </w:r>
      <w:r>
        <w:t xml:space="preserve"> </w:t>
      </w:r>
      <w:hyperlink r:id="rId28">
        <w:r>
          <w:rPr>
            <w:rStyle w:val="Hyperlink"/>
          </w:rPr>
          <w:t xml:space="preserve">https://github.com/SBrynjelsen/Masterr</w:t>
        </w:r>
      </w:hyperlink>
    </w:p>
    <w:p>
      <w:pPr>
        <w:pStyle w:val="Compact"/>
        <w:numPr>
          <w:numId w:val="1001"/>
          <w:ilvl w:val="0"/>
        </w:numPr>
      </w:pPr>
      <w:r>
        <w:t xml:space="preserve">git branch jih</w:t>
      </w:r>
    </w:p>
    <w:p>
      <w:pPr>
        <w:pStyle w:val="Compact"/>
        <w:numPr>
          <w:numId w:val="1001"/>
          <w:ilvl w:val="0"/>
        </w:numPr>
      </w:pPr>
      <w:r>
        <w:t xml:space="preserve">git checkout jih</w:t>
      </w:r>
    </w:p>
    <w:p>
      <w:pPr>
        <w:pStyle w:val="Compact"/>
        <w:numPr>
          <w:numId w:val="1001"/>
          <w:ilvl w:val="0"/>
        </w:numPr>
      </w:pPr>
      <w:r>
        <w:t xml:space="preserve">Gjør endringer</w:t>
      </w:r>
    </w:p>
    <w:p>
      <w:pPr>
        <w:pStyle w:val="Compact"/>
        <w:numPr>
          <w:numId w:val="1001"/>
          <w:ilvl w:val="0"/>
        </w:numPr>
      </w:pPr>
      <w:r>
        <w:t xml:space="preserve">git add –all</w:t>
      </w:r>
    </w:p>
    <w:p>
      <w:pPr>
        <w:pStyle w:val="Compact"/>
        <w:numPr>
          <w:numId w:val="1001"/>
          <w:ilvl w:val="0"/>
        </w:numPr>
      </w:pPr>
      <w:r>
        <w:t xml:space="preserve">git commit -m</w:t>
      </w:r>
      <w:r>
        <w:t xml:space="preserve"> </w:t>
      </w:r>
      <w:r>
        <w:t xml:space="preserve">“</w:t>
      </w:r>
      <w:r>
        <w:t xml:space="preserve">første commit jih</w:t>
      </w:r>
      <w:r>
        <w:t xml:space="preserve">”</w:t>
      </w:r>
    </w:p>
    <w:p>
      <w:pPr>
        <w:pStyle w:val="Compact"/>
        <w:numPr>
          <w:numId w:val="1001"/>
          <w:ilvl w:val="0"/>
        </w:numPr>
      </w:pPr>
      <w:r>
        <w:t xml:space="preserve">git push –set-upstream origin jih</w:t>
      </w:r>
    </w:p>
    <w:p>
      <w:pPr>
        <w:pStyle w:val="Compact"/>
        <w:numPr>
          <w:numId w:val="1001"/>
          <w:ilvl w:val="0"/>
        </w:numPr>
      </w:pPr>
      <w:r>
        <w:t xml:space="preserve">git push</w:t>
      </w:r>
    </w:p>
    <w:p>
      <w:pPr>
        <w:pStyle w:val="Heading2"/>
      </w:pPr>
      <w:bookmarkStart w:id="29" w:name="referanser"/>
      <w:r>
        <w:t xml:space="preserve">Referanser</w:t>
      </w:r>
      <w:bookmarkEnd w:id="29"/>
    </w:p>
    <w:bookmarkStart w:id="39" w:name="refs"/>
    <w:bookmarkStart w:id="30" w:name="ref-bollen2015"/>
    <w:p>
      <w:pPr>
        <w:pStyle w:val="Bibliography"/>
      </w:pPr>
      <w:r>
        <w:t xml:space="preserve">Bollen, Kenneth, John T. Cacioppo, Jon A. Krosnick, James L. Olds, og Robert M. Kaplan. 2015. «Social, Behavioral, and Economic Sciences Perspectives on Robust and Reliable Science». Report of the Subcommittee on Replicability in Science Advisory Committee to the National Science Foundation Directorate for Social, Behavioral, and Economic Sciences. NSF.</w:t>
      </w:r>
    </w:p>
    <w:bookmarkEnd w:id="30"/>
    <w:bookmarkStart w:id="31" w:name="ref-grolemund"/>
    <w:p>
      <w:pPr>
        <w:pStyle w:val="Bibliography"/>
      </w:pPr>
      <w:r>
        <w:t xml:space="preserve">Grolemund, Garrett, og Hadley Wickham. udatert.</w:t>
      </w:r>
      <w:r>
        <w:t xml:space="preserve"> </w:t>
      </w:r>
      <w:r>
        <w:rPr>
          <w:i/>
        </w:rPr>
        <w:t xml:space="preserve">R for Data Science</w:t>
      </w:r>
      <w:r>
        <w:t xml:space="preserve">.</w:t>
      </w:r>
    </w:p>
    <w:bookmarkEnd w:id="31"/>
    <w:bookmarkStart w:id="33" w:name="ref-peng2011"/>
    <w:p>
      <w:pPr>
        <w:pStyle w:val="Bibliography"/>
      </w:pPr>
      <w:r>
        <w:t xml:space="preserve">Peng, Roger D. 2011. «Reproducible Research in Computational Science».</w:t>
      </w:r>
      <w:r>
        <w:t xml:space="preserve"> </w:t>
      </w:r>
      <w:r>
        <w:rPr>
          <w:i/>
        </w:rPr>
        <w:t xml:space="preserve">Science</w:t>
      </w:r>
      <w:r>
        <w:t xml:space="preserve"> </w:t>
      </w:r>
      <w:r>
        <w:t xml:space="preserve">334 (6060): 1226–7.</w:t>
      </w:r>
      <w:r>
        <w:t xml:space="preserve"> </w:t>
      </w:r>
      <w:hyperlink r:id="rId32">
        <w:r>
          <w:rPr>
            <w:rStyle w:val="Hyperlink"/>
          </w:rPr>
          <w:t xml:space="preserve">https://doi.org/10.1126/science.1213847</w:t>
        </w:r>
      </w:hyperlink>
      <w:r>
        <w:t xml:space="preserve">.</w:t>
      </w:r>
    </w:p>
    <w:bookmarkEnd w:id="33"/>
    <w:bookmarkStart w:id="34" w:name="ref-rosenthal1979"/>
    <w:p>
      <w:pPr>
        <w:pStyle w:val="Bibliography"/>
      </w:pPr>
      <w:r>
        <w:t xml:space="preserve">Rosenthal, R. 1979. «The File Drawer Problem and Tolerance for Null Results.» I, 86:638–41. Psychological Bulletin.</w:t>
      </w:r>
    </w:p>
    <w:bookmarkEnd w:id="34"/>
    <w:bookmarkStart w:id="36" w:name="ref-simmons2011"/>
    <w:p>
      <w:pPr>
        <w:pStyle w:val="Bibliography"/>
      </w:pPr>
      <w:r>
        <w:t xml:space="preserve">Simmons, Joseph P., Leif D. Nelson, og Uri Simonsohn. 2011. «False-Positive Psychology: Undisclosed Flexibility in Data Collection and Analysis Allows Presenting Anything as Significant».</w:t>
      </w:r>
      <w:r>
        <w:t xml:space="preserve"> </w:t>
      </w:r>
      <w:r>
        <w:rPr>
          <w:i/>
        </w:rPr>
        <w:t xml:space="preserve">Psychological Science</w:t>
      </w:r>
      <w:r>
        <w:t xml:space="preserve"> </w:t>
      </w:r>
      <w:r>
        <w:t xml:space="preserve">22 (11): 1359–66.</w:t>
      </w:r>
      <w:r>
        <w:t xml:space="preserve"> </w:t>
      </w:r>
      <w:hyperlink r:id="rId35">
        <w:r>
          <w:rPr>
            <w:rStyle w:val="Hyperlink"/>
          </w:rPr>
          <w:t xml:space="preserve">https://doi.org/10.1177/0956797611417632</w:t>
        </w:r>
      </w:hyperlink>
      <w:r>
        <w:t xml:space="preserve">.</w:t>
      </w:r>
    </w:p>
    <w:bookmarkEnd w:id="36"/>
    <w:bookmarkStart w:id="38" w:name="ref-young2008"/>
    <w:p>
      <w:pPr>
        <w:pStyle w:val="Bibliography"/>
      </w:pPr>
      <w:r>
        <w:t xml:space="preserve">Young, Neal S, John P. A Ioannidis, og Omar Al-Ubaydli. 2008. «Why Current Publication Practices May Distort Science».</w:t>
      </w:r>
      <w:r>
        <w:t xml:space="preserve"> </w:t>
      </w:r>
      <w:r>
        <w:rPr>
          <w:i/>
        </w:rPr>
        <w:t xml:space="preserve">PLoS Medicine</w:t>
      </w:r>
      <w:r>
        <w:t xml:space="preserve"> </w:t>
      </w:r>
      <w:r>
        <w:t xml:space="preserve">5 (10): e201.</w:t>
      </w:r>
      <w:r>
        <w:t xml:space="preserve"> </w:t>
      </w:r>
      <w:hyperlink r:id="rId37">
        <w:r>
          <w:rPr>
            <w:rStyle w:val="Hyperlink"/>
          </w:rPr>
          <w:t xml:space="preserve">https://doi.org/10.1371/journal.pmed.0050201</w:t>
        </w:r>
      </w:hyperlink>
      <w:r>
        <w:t xml:space="preserve">.</w:t>
      </w:r>
    </w:p>
    <w:bookmarkEnd w:id="38"/>
    <w:bookmarkEnd w:id="39"/>
    <w:p>
      <w:pPr>
        <w:pStyle w:val="Heading2"/>
      </w:pPr>
      <w:bookmarkStart w:id="40" w:name="appendiks"/>
      <w:r>
        <w:t xml:space="preserve">Appendiks</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126/science.1213847" TargetMode="External" /><Relationship Type="http://schemas.openxmlformats.org/officeDocument/2006/relationships/hyperlink" Id="rId35" Target="https://doi.org/10.1177/0956797611417632" TargetMode="External" /><Relationship Type="http://schemas.openxmlformats.org/officeDocument/2006/relationships/hyperlink" Id="rId37" Target="https://doi.org/10.1371/journal.pmed.0050201" TargetMode="External" /><Relationship Type="http://schemas.openxmlformats.org/officeDocument/2006/relationships/hyperlink" Id="rId28" Target="https://github.com/SBrynjelsen/Masterr"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26/science.1213847" TargetMode="External" /><Relationship Type="http://schemas.openxmlformats.org/officeDocument/2006/relationships/hyperlink" Id="rId35" Target="https://doi.org/10.1177/0956797611417632" TargetMode="External" /><Relationship Type="http://schemas.openxmlformats.org/officeDocument/2006/relationships/hyperlink" Id="rId37" Target="https://doi.org/10.1371/journal.pmed.0050201" TargetMode="External" /><Relationship Type="http://schemas.openxmlformats.org/officeDocument/2006/relationships/hyperlink" Id="rId28" Target="https://github.com/SBrynjelsen/Maste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dc:language>nb-no</dc:language>
  <cp:keywords/>
  <dcterms:created xsi:type="dcterms:W3CDTF">2020-09-22T11:03:27Z</dcterms:created>
  <dcterms:modified xsi:type="dcterms:W3CDTF">2020-09-22T11:03:27Z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fontsize">
    <vt:lpwstr>12pt</vt:lpwstr>
  </property>
  <property fmtid="{D5CDD505-2E9C-101B-9397-08002B2CF9AE}" pid="5" name="output">
    <vt:lpwstr/>
  </property>
  <property fmtid="{D5CDD505-2E9C-101B-9397-08002B2CF9AE}" pid="6" name="subtitle">
    <vt:lpwstr>Reproduserbarhet</vt:lpwstr>
  </property>
  <property fmtid="{D5CDD505-2E9C-101B-9397-08002B2CF9AE}" pid="7" name="year">
    <vt:lpwstr>2020</vt:lpwstr>
  </property>
</Properties>
</file>