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70F2E" w14:textId="402B0459" w:rsidR="001E6DAD" w:rsidRPr="001E1ED7" w:rsidRDefault="008375E6" w:rsidP="001E1ED7">
      <w:pPr>
        <w:jc w:val="center"/>
        <w:rPr>
          <w:b/>
          <w:bCs/>
          <w:lang w:val="en-US"/>
        </w:rPr>
      </w:pPr>
      <w:r w:rsidRPr="001E1ED7">
        <w:rPr>
          <w:b/>
          <w:bCs/>
          <w:lang w:val="en-US"/>
        </w:rPr>
        <w:t xml:space="preserve">Plan to validate COVID19 models for Mexico </w:t>
      </w:r>
      <w:r w:rsidR="00C321C1" w:rsidRPr="001E1ED7">
        <w:rPr>
          <w:b/>
          <w:bCs/>
          <w:lang w:val="en-US"/>
        </w:rPr>
        <w:t xml:space="preserve">to </w:t>
      </w:r>
      <w:r w:rsidR="0029045E" w:rsidRPr="001E1ED7">
        <w:rPr>
          <w:b/>
          <w:bCs/>
          <w:lang w:val="en-US"/>
        </w:rPr>
        <w:t xml:space="preserve">Wuhan, </w:t>
      </w:r>
      <w:r w:rsidR="00C321C1" w:rsidRPr="001E1ED7">
        <w:rPr>
          <w:b/>
          <w:bCs/>
          <w:lang w:val="en-US"/>
        </w:rPr>
        <w:t>China</w:t>
      </w:r>
    </w:p>
    <w:p w14:paraId="3DE44923" w14:textId="5AEB07FE" w:rsidR="00C321C1" w:rsidRDefault="00C321C1" w:rsidP="00C321C1">
      <w:pPr>
        <w:rPr>
          <w:lang w:val="en-US"/>
        </w:rPr>
      </w:pPr>
    </w:p>
    <w:p w14:paraId="038974CC" w14:textId="0FC1CCB3" w:rsidR="001E1ED7" w:rsidRDefault="001E1ED7" w:rsidP="00C321C1">
      <w:pPr>
        <w:rPr>
          <w:lang w:val="en-US"/>
        </w:rPr>
      </w:pPr>
      <w:r>
        <w:rPr>
          <w:lang w:val="en-US"/>
        </w:rPr>
        <w:t>Plan suggested by: SC-COSMO team</w:t>
      </w:r>
      <w:r w:rsidR="00F65A1F">
        <w:rPr>
          <w:lang w:val="en-US"/>
        </w:rPr>
        <w:t>.</w:t>
      </w:r>
    </w:p>
    <w:p w14:paraId="23F3924C" w14:textId="156CA1D7" w:rsidR="001E1ED7" w:rsidRDefault="001E1ED7" w:rsidP="00C321C1">
      <w:pPr>
        <w:rPr>
          <w:lang w:val="en-US"/>
        </w:rPr>
      </w:pPr>
      <w:r>
        <w:rPr>
          <w:lang w:val="en-US"/>
        </w:rPr>
        <w:t xml:space="preserve"> </w:t>
      </w:r>
    </w:p>
    <w:p w14:paraId="059E8A79" w14:textId="7B2DB7DD" w:rsidR="001E1ED7" w:rsidRDefault="001E1ED7" w:rsidP="00C321C1">
      <w:pPr>
        <w:rPr>
          <w:lang w:val="en-US"/>
        </w:rPr>
      </w:pPr>
      <w:r>
        <w:rPr>
          <w:lang w:val="en-US"/>
        </w:rPr>
        <w:t>We suggest following existing literature for model validation.</w:t>
      </w:r>
      <w:r>
        <w:rPr>
          <w:lang w:val="en-US"/>
        </w:rPr>
        <w:fldChar w:fldCharType="begin" w:fldLock="1"/>
      </w:r>
      <w:r>
        <w:rPr>
          <w:lang w:val="en-US"/>
        </w:rPr>
        <w:instrText>ADDIN CSL_CITATION {"citationItems":[{"id":"ITEM-1","itemData":{"DOI":"10.1016/j.jval.2012.04.012","ISBN":"1098-3015","ISSN":"10983015","PMID":"22990088","abstract":"Trust and confidence are critical to the success of health care models. There are two main methods for achieving this: transparency (people can see how the model is built) and validation (how well the model reproduces reality). This report describes recommendations for achieving transparency and validation developed by a taskforce appointed by the International Society for Pharmacoeconomics and Outcomes Research and the Society for Medical Decision Making. Recommendations were developed iteratively by the authors. A nontechnical description - including model type, intended applications, funding sources, structure, intended uses, inputs, outputs, other components that determine function, and their relationships, data sources, validation methods, results, and limitations - should be made available to anyone. Technical documentation, written in sufficient detail to enable a reader with necessary expertise to evaluate the model and potentially reproduce it, should be made available openly or under agreements that protect intellectual property, at the discretion of the modelers. Validation involves face validity (wherein experts evaluate model structure, data sources, assumptions, and results), verification or internal validity (check accuracy of coding), cross validity (comparison of results with other models analyzing the same problem), external validity (comparing model results with real-world results), and predictive validity (comparing model results with prospectively observed events). The last two are the strongest form of validation. Each section of this article contains a number of recommendations that were iterated among the authors, as well as among the wider modeling taskforce, jointly set up by the International Society for Pharmacoeconomics and Outcomes Research and the Society for Medical Decision Making. ?? 2012 International Society for Pharmacoeconomics and Outcomes Research (ISPOR).","author":[{"dropping-particle":"","family":"Eddy","given":"David M.","non-dropping-particle":"","parse-names":false,"suffix":""},{"dropping-particle":"","family":"Hollingworth","given":"William","non-dropping-particle":"","parse-names":false,"suffix":""},{"dropping-particle":"","family":"Caro","given":"J. Jaime","non-dropping-particle":"","parse-names":false,"suffix":""},{"dropping-particle":"","family":"Tsevat","given":"Joel","non-dropping-particle":"","parse-names":false,"suffix":""},{"dropping-particle":"","family":"McDonald","given":"Kathryn M.","non-dropping-particle":"","parse-names":false,"suffix":""},{"dropping-particle":"","family":"Wong","given":"John B.","non-dropping-particle":"","parse-names":false,"suffix":""}],"container-title":"Medical Decision Making","id":"ITEM-1","issue":"15","issued":{"date-parts":[["2012"]]},"page":"733-743","title":"Model transparency and validation: A report of the ISPOR-SMDM modeling good research practices task force-7","type":"article-journal","volume":"32"},"uris":["http://www.mendeley.com/documents/?uuid=6c52bff4-ae39-4cf5-b1f7-657f0aef3634"]},{"id":"ITEM-2","itemData":{"DOI":"10.1111/j.1524-4733.2010.00698.x","ISBN":"1098-3015; 1524-4733","ISSN":"15244733","PMID":"20230547","abstract":"OBJECTIVES\\nModel-based cost-effectiveness analyses support decision-making. To augment model credibility, evaluation via comparison to independent, empirical studies is recommended. \\n\\nMETHODS\\nWe developed a structured reporting format for model evaluation and conducted a structured literature review to characterize current model evaluation recommendations and practices. As an illustration, we applied the reporting format to evaluate a microsimulation of human papillomavirus and cervical cancer. The model's outputs and uncertainty ranges were compared with multiple outcomes from a study of long-term progression from high-grade precancer (cervical intraepithelial neoplasia [CIN]) to cancer. Outcomes included 5 to 30-year cumulative cancer risk among women with and without appropriate CIN treatment. Consistency was measured by model ranges overlapping study confidence intervals. \\n\\nRESULTS\\nThe structured reporting format included: matching baseline characteristics and follow-up, reporting model and study uncertainty, and stating metrics of consistency for model and study results. Structured searches yielded 2963 articles with 67 meeting inclusion criteria and found variation in how current model evaluations are reported. Evaluation of the cervical cancer microsimulation, reported using the proposed format, showed a modeled cumulative risk of invasive cancer for inadequately treated women of 39.6% (30.9–49.7) at 30 years, compared with the study: 37.5% (28.4–48.3). For appropriately treated women, modeled risks were 1.0% (0.7–1.3) at 30 years, study: 1.5% (0.4–3.3). \\n\\nCONCLUSIONS\\nTo support external and projective validity, cost-effectiveness models should be iteratively evaluated as new studies become available, with reporting standardized to facilitate assessment. Such evaluations are particularly relevant for models used to conduct comparative effectiveness analyses.","author":[{"dropping-particle":"","family":"Goldhaber-Fiebert","given":"Jeremy D.","non-dropping-particle":"","parse-names":false,"suffix":""},{"dropping-particle":"","family":"Stout","given":"Natasha K.","non-dropping-particle":"","parse-names":false,"suffix":""},{"dropping-particle":"","family":"Goldie","given":"Sue J.","non-dropping-particle":"","parse-names":false,"suffix":""}],"container-title":"Value in Health","id":"ITEM-2","issue":"5","issued":{"date-parts":[["2010"]]},"page":"667-674","title":"Empirically evaluating decision-analytic models","type":"article-journal","volume":"13"},"uris":["http://www.mendeley.com/documents/?uuid=61d50d21-b68b-4f06-8c58-7ff0d3b474e8"]},{"id":"ITEM-3","itemData":{"author":[{"dropping-particle":"","family":"Alarid-Escudero","given":"Fernando","non-dropping-particle":"","parse-names":false,"suffix":""},{"dropping-particle":"","family":"Gulati","given":"Roman","non-dropping-particle":"","parse-names":false,"suffix":""},{"dropping-particle":"","family":"Rutter","given":"Carolyn M","non-dropping-particle":"","parse-names":false,"suffix":""}],"container-title":"Complex Systems and Population Health: A Primer","editor":[{"dropping-particle":"","family":"Apostolopoulos","given":"Yorghos","non-dropping-particle":"","parse-names":false,"suffix":""},{"dropping-particle":"","family":"Lich","given":"Kristen Hassmiller","non-dropping-particle":"","parse-names":false,"suffix":""},{"dropping-particle":"","family":"Lemke","given":"Michael K.","non-dropping-particle":"","parse-names":false,"suffix":""}],"id":"ITEM-3","issued":{"date-parts":[["2019"]]},"page":"1-13","publisher":"Oxford University Press","title":"Validation of Microsimulation Models Used for Population Health Policy","type":"chapter"},"uris":["http://www.mendeley.com/documents/?uuid=ef6c82dd-fa7e-4477-acca-bba77bf9f6b9"]}],"mendeley":{"formattedCitation":"&lt;sup&gt;1–3&lt;/sup&gt;","plainTextFormattedCitation":"1–3","previouslyFormattedCitation":"&lt;sup&gt;1–3&lt;/sup&gt;"},"properties":{"noteIndex":0},"schema":"https://github.com/citation-style-language/schema/raw/master/csl-citation.json"}</w:instrText>
      </w:r>
      <w:r>
        <w:rPr>
          <w:lang w:val="en-US"/>
        </w:rPr>
        <w:fldChar w:fldCharType="separate"/>
      </w:r>
      <w:r w:rsidRPr="001E1ED7">
        <w:rPr>
          <w:noProof/>
          <w:vertAlign w:val="superscript"/>
          <w:lang w:val="en-US"/>
        </w:rPr>
        <w:t>1–3</w:t>
      </w:r>
      <w:r>
        <w:rPr>
          <w:lang w:val="en-US"/>
        </w:rPr>
        <w:fldChar w:fldCharType="end"/>
      </w:r>
    </w:p>
    <w:p w14:paraId="414DA621" w14:textId="77777777" w:rsidR="001E1ED7" w:rsidRPr="0029045E" w:rsidRDefault="001E1ED7" w:rsidP="00C321C1">
      <w:pPr>
        <w:rPr>
          <w:lang w:val="en-US"/>
        </w:rPr>
      </w:pPr>
    </w:p>
    <w:p w14:paraId="216490F5" w14:textId="3C3A7015" w:rsidR="00C321C1" w:rsidRPr="0029045E" w:rsidRDefault="00C321C1" w:rsidP="00C321C1">
      <w:pPr>
        <w:rPr>
          <w:b/>
          <w:bCs/>
          <w:lang w:val="en-US"/>
        </w:rPr>
      </w:pPr>
      <w:r w:rsidRPr="0029045E">
        <w:rPr>
          <w:b/>
          <w:bCs/>
          <w:lang w:val="en-US"/>
        </w:rPr>
        <w:t>Data needs</w:t>
      </w:r>
      <w:r w:rsidR="0029045E" w:rsidRPr="0029045E">
        <w:rPr>
          <w:b/>
          <w:bCs/>
          <w:lang w:val="en-US"/>
        </w:rPr>
        <w:t xml:space="preserve"> with their corresponding sources</w:t>
      </w:r>
      <w:r w:rsidRPr="0029045E">
        <w:rPr>
          <w:b/>
          <w:bCs/>
          <w:lang w:val="en-US"/>
        </w:rPr>
        <w:t>:</w:t>
      </w:r>
    </w:p>
    <w:p w14:paraId="3B21CE58" w14:textId="3BE3D28E" w:rsidR="00C321C1" w:rsidRDefault="00C321C1" w:rsidP="00C321C1">
      <w:pPr>
        <w:pStyle w:val="ListParagraph"/>
        <w:numPr>
          <w:ilvl w:val="0"/>
          <w:numId w:val="2"/>
        </w:numPr>
        <w:rPr>
          <w:lang w:val="en-US"/>
        </w:rPr>
      </w:pPr>
      <w:r w:rsidRPr="00C321C1">
        <w:rPr>
          <w:lang w:val="en-US"/>
        </w:rPr>
        <w:t>We need date of first case</w:t>
      </w:r>
      <w:r>
        <w:rPr>
          <w:lang w:val="en-US"/>
        </w:rPr>
        <w:t xml:space="preserve"> (ideally, symptoms)</w:t>
      </w:r>
      <w:r w:rsidRPr="00C321C1">
        <w:rPr>
          <w:lang w:val="en-US"/>
        </w:rPr>
        <w:t xml:space="preserve"> and age of </w:t>
      </w:r>
      <w:r>
        <w:rPr>
          <w:lang w:val="en-US"/>
        </w:rPr>
        <w:t>first case</w:t>
      </w:r>
    </w:p>
    <w:p w14:paraId="2E115326" w14:textId="432C0EFC" w:rsidR="00C321C1" w:rsidRDefault="00C321C1" w:rsidP="00C321C1">
      <w:pPr>
        <w:pStyle w:val="ListParagraph"/>
        <w:numPr>
          <w:ilvl w:val="0"/>
          <w:numId w:val="2"/>
        </w:numPr>
        <w:rPr>
          <w:lang w:val="en-US"/>
        </w:rPr>
      </w:pPr>
      <w:r>
        <w:rPr>
          <w:lang w:val="en-US"/>
        </w:rPr>
        <w:t xml:space="preserve">List of NPIs, date when they started these NPIs and some measures of effectiveness </w:t>
      </w:r>
    </w:p>
    <w:p w14:paraId="37D6228C" w14:textId="6E329AB3" w:rsidR="00C321C1" w:rsidRDefault="00C321C1" w:rsidP="00C321C1">
      <w:pPr>
        <w:pStyle w:val="ListParagraph"/>
        <w:numPr>
          <w:ilvl w:val="0"/>
          <w:numId w:val="2"/>
        </w:numPr>
        <w:rPr>
          <w:lang w:val="en-US"/>
        </w:rPr>
      </w:pPr>
      <w:r>
        <w:rPr>
          <w:lang w:val="en-US"/>
        </w:rPr>
        <w:t xml:space="preserve">China demographics, population density </w:t>
      </w:r>
    </w:p>
    <w:p w14:paraId="2665C994" w14:textId="35CF3D57" w:rsidR="00C321C1" w:rsidRDefault="00C321C1" w:rsidP="00C321C1">
      <w:pPr>
        <w:pStyle w:val="ListParagraph"/>
        <w:numPr>
          <w:ilvl w:val="1"/>
          <w:numId w:val="2"/>
        </w:numPr>
        <w:rPr>
          <w:lang w:val="en-US"/>
        </w:rPr>
      </w:pPr>
      <w:r>
        <w:rPr>
          <w:lang w:val="en-US"/>
        </w:rPr>
        <w:t>Urban population density</w:t>
      </w:r>
    </w:p>
    <w:p w14:paraId="037B9CE4" w14:textId="47473BB5" w:rsidR="00C321C1" w:rsidRDefault="00C321C1" w:rsidP="00C321C1">
      <w:pPr>
        <w:pStyle w:val="ListParagraph"/>
        <w:numPr>
          <w:ilvl w:val="1"/>
          <w:numId w:val="2"/>
        </w:numPr>
        <w:rPr>
          <w:lang w:val="en-US"/>
        </w:rPr>
      </w:pPr>
      <w:r>
        <w:rPr>
          <w:lang w:val="en-US"/>
        </w:rPr>
        <w:t>Rural population density</w:t>
      </w:r>
    </w:p>
    <w:p w14:paraId="7126ABB9" w14:textId="78C2C6F0" w:rsidR="00C321C1" w:rsidRDefault="00C321C1" w:rsidP="00C321C1">
      <w:pPr>
        <w:pStyle w:val="ListParagraph"/>
        <w:numPr>
          <w:ilvl w:val="1"/>
          <w:numId w:val="2"/>
        </w:numPr>
        <w:rPr>
          <w:lang w:val="en-US"/>
        </w:rPr>
      </w:pPr>
      <w:r w:rsidRPr="00C321C1">
        <w:rPr>
          <w:lang w:val="en-US"/>
        </w:rPr>
        <w:t>Or Urban area and rural area</w:t>
      </w:r>
      <w:r>
        <w:rPr>
          <w:lang w:val="en-US"/>
        </w:rPr>
        <w:t>, f</w:t>
      </w:r>
      <w:r w:rsidRPr="00C321C1">
        <w:rPr>
          <w:lang w:val="en-US"/>
        </w:rPr>
        <w:t>raction of population urban</w:t>
      </w:r>
    </w:p>
    <w:p w14:paraId="6356E982" w14:textId="39916769" w:rsidR="00C321C1" w:rsidRPr="00C321C1" w:rsidRDefault="00C321C1" w:rsidP="00C321C1">
      <w:pPr>
        <w:pStyle w:val="ListParagraph"/>
        <w:numPr>
          <w:ilvl w:val="0"/>
          <w:numId w:val="2"/>
        </w:numPr>
        <w:rPr>
          <w:lang w:val="en-US"/>
        </w:rPr>
      </w:pPr>
      <w:r>
        <w:rPr>
          <w:lang w:val="en-US"/>
        </w:rPr>
        <w:t>China population life tables</w:t>
      </w:r>
    </w:p>
    <w:p w14:paraId="6E367612" w14:textId="1A3905C8" w:rsidR="00C321C1" w:rsidRDefault="00C321C1" w:rsidP="00C321C1">
      <w:pPr>
        <w:pStyle w:val="ListParagraph"/>
        <w:numPr>
          <w:ilvl w:val="0"/>
          <w:numId w:val="2"/>
        </w:numPr>
        <w:rPr>
          <w:lang w:val="en-US"/>
        </w:rPr>
      </w:pPr>
      <w:r>
        <w:rPr>
          <w:lang w:val="en-US"/>
        </w:rPr>
        <w:t xml:space="preserve">Case series </w:t>
      </w:r>
    </w:p>
    <w:p w14:paraId="189F8CF2" w14:textId="6EA20C65" w:rsidR="00C321C1" w:rsidRDefault="00C321C1" w:rsidP="00C321C1">
      <w:pPr>
        <w:pStyle w:val="ListParagraph"/>
        <w:numPr>
          <w:ilvl w:val="0"/>
          <w:numId w:val="2"/>
        </w:numPr>
        <w:rPr>
          <w:lang w:val="en-US"/>
        </w:rPr>
      </w:pPr>
      <w:r>
        <w:rPr>
          <w:lang w:val="en-US"/>
        </w:rPr>
        <w:t xml:space="preserve">Death series </w:t>
      </w:r>
    </w:p>
    <w:p w14:paraId="59C26BDC" w14:textId="38CC4F6C" w:rsidR="00C321C1" w:rsidRDefault="00C321C1" w:rsidP="00C321C1">
      <w:pPr>
        <w:pStyle w:val="ListParagraph"/>
        <w:numPr>
          <w:ilvl w:val="0"/>
          <w:numId w:val="2"/>
        </w:numPr>
        <w:rPr>
          <w:lang w:val="en-US"/>
        </w:rPr>
      </w:pPr>
      <w:r>
        <w:rPr>
          <w:lang w:val="en-US"/>
        </w:rPr>
        <w:t>Hospitalization series</w:t>
      </w:r>
    </w:p>
    <w:p w14:paraId="3E8DB383" w14:textId="6924794F" w:rsidR="00C321C1" w:rsidRDefault="00C321C1" w:rsidP="00C321C1">
      <w:pPr>
        <w:pStyle w:val="ListParagraph"/>
        <w:numPr>
          <w:ilvl w:val="0"/>
          <w:numId w:val="2"/>
        </w:numPr>
        <w:rPr>
          <w:lang w:val="en-US"/>
        </w:rPr>
      </w:pPr>
      <w:r>
        <w:rPr>
          <w:lang w:val="en-US"/>
        </w:rPr>
        <w:t>Testing series</w:t>
      </w:r>
    </w:p>
    <w:p w14:paraId="374ECA07" w14:textId="0C47BE2E" w:rsidR="00C321C1" w:rsidRDefault="00C321C1" w:rsidP="00C321C1">
      <w:pPr>
        <w:pStyle w:val="ListParagraph"/>
        <w:numPr>
          <w:ilvl w:val="0"/>
          <w:numId w:val="2"/>
        </w:numPr>
        <w:rPr>
          <w:lang w:val="en-US"/>
        </w:rPr>
      </w:pPr>
      <w:r>
        <w:rPr>
          <w:lang w:val="en-US"/>
        </w:rPr>
        <w:t>Positivity rate</w:t>
      </w:r>
    </w:p>
    <w:p w14:paraId="53E16A9A" w14:textId="77777777" w:rsidR="00C321C1" w:rsidRDefault="00C321C1" w:rsidP="00C321C1">
      <w:pPr>
        <w:rPr>
          <w:lang w:val="en-US"/>
        </w:rPr>
      </w:pPr>
    </w:p>
    <w:p w14:paraId="37579C04" w14:textId="13E9768B" w:rsidR="00C321C1" w:rsidRDefault="00C321C1" w:rsidP="00C321C1">
      <w:pPr>
        <w:rPr>
          <w:b/>
          <w:bCs/>
          <w:lang w:val="en-US"/>
        </w:rPr>
      </w:pPr>
      <w:r w:rsidRPr="00C321C1">
        <w:rPr>
          <w:b/>
          <w:bCs/>
          <w:lang w:val="en-US"/>
        </w:rPr>
        <w:t xml:space="preserve">Implementation of </w:t>
      </w:r>
      <w:r w:rsidR="0029045E">
        <w:rPr>
          <w:b/>
          <w:bCs/>
          <w:lang w:val="en-US"/>
        </w:rPr>
        <w:t xml:space="preserve">external </w:t>
      </w:r>
      <w:r w:rsidRPr="00C321C1">
        <w:rPr>
          <w:b/>
          <w:bCs/>
          <w:lang w:val="en-US"/>
        </w:rPr>
        <w:t>validation</w:t>
      </w:r>
    </w:p>
    <w:p w14:paraId="2CA7D14B" w14:textId="0D96B9EC" w:rsidR="00C321C1" w:rsidRDefault="00C321C1" w:rsidP="00C321C1">
      <w:pPr>
        <w:pStyle w:val="ListParagraph"/>
        <w:numPr>
          <w:ilvl w:val="0"/>
          <w:numId w:val="2"/>
        </w:numPr>
        <w:rPr>
          <w:lang w:val="en-US"/>
        </w:rPr>
      </w:pPr>
      <w:r w:rsidRPr="00C321C1">
        <w:rPr>
          <w:lang w:val="en-US"/>
        </w:rPr>
        <w:t>Ada</w:t>
      </w:r>
      <w:r>
        <w:rPr>
          <w:lang w:val="en-US"/>
        </w:rPr>
        <w:t>pt models to Wuhan’s context</w:t>
      </w:r>
    </w:p>
    <w:p w14:paraId="36E6F7DD" w14:textId="2E2DB0EC" w:rsidR="00C321C1" w:rsidRDefault="00C321C1" w:rsidP="00C321C1">
      <w:pPr>
        <w:pStyle w:val="ListParagraph"/>
        <w:numPr>
          <w:ilvl w:val="0"/>
          <w:numId w:val="2"/>
        </w:numPr>
        <w:rPr>
          <w:lang w:val="en-US"/>
        </w:rPr>
      </w:pPr>
      <w:r>
        <w:rPr>
          <w:lang w:val="en-US"/>
        </w:rPr>
        <w:t>Calibrate model to early epidemic (i.e., right before NPIs got implemented). Similar to Mexico, calibrate to right before March 20</w:t>
      </w:r>
      <w:r w:rsidRPr="00C321C1">
        <w:rPr>
          <w:vertAlign w:val="superscript"/>
          <w:lang w:val="en-US"/>
        </w:rPr>
        <w:t>th</w:t>
      </w:r>
    </w:p>
    <w:p w14:paraId="5A4F6ECE" w14:textId="728DDA77" w:rsidR="00C321C1" w:rsidRDefault="0029045E" w:rsidP="00C321C1">
      <w:pPr>
        <w:pStyle w:val="ListParagraph"/>
        <w:numPr>
          <w:ilvl w:val="0"/>
          <w:numId w:val="2"/>
        </w:numPr>
        <w:rPr>
          <w:lang w:val="en-US"/>
        </w:rPr>
      </w:pPr>
      <w:r>
        <w:rPr>
          <w:lang w:val="en-US"/>
        </w:rPr>
        <w:t>External v</w:t>
      </w:r>
      <w:r w:rsidR="00C321C1">
        <w:rPr>
          <w:lang w:val="en-US"/>
        </w:rPr>
        <w:t>alidation is to determine how close the model predicts the observed epidemic after NPIs got implemented (i.e., whether model uncertainty bounds including extrapolation uncertainty include the observed series and their uncertainties)</w:t>
      </w:r>
    </w:p>
    <w:p w14:paraId="160B0C08" w14:textId="77777777" w:rsidR="0029045E" w:rsidRDefault="0029045E" w:rsidP="0029045E">
      <w:pPr>
        <w:rPr>
          <w:lang w:val="en-US"/>
        </w:rPr>
      </w:pPr>
    </w:p>
    <w:p w14:paraId="47030CD4" w14:textId="33E029CF" w:rsidR="0029045E" w:rsidRPr="001E1ED7" w:rsidRDefault="0029045E" w:rsidP="0029045E">
      <w:pPr>
        <w:rPr>
          <w:b/>
          <w:bCs/>
          <w:lang w:val="en-US"/>
        </w:rPr>
      </w:pPr>
      <w:r w:rsidRPr="001E1ED7">
        <w:rPr>
          <w:b/>
          <w:bCs/>
          <w:lang w:val="en-US"/>
        </w:rPr>
        <w:t>Within Mexico validation</w:t>
      </w:r>
    </w:p>
    <w:p w14:paraId="39B0AFE2" w14:textId="0C5DAEF5" w:rsidR="0029045E" w:rsidRPr="0029045E" w:rsidRDefault="0029045E" w:rsidP="0029045E">
      <w:pPr>
        <w:pStyle w:val="ListParagraph"/>
        <w:numPr>
          <w:ilvl w:val="0"/>
          <w:numId w:val="2"/>
        </w:numPr>
        <w:rPr>
          <w:lang w:val="en-US"/>
        </w:rPr>
      </w:pPr>
      <w:r w:rsidRPr="0029045E">
        <w:rPr>
          <w:lang w:val="en-US"/>
        </w:rPr>
        <w:t>Predi</w:t>
      </w:r>
      <w:r>
        <w:rPr>
          <w:lang w:val="en-US"/>
        </w:rPr>
        <w:t>c</w:t>
      </w:r>
      <w:r w:rsidRPr="0029045E">
        <w:rPr>
          <w:lang w:val="en-US"/>
        </w:rPr>
        <w:t>t</w:t>
      </w:r>
      <w:r>
        <w:rPr>
          <w:lang w:val="en-US"/>
        </w:rPr>
        <w:t xml:space="preserve"> hospitalizations and deaths, to evaluate uncertainty and transferability of using evidence from other sources not Mexican-specific</w:t>
      </w:r>
    </w:p>
    <w:p w14:paraId="78295AE3" w14:textId="77777777" w:rsidR="0029045E" w:rsidRPr="0029045E" w:rsidRDefault="0029045E" w:rsidP="00C321C1"/>
    <w:p w14:paraId="23698A0C" w14:textId="1F50B8D6" w:rsidR="00C321C1" w:rsidRDefault="00C321C1" w:rsidP="00C321C1">
      <w:pPr>
        <w:rPr>
          <w:b/>
          <w:bCs/>
          <w:lang w:val="en-US"/>
        </w:rPr>
      </w:pPr>
      <w:r w:rsidRPr="00C321C1">
        <w:rPr>
          <w:b/>
          <w:bCs/>
          <w:lang w:val="en-US"/>
        </w:rPr>
        <w:t>References for model validation</w:t>
      </w:r>
    </w:p>
    <w:p w14:paraId="732B0869" w14:textId="6E3ED2E6" w:rsidR="001E1ED7" w:rsidRPr="001E1ED7" w:rsidRDefault="001E1ED7" w:rsidP="001E1ED7">
      <w:pPr>
        <w:widowControl w:val="0"/>
        <w:autoSpaceDE w:val="0"/>
        <w:autoSpaceDN w:val="0"/>
        <w:adjustRightInd w:val="0"/>
        <w:ind w:left="640" w:hanging="640"/>
        <w:rPr>
          <w:rFonts w:ascii="Calibri" w:hAnsi="Calibri" w:cs="Calibri"/>
          <w:noProof/>
          <w:lang w:val="en-US"/>
        </w:rPr>
      </w:pPr>
      <w:r>
        <w:rPr>
          <w:b/>
          <w:bCs/>
          <w:lang w:val="en-US"/>
        </w:rPr>
        <w:fldChar w:fldCharType="begin" w:fldLock="1"/>
      </w:r>
      <w:r>
        <w:rPr>
          <w:b/>
          <w:bCs/>
          <w:lang w:val="en-US"/>
        </w:rPr>
        <w:instrText xml:space="preserve">ADDIN Mendeley Bibliography CSL_BIBLIOGRAPHY </w:instrText>
      </w:r>
      <w:r>
        <w:rPr>
          <w:b/>
          <w:bCs/>
          <w:lang w:val="en-US"/>
        </w:rPr>
        <w:fldChar w:fldCharType="separate"/>
      </w:r>
      <w:r w:rsidRPr="001E1ED7">
        <w:rPr>
          <w:rFonts w:ascii="Calibri" w:hAnsi="Calibri" w:cs="Calibri"/>
          <w:noProof/>
          <w:lang w:val="en-US"/>
        </w:rPr>
        <w:t>1.</w:t>
      </w:r>
      <w:r w:rsidRPr="001E1ED7">
        <w:rPr>
          <w:rFonts w:ascii="Calibri" w:hAnsi="Calibri" w:cs="Calibri"/>
          <w:noProof/>
          <w:lang w:val="en-US"/>
        </w:rPr>
        <w:tab/>
        <w:t xml:space="preserve">Eddy, D. M. </w:t>
      </w:r>
      <w:r w:rsidRPr="001E1ED7">
        <w:rPr>
          <w:rFonts w:ascii="Calibri" w:hAnsi="Calibri" w:cs="Calibri"/>
          <w:i/>
          <w:iCs/>
          <w:noProof/>
          <w:lang w:val="en-US"/>
        </w:rPr>
        <w:t>et al.</w:t>
      </w:r>
      <w:r w:rsidRPr="001E1ED7">
        <w:rPr>
          <w:rFonts w:ascii="Calibri" w:hAnsi="Calibri" w:cs="Calibri"/>
          <w:noProof/>
          <w:lang w:val="en-US"/>
        </w:rPr>
        <w:t xml:space="preserve"> Model transparency and validation: A report of the ISPOR-SMDM modeling good research practices task force-7. </w:t>
      </w:r>
      <w:r w:rsidRPr="001E1ED7">
        <w:rPr>
          <w:rFonts w:ascii="Calibri" w:hAnsi="Calibri" w:cs="Calibri"/>
          <w:i/>
          <w:iCs/>
          <w:noProof/>
          <w:lang w:val="en-US"/>
        </w:rPr>
        <w:t>Med. Decis. Mak.</w:t>
      </w:r>
      <w:r w:rsidRPr="001E1ED7">
        <w:rPr>
          <w:rFonts w:ascii="Calibri" w:hAnsi="Calibri" w:cs="Calibri"/>
          <w:noProof/>
          <w:lang w:val="en-US"/>
        </w:rPr>
        <w:t xml:space="preserve"> </w:t>
      </w:r>
      <w:r w:rsidRPr="001E1ED7">
        <w:rPr>
          <w:rFonts w:ascii="Calibri" w:hAnsi="Calibri" w:cs="Calibri"/>
          <w:b/>
          <w:bCs/>
          <w:noProof/>
          <w:lang w:val="en-US"/>
        </w:rPr>
        <w:t>32</w:t>
      </w:r>
      <w:r w:rsidRPr="001E1ED7">
        <w:rPr>
          <w:rFonts w:ascii="Calibri" w:hAnsi="Calibri" w:cs="Calibri"/>
          <w:noProof/>
          <w:lang w:val="en-US"/>
        </w:rPr>
        <w:t>, 733–743 (2012).</w:t>
      </w:r>
    </w:p>
    <w:p w14:paraId="54EE99DB" w14:textId="77777777" w:rsidR="001E1ED7" w:rsidRPr="001E1ED7" w:rsidRDefault="001E1ED7" w:rsidP="001E1ED7">
      <w:pPr>
        <w:widowControl w:val="0"/>
        <w:autoSpaceDE w:val="0"/>
        <w:autoSpaceDN w:val="0"/>
        <w:adjustRightInd w:val="0"/>
        <w:ind w:left="640" w:hanging="640"/>
        <w:rPr>
          <w:rFonts w:ascii="Calibri" w:hAnsi="Calibri" w:cs="Calibri"/>
          <w:noProof/>
          <w:lang w:val="en-US"/>
        </w:rPr>
      </w:pPr>
      <w:r w:rsidRPr="001E1ED7">
        <w:rPr>
          <w:rFonts w:ascii="Calibri" w:hAnsi="Calibri" w:cs="Calibri"/>
          <w:noProof/>
          <w:lang w:val="en-US"/>
        </w:rPr>
        <w:t>2.</w:t>
      </w:r>
      <w:r w:rsidRPr="001E1ED7">
        <w:rPr>
          <w:rFonts w:ascii="Calibri" w:hAnsi="Calibri" w:cs="Calibri"/>
          <w:noProof/>
          <w:lang w:val="en-US"/>
        </w:rPr>
        <w:tab/>
        <w:t xml:space="preserve">Goldhaber-Fiebert, J. D., Stout, N. K. &amp; Goldie, S. J. Empirically evaluating decision-analytic models. </w:t>
      </w:r>
      <w:r w:rsidRPr="001E1ED7">
        <w:rPr>
          <w:rFonts w:ascii="Calibri" w:hAnsi="Calibri" w:cs="Calibri"/>
          <w:i/>
          <w:iCs/>
          <w:noProof/>
          <w:lang w:val="en-US"/>
        </w:rPr>
        <w:t>Value Heal.</w:t>
      </w:r>
      <w:r w:rsidRPr="001E1ED7">
        <w:rPr>
          <w:rFonts w:ascii="Calibri" w:hAnsi="Calibri" w:cs="Calibri"/>
          <w:noProof/>
          <w:lang w:val="en-US"/>
        </w:rPr>
        <w:t xml:space="preserve"> </w:t>
      </w:r>
      <w:r w:rsidRPr="001E1ED7">
        <w:rPr>
          <w:rFonts w:ascii="Calibri" w:hAnsi="Calibri" w:cs="Calibri"/>
          <w:b/>
          <w:bCs/>
          <w:noProof/>
          <w:lang w:val="en-US"/>
        </w:rPr>
        <w:t>13</w:t>
      </w:r>
      <w:r w:rsidRPr="001E1ED7">
        <w:rPr>
          <w:rFonts w:ascii="Calibri" w:hAnsi="Calibri" w:cs="Calibri"/>
          <w:noProof/>
          <w:lang w:val="en-US"/>
        </w:rPr>
        <w:t>, 667–674 (2010).</w:t>
      </w:r>
    </w:p>
    <w:p w14:paraId="60914E2F" w14:textId="77777777" w:rsidR="001E1ED7" w:rsidRPr="001E1ED7" w:rsidRDefault="001E1ED7" w:rsidP="001E1ED7">
      <w:pPr>
        <w:widowControl w:val="0"/>
        <w:autoSpaceDE w:val="0"/>
        <w:autoSpaceDN w:val="0"/>
        <w:adjustRightInd w:val="0"/>
        <w:ind w:left="640" w:hanging="640"/>
        <w:rPr>
          <w:rFonts w:ascii="Calibri" w:hAnsi="Calibri" w:cs="Calibri"/>
          <w:noProof/>
        </w:rPr>
      </w:pPr>
      <w:r w:rsidRPr="001E1ED7">
        <w:rPr>
          <w:rFonts w:ascii="Calibri" w:hAnsi="Calibri" w:cs="Calibri"/>
          <w:noProof/>
          <w:lang w:val="en-US"/>
        </w:rPr>
        <w:t>3.</w:t>
      </w:r>
      <w:r w:rsidRPr="001E1ED7">
        <w:rPr>
          <w:rFonts w:ascii="Calibri" w:hAnsi="Calibri" w:cs="Calibri"/>
          <w:noProof/>
          <w:lang w:val="en-US"/>
        </w:rPr>
        <w:tab/>
        <w:t xml:space="preserve">Alarid-Escudero, F., Gulati, R. &amp; Rutter, C. M. Validation of Microsimulation Models Used for Population Health Policy. in </w:t>
      </w:r>
      <w:r w:rsidRPr="001E1ED7">
        <w:rPr>
          <w:rFonts w:ascii="Calibri" w:hAnsi="Calibri" w:cs="Calibri"/>
          <w:i/>
          <w:iCs/>
          <w:noProof/>
          <w:lang w:val="en-US"/>
        </w:rPr>
        <w:t>Complex Systems and Population Health: A Primer</w:t>
      </w:r>
      <w:r w:rsidRPr="001E1ED7">
        <w:rPr>
          <w:rFonts w:ascii="Calibri" w:hAnsi="Calibri" w:cs="Calibri"/>
          <w:noProof/>
          <w:lang w:val="en-US"/>
        </w:rPr>
        <w:t xml:space="preserve"> (eds. Apostolopoulos, Y., Lich, K. H. &amp; Lemke, M. K.) 1–13 (Oxford University Press, 2019).</w:t>
      </w:r>
    </w:p>
    <w:p w14:paraId="76CFB0B2" w14:textId="417142EE" w:rsidR="0029045E" w:rsidRPr="001E1ED7" w:rsidRDefault="001E1ED7" w:rsidP="001E1ED7">
      <w:pPr>
        <w:rPr>
          <w:b/>
          <w:bCs/>
          <w:lang w:val="en-US"/>
        </w:rPr>
      </w:pPr>
      <w:r>
        <w:rPr>
          <w:b/>
          <w:bCs/>
          <w:lang w:val="en-US"/>
        </w:rPr>
        <w:fldChar w:fldCharType="end"/>
      </w:r>
    </w:p>
    <w:sectPr w:rsidR="0029045E" w:rsidRPr="001E1ED7" w:rsidSect="00387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D0D14"/>
    <w:multiLevelType w:val="hybridMultilevel"/>
    <w:tmpl w:val="459E45D6"/>
    <w:lvl w:ilvl="0" w:tplc="45982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6C77F0C"/>
    <w:multiLevelType w:val="hybridMultilevel"/>
    <w:tmpl w:val="4E94F9C8"/>
    <w:lvl w:ilvl="0" w:tplc="4F2243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C1"/>
    <w:rsid w:val="001E1ED7"/>
    <w:rsid w:val="001E6DAD"/>
    <w:rsid w:val="0029045E"/>
    <w:rsid w:val="003872D8"/>
    <w:rsid w:val="008375E6"/>
    <w:rsid w:val="00A657C7"/>
    <w:rsid w:val="00C321C1"/>
    <w:rsid w:val="00F65A1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0018"/>
  <w15:chartTrackingRefBased/>
  <w15:docId w15:val="{FD9F538B-A54D-5540-AAA7-7C172A32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8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5922-977D-E246-BF38-3E767210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Alarid Escudero</dc:creator>
  <cp:keywords/>
  <dc:description/>
  <cp:lastModifiedBy>Fernando Alarid Escudero</cp:lastModifiedBy>
  <cp:revision>4</cp:revision>
  <dcterms:created xsi:type="dcterms:W3CDTF">2020-04-13T15:26:00Z</dcterms:created>
  <dcterms:modified xsi:type="dcterms:W3CDTF">2020-04-13T16:13:00Z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59984352-aa38-3b5d-bf44-1695347f6b3a</vt:lpwstr>
  </property>
  <property fmtid="{D5CDD505-2E9C-101B-9397-08002B2CF9AE}" pid="24" name="Mendeley Citation Style_1">
    <vt:lpwstr>http://www.zotero.org/styles/nature</vt:lpwstr>
  </property>
</Properties>
</file>