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4h5axdd8a" w:id="0"/>
      <w:bookmarkEnd w:id="0"/>
      <w:r w:rsidDel="00000000" w:rsidR="00000000" w:rsidRPr="00000000">
        <w:rPr>
          <w:rtl w:val="0"/>
        </w:rPr>
        <w:t xml:space="preserve">AOP Operational Definitions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External reviewer proposal; non-canonical; no source text modified.</w:t>
      </w:r>
    </w:p>
    <w:p w:rsidR="00000000" w:rsidDel="00000000" w:rsidP="00000000" w:rsidRDefault="00000000" w:rsidRPr="00000000" w14:paraId="00000004">
      <w:pPr>
        <w:rPr/>
      </w:pPr>
      <w:r w:rsidDel="00000000" w:rsidR="00000000" w:rsidRPr="00000000">
        <w:rPr>
          <w:rtl w:val="0"/>
        </w:rPr>
        <w:t xml:space="preserve">Authorship: OpenAI / ChatGPT reviewer (OAI).</w:t>
      </w:r>
    </w:p>
    <w:p w:rsidR="00000000" w:rsidDel="00000000" w:rsidP="00000000" w:rsidRDefault="00000000" w:rsidRPr="00000000" w14:paraId="00000005">
      <w:pPr>
        <w:rPr/>
      </w:pPr>
      <w:r w:rsidDel="00000000" w:rsidR="00000000" w:rsidRPr="00000000">
        <w:rPr>
          <w:rtl w:val="0"/>
        </w:rPr>
        <w:t xml:space="preserve">Target source: AOP canon v1.16, with the supplied v1.5 manuscript used as historical comparison.</w:t>
      </w:r>
    </w:p>
    <w:p w:rsidR="00000000" w:rsidDel="00000000" w:rsidP="00000000" w:rsidRDefault="00000000" w:rsidRPr="00000000" w14:paraId="00000006">
      <w:pPr>
        <w:rPr/>
      </w:pPr>
      <w:r w:rsidDel="00000000" w:rsidR="00000000" w:rsidRPr="00000000">
        <w:rPr>
          <w:rtl w:val="0"/>
        </w:rPr>
        <w:t xml:space="preserve">Purpose: Repair the mismatch between AOP's conceptual labels and the quantities currently used to represent them.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3u8lucnxxoda" w:id="1"/>
      <w:bookmarkEnd w:id="1"/>
      <w:r w:rsidDel="00000000" w:rsidR="00000000" w:rsidRPr="00000000">
        <w:rPr>
          <w:rtl w:val="0"/>
        </w:rPr>
        <w:t xml:space="preserve">Executive recommendation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AOP should retain Boundary, Drive, Memory, and Integration as conceptual targets, but it should stop presenting each target as if it were exhausted by one scalar. The scientifically stable architecture is a four-target measurement panel. Each target is represented by one or more declared proxies, and every claim is conditional on a common declaration tuple specifying the system, scale, time grain, horizon, partition, intervention class, and viability family.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change does not dissolve the four-fold idea. It makes the idea measurable without allowing a proxy to inherit properties it does not possess. The revised paper may still use the familiar four names in prose, but tables, figures, and formal claims must state the operational flavor actually measured.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umhmr7q36816" w:id="2"/>
      <w:bookmarkEnd w:id="2"/>
      <w:r w:rsidDel="00000000" w:rsidR="00000000" w:rsidRPr="00000000">
        <w:rPr>
          <w:rtl w:val="0"/>
        </w:rPr>
        <w:t xml:space="preserve">1. Governing distinction: target versus proxy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target is the persistence-relevant concept AOP wants to characterize. A proxy is a mathematical quantity that captures one aspect of that target under declared assumptions. No proxy is permitted to define the target by fiat unless the manuscript explicitly announces a stipulative definition and accepts its consequences.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Required rule: every formal statement must be readable in the form, “Within declaration D and model class M, proxy P measures aspect A of target T.” Claims may not silently move from P to all of 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j7r8eypmista" w:id="3"/>
      <w:bookmarkEnd w:id="3"/>
      <w:r w:rsidDel="00000000" w:rsidR="00000000" w:rsidRPr="00000000">
        <w:rPr>
          <w:rtl w:val="0"/>
        </w:rPr>
        <w:t xml:space="preserve">2. Common declaration tuple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Every AOP analysis should declare the tuple: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 = (S, E, F, P, delta-t, tau, R, V, I, 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 system variables included in the description.</w:t>
      </w:r>
    </w:p>
    <w:p w:rsidR="00000000" w:rsidDel="00000000" w:rsidP="00000000" w:rsidRDefault="00000000" w:rsidRPr="00000000" w14:paraId="0000001B">
      <w:pPr>
        <w:rPr/>
      </w:pPr>
      <w:r w:rsidDel="00000000" w:rsidR="00000000" w:rsidRPr="00000000">
        <w:rPr>
          <w:rtl w:val="0"/>
        </w:rPr>
        <w:t xml:space="preserve">E: environmental variables included or treated as exogenous.</w:t>
      </w:r>
    </w:p>
    <w:p w:rsidR="00000000" w:rsidDel="00000000" w:rsidP="00000000" w:rsidRDefault="00000000" w:rsidRPr="00000000" w14:paraId="0000001C">
      <w:pPr>
        <w:rPr/>
      </w:pPr>
      <w:r w:rsidDel="00000000" w:rsidR="00000000" w:rsidRPr="00000000">
        <w:rPr>
          <w:rtl w:val="0"/>
        </w:rPr>
        <w:t xml:space="preserve">F: interface variables or physical boundary representation.</w:t>
      </w:r>
    </w:p>
    <w:p w:rsidR="00000000" w:rsidDel="00000000" w:rsidP="00000000" w:rsidRDefault="00000000" w:rsidRPr="00000000" w14:paraId="0000001D">
      <w:pPr>
        <w:rPr/>
      </w:pPr>
      <w:r w:rsidDel="00000000" w:rsidR="00000000" w:rsidRPr="00000000">
        <w:rPr>
          <w:rtl w:val="0"/>
        </w:rPr>
        <w:t xml:space="preserve">P: component partition and any inside/outside cut.</w:t>
      </w:r>
    </w:p>
    <w:p w:rsidR="00000000" w:rsidDel="00000000" w:rsidP="00000000" w:rsidRDefault="00000000" w:rsidRPr="00000000" w14:paraId="0000001E">
      <w:pPr>
        <w:rPr/>
      </w:pPr>
      <w:r w:rsidDel="00000000" w:rsidR="00000000" w:rsidRPr="00000000">
        <w:rPr>
          <w:rtl w:val="0"/>
        </w:rPr>
        <w:t xml:space="preserve">delta-t: temporal sampling grain.</w:t>
      </w:r>
    </w:p>
    <w:p w:rsidR="00000000" w:rsidDel="00000000" w:rsidP="00000000" w:rsidRDefault="00000000" w:rsidRPr="00000000" w14:paraId="0000001F">
      <w:pPr>
        <w:rPr/>
      </w:pPr>
      <w:r w:rsidDel="00000000" w:rsidR="00000000" w:rsidRPr="00000000">
        <w:rPr>
          <w:rtl w:val="0"/>
        </w:rPr>
        <w:t xml:space="preserve">tau: observation and viability horizon.</w:t>
      </w:r>
    </w:p>
    <w:p w:rsidR="00000000" w:rsidDel="00000000" w:rsidP="00000000" w:rsidRDefault="00000000" w:rsidRPr="00000000" w14:paraId="00000020">
      <w:pPr>
        <w:rPr/>
      </w:pPr>
      <w:r w:rsidDel="00000000" w:rsidR="00000000" w:rsidRPr="00000000">
        <w:rPr>
          <w:rtl w:val="0"/>
        </w:rPr>
        <w:t xml:space="preserve">R: time-reversal convention, including treatment of odd-parity variables.</w:t>
      </w:r>
    </w:p>
    <w:p w:rsidR="00000000" w:rsidDel="00000000" w:rsidP="00000000" w:rsidRDefault="00000000" w:rsidRPr="00000000" w14:paraId="00000021">
      <w:pPr>
        <w:rPr/>
      </w:pPr>
      <w:r w:rsidDel="00000000" w:rsidR="00000000" w:rsidRPr="00000000">
        <w:rPr>
          <w:rtl w:val="0"/>
        </w:rPr>
        <w:t xml:space="preserve">V: viability functional or bounded family of functionals.</w:t>
      </w:r>
    </w:p>
    <w:p w:rsidR="00000000" w:rsidDel="00000000" w:rsidP="00000000" w:rsidRDefault="00000000" w:rsidRPr="00000000" w14:paraId="00000022">
      <w:pPr>
        <w:rPr/>
      </w:pPr>
      <w:r w:rsidDel="00000000" w:rsidR="00000000" w:rsidRPr="00000000">
        <w:rPr>
          <w:rtl w:val="0"/>
        </w:rPr>
        <w:t xml:space="preserve">I: admissible intervention class and invariants held fixed.</w:t>
      </w:r>
    </w:p>
    <w:p w:rsidR="00000000" w:rsidDel="00000000" w:rsidP="00000000" w:rsidRDefault="00000000" w:rsidRPr="00000000" w14:paraId="00000023">
      <w:pPr>
        <w:rPr/>
      </w:pPr>
      <w:r w:rsidDel="00000000" w:rsidR="00000000" w:rsidRPr="00000000">
        <w:rPr>
          <w:rtl w:val="0"/>
        </w:rPr>
        <w:t xml:space="preserve">N: normalization and units used for comparison.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reported value without this tuple is not an invariant property of the system. It is a value relative to an unstated description.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435x812ezkrh" w:id="4"/>
      <w:bookmarkEnd w:id="4"/>
      <w:r w:rsidDel="00000000" w:rsidR="00000000" w:rsidRPr="00000000">
        <w:rPr>
          <w:rtl w:val="0"/>
        </w:rPr>
        <w:t xml:space="preserve">3. Boundary: use a panel, not raw mutual information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Conceptual target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Boundary is the maintained organization that distinguishes an interior from an exterior and regulates exchange across an interface.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Current proxy and its limit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I(inside; outside) measures cross-cut statistical dependence. It does not by itself measure separation, screening, impermeability, or maintenance. High mutual information can indicate organized mediation, direct leakage, common input, or external control. Low mutual information can indicate effective insulation or simple absence of interaction.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7ndwvitol8pz" w:id="5"/>
      <w:bookmarkEnd w:id="5"/>
      <w:r w:rsidDel="00000000" w:rsidR="00000000" w:rsidRPr="00000000">
        <w:rPr>
          <w:rtl w:val="0"/>
        </w:rPr>
        <w:t xml:space="preserve">Recommended boundary panel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B1 — State contrast. A declared divergence between interior and exterior state distributions, for example D_KL[p(X_in) || p_ref(X_out)] or another physically meaningful contrast.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B2 — Interface mediation. Conditional dependence after conditioning on interface variables, such as I(X_in; X_out | F). A good screening interface should reduce direct residual dependence, but interpretation remains model-specific.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B3 — Leakage or permeability. A physical flux, transition rate, conductance, diffusion coefficient, or escape probability across the interface.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B4 — Maintenance burden. Work, free-energy consumption, or entropy production required to hold the contrast against leakage over horizon tau.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B5 — Cross-boundary dependence. I(X_in; X_out), retained as a descriptive quantity and labeled exactly as dependence, not boundary strength.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Acceptance rule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paper may call a system “strongly bounded” only after specifying which of B1–B5 is high or low and why that pattern represents a boundary in the chosen model. A single value of mutual information is insufficient.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bl34b2w23e85" w:id="6"/>
      <w:bookmarkEnd w:id="6"/>
      <w:r w:rsidDel="00000000" w:rsidR="00000000" w:rsidRPr="00000000">
        <w:rPr>
          <w:rtl w:val="0"/>
        </w:rPr>
        <w:t xml:space="preserve">4. Drive: separate input, useful work, and dissipation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Conceptual target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Drive is the resource flow and irreversible activity involved in sustaining a nonequilibrium regime.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Current proxy and its limit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Entropy-production rate sigma measures trajectory irreversibility under a declared stochastic-thermodynamic description. It is not identical to free-energy throughput, exergy input, useful work, power, or housekeeping dissipation.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ju2hadyejelu" w:id="7"/>
      <w:bookmarkEnd w:id="7"/>
      <w:r w:rsidDel="00000000" w:rsidR="00000000" w:rsidRPr="00000000">
        <w:rPr>
          <w:rtl w:val="0"/>
        </w:rPr>
        <w:t xml:space="preserve">Recommended drive panel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D1 — Resource input. Energy, chemical potential, exergy, or another declared resource entering per unit time.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D2 — Useful maintained work or flux. The part of input that sustains the target process or controlled variable.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D3 — Housekeeping dissipation. The cost of maintaining a nonequilibrium steady state when that decomposition is available.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D4 — Nonadiabatic or relaxation dissipation. The cost associated with movement between states or relaxation toward a reference distribution.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D5 — Total entropy production or trajectory irreversibility. sigma = lim_(tau→infinity) D_KL(P_forward || P_reverse)/tau, with the finite-horizon version reported when stationarity is unavailable.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Naming rule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D5 is the only computed quantity, the formal axis should be labeled “Dissipation/Irreversibility,” while “Drive” remains the broader conceptual target. The manuscript may not infer high resource input or high useful work from sigma alone.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tamx37bwm4jy" w:id="8"/>
      <w:bookmarkEnd w:id="8"/>
      <w:r w:rsidDel="00000000" w:rsidR="00000000" w:rsidRPr="00000000">
        <w:rPr>
          <w:rtl w:val="0"/>
        </w:rPr>
        <w:t xml:space="preserve">5. Memory: distinguish predictive dependence from stored state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Conceptual target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Memory is persistence-relevant information carried across time by a system's organization or state.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Current proxy and its limit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Excess entropy E = I(past; future) measures past–future predictive dependence. It does not by itself measure how much information is stored in the present, how deep that memory is, whether it is accessible, or whether it is causally used for maintenance.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fygbj4ofjroe" w:id="9"/>
      <w:bookmarkEnd w:id="9"/>
      <w:r w:rsidDel="00000000" w:rsidR="00000000" w:rsidRPr="00000000">
        <w:rPr>
          <w:rtl w:val="0"/>
        </w:rPr>
        <w:t xml:space="preserve">Recommended memory panel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M1 — Predictive dependence. Excess entropy E = I(X_past; X_future).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M2 — Stored predictive state. Statistical complexity C_mu or another explicitly declared state-memory measure.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M3 — Active information storage. The incremental predictive contribution of the present state beyond current inputs or other conditioning variables.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M4 — Retention depth. A decay time, predictive-information curve, memory kernel, or horizon-dependent profile rather than a single bit count.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M5 — Semantic or load-bearing memory. The viability effect of intervening on the memory-bearing variable or mechanism under the protocol defined in the companion OAI semantic-intervention specification.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us9depeqtuo8" w:id="10"/>
      <w:bookmarkEnd w:id="10"/>
      <w:r w:rsidDel="00000000" w:rsidR="00000000" w:rsidRPr="00000000">
        <w:rPr>
          <w:rtl w:val="0"/>
        </w:rPr>
        <w:t xml:space="preserve">Drive-to-memory statement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defensible result is narrow: under a complete stationary description and a stated reversal convention, positive trajectory irreversibility implies nonzero past–future dependence. This is a floor on M1. It establishes no floor on M2–M5.</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Required terminology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paper should say “predictive dependence” when it means E. It should reserve “stored memory” for M2 or another declared storage measure.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m6vt8anlp7ne" w:id="11"/>
      <w:bookmarkEnd w:id="11"/>
      <w:r w:rsidDel="00000000" w:rsidR="00000000" w:rsidRPr="00000000">
        <w:rPr>
          <w:rtl w:val="0"/>
        </w:rPr>
        <w:t xml:space="preserve">6. Integration: distinguish dependence, synergy, and irreducibility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Conceptual target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Integration is the extent to which a system's parts form an interdependent or causally irreducible whole under a declared partition.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Current proxy and its limit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Total correlation measures multivariate dependence. It can be large for redundant copies, common-input structures, or several internally correlated modules. It therefore does not establish irreducible unity.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z00t8k9i35us" w:id="12"/>
      <w:bookmarkEnd w:id="12"/>
      <w:r w:rsidDel="00000000" w:rsidR="00000000" w:rsidRPr="00000000">
        <w:rPr>
          <w:rtl w:val="0"/>
        </w:rPr>
        <w:t xml:space="preserve">Recommended integration panel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I1 — Multivariate interdependence. Total correlation TC = sum_i H(X_i) - H(X).</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I2 — Redundancy versus synergy. O-information or a declared partial-information decomposition.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I3 — Cut irreducibility. A minimum-partition quantity, including the scoped Phi_MIP construction only within the model class for which it has been validated.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I4 — Dynamic or causal integration. A declared intervention-sensitive measure when causal closure or inseparability over time is the intended target.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I5 — Modularity and alternative decompositions. The number and stability of near-minimum cuts, because a single minimum value can hide non-unique organization.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Naming rule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AOP should label TC as “Interdependence” in formal displays. “Integration” may remain the conceptual family name, but every numerical claim must identify I1, I2, I3, I4, or I5.</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uuuxmsubz7db" w:id="13"/>
      <w:bookmarkEnd w:id="13"/>
      <w:r w:rsidDel="00000000" w:rsidR="00000000" w:rsidRPr="00000000">
        <w:rPr>
          <w:rtl w:val="0"/>
        </w:rPr>
        <w:t xml:space="preserve">7. Comparability and normalization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four targets are not automatically commensurable because their proxies can all be written with relative entropy. D5 is commonly a rate; B, M, and I quantities are commonly amounts. Their values also depend on alphabet size, model dimension, spatial grain, temporal grain, and horizon.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jez4yt5kzmd9" w:id="14"/>
      <w:bookmarkEnd w:id="14"/>
      <w:r w:rsidDel="00000000" w:rsidR="00000000" w:rsidRPr="00000000">
        <w:rPr>
          <w:rtl w:val="0"/>
        </w:rPr>
        <w:t xml:space="preserve">Required comparison protocol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Convert rates to finite-horizon amounts when plotted with information quantities, for example Sigma_tau = tau times sigma, or separate rates and amounts into different panels.</w:t>
      </w:r>
    </w:p>
    <w:p w:rsidR="00000000" w:rsidDel="00000000" w:rsidP="00000000" w:rsidRDefault="00000000" w:rsidRPr="00000000" w14:paraId="0000009A">
      <w:pPr>
        <w:rPr/>
      </w:pPr>
      <w:r w:rsidDel="00000000" w:rsidR="00000000" w:rsidRPr="00000000">
        <w:rPr>
          <w:rtl w:val="0"/>
        </w:rPr>
        <w:t xml:space="preserve">2. State units for every quantity.</w:t>
      </w:r>
    </w:p>
    <w:p w:rsidR="00000000" w:rsidDel="00000000" w:rsidP="00000000" w:rsidRDefault="00000000" w:rsidRPr="00000000" w14:paraId="0000009B">
      <w:pPr>
        <w:rPr/>
      </w:pPr>
      <w:r w:rsidDel="00000000" w:rsidR="00000000" w:rsidRPr="00000000">
        <w:rPr>
          <w:rtl w:val="0"/>
        </w:rPr>
        <w:t xml:space="preserve">3. Normalize only when the normalization has a physical or statistical interpretation.</w:t>
      </w:r>
    </w:p>
    <w:p w:rsidR="00000000" w:rsidDel="00000000" w:rsidP="00000000" w:rsidRDefault="00000000" w:rsidRPr="00000000" w14:paraId="0000009C">
      <w:pPr>
        <w:rPr/>
      </w:pPr>
      <w:r w:rsidDel="00000000" w:rsidR="00000000" w:rsidRPr="00000000">
        <w:rPr>
          <w:rtl w:val="0"/>
        </w:rPr>
        <w:t xml:space="preserve">4. Display uncertainty and estimator bias where quantities are inferred from data.</w:t>
      </w:r>
    </w:p>
    <w:p w:rsidR="00000000" w:rsidDel="00000000" w:rsidP="00000000" w:rsidRDefault="00000000" w:rsidRPr="00000000" w14:paraId="0000009D">
      <w:pPr>
        <w:rPr/>
      </w:pPr>
      <w:r w:rsidDel="00000000" w:rsidR="00000000" w:rsidRPr="00000000">
        <w:rPr>
          <w:rtl w:val="0"/>
        </w:rPr>
        <w:t xml:space="preserve">5. Treat four-axis profile graphics as qualitative fingerprints unless all quantities share a justified normalization.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Prohibited inference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shared KL form licenses a common mathematical vocabulary. It does not license direct comparison of bar heights or the construction of a master persistence magnitude.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bookmarkStart w:colFirst="0" w:colLast="0" w:name="_kxmkerkvpqru" w:id="15"/>
      <w:bookmarkEnd w:id="15"/>
      <w:r w:rsidDel="00000000" w:rsidR="00000000" w:rsidRPr="00000000">
        <w:rPr>
          <w:rtl w:val="0"/>
        </w:rPr>
        <w:t xml:space="preserve">8. Dependency status and evidential status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AOP should use two independent labels.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Dependency status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Forced within declared model class: the relation follows for every admissible model under stated assumptions.</w:t>
      </w:r>
    </w:p>
    <w:p w:rsidR="00000000" w:rsidDel="00000000" w:rsidP="00000000" w:rsidRDefault="00000000" w:rsidRPr="00000000" w14:paraId="000000AA">
      <w:pPr>
        <w:rPr/>
      </w:pPr>
      <w:r w:rsidDel="00000000" w:rsidR="00000000" w:rsidRPr="00000000">
        <w:rPr>
          <w:rtl w:val="0"/>
        </w:rPr>
        <w:t xml:space="preserve">Conditionally forced: the relation follows only when an additional condition is satisfied.</w:t>
      </w:r>
    </w:p>
    <w:p w:rsidR="00000000" w:rsidDel="00000000" w:rsidP="00000000" w:rsidRDefault="00000000" w:rsidRPr="00000000" w14:paraId="000000AB">
      <w:pPr>
        <w:rPr/>
      </w:pPr>
      <w:r w:rsidDel="00000000" w:rsidR="00000000" w:rsidRPr="00000000">
        <w:rPr>
          <w:rtl w:val="0"/>
        </w:rPr>
        <w:t xml:space="preserve">Dissociable: explicit admissible countermodels realize one quantity without the other.</w:t>
      </w:r>
    </w:p>
    <w:p w:rsidR="00000000" w:rsidDel="00000000" w:rsidP="00000000" w:rsidRDefault="00000000" w:rsidRPr="00000000" w14:paraId="000000AC">
      <w:pPr>
        <w:rPr/>
      </w:pPr>
      <w:r w:rsidDel="00000000" w:rsidR="00000000" w:rsidRPr="00000000">
        <w:rPr>
          <w:rtl w:val="0"/>
        </w:rPr>
        <w:t xml:space="preserve">Unidentified: available evidence does not determine the relation.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Evidential status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Theorem or corollary.</w:t>
      </w:r>
    </w:p>
    <w:p w:rsidR="00000000" w:rsidDel="00000000" w:rsidP="00000000" w:rsidRDefault="00000000" w:rsidRPr="00000000" w14:paraId="000000B1">
      <w:pPr>
        <w:rPr/>
      </w:pPr>
      <w:r w:rsidDel="00000000" w:rsidR="00000000" w:rsidRPr="00000000">
        <w:rPr>
          <w:rtl w:val="0"/>
        </w:rPr>
        <w:t xml:space="preserve">Definition or stipulated weld.</w:t>
      </w:r>
    </w:p>
    <w:p w:rsidR="00000000" w:rsidDel="00000000" w:rsidP="00000000" w:rsidRDefault="00000000" w:rsidRPr="00000000" w14:paraId="000000B2">
      <w:pPr>
        <w:rPr/>
      </w:pPr>
      <w:r w:rsidDel="00000000" w:rsidR="00000000" w:rsidRPr="00000000">
        <w:rPr>
          <w:rtl w:val="0"/>
        </w:rPr>
        <w:t xml:space="preserve">Constructed counterexample.</w:t>
      </w:r>
    </w:p>
    <w:p w:rsidR="00000000" w:rsidDel="00000000" w:rsidP="00000000" w:rsidRDefault="00000000" w:rsidRPr="00000000" w14:paraId="000000B3">
      <w:pPr>
        <w:rPr/>
      </w:pPr>
      <w:r w:rsidDel="00000000" w:rsidR="00000000" w:rsidRPr="00000000">
        <w:rPr>
          <w:rtl w:val="0"/>
        </w:rPr>
        <w:t xml:space="preserve">Analytic model result.</w:t>
      </w:r>
    </w:p>
    <w:p w:rsidR="00000000" w:rsidDel="00000000" w:rsidP="00000000" w:rsidRDefault="00000000" w:rsidRPr="00000000" w14:paraId="000000B4">
      <w:pPr>
        <w:rPr/>
      </w:pPr>
      <w:r w:rsidDel="00000000" w:rsidR="00000000" w:rsidRPr="00000000">
        <w:rPr>
          <w:rtl w:val="0"/>
        </w:rPr>
        <w:t xml:space="preserve">Numerical simulation.</w:t>
      </w:r>
    </w:p>
    <w:p w:rsidR="00000000" w:rsidDel="00000000" w:rsidP="00000000" w:rsidRDefault="00000000" w:rsidRPr="00000000" w14:paraId="000000B5">
      <w:pPr>
        <w:rPr/>
      </w:pPr>
      <w:r w:rsidDel="00000000" w:rsidR="00000000" w:rsidRPr="00000000">
        <w:rPr>
          <w:rtl w:val="0"/>
        </w:rPr>
        <w:t xml:space="preserve">Random-ensemble regularity.</w:t>
      </w:r>
    </w:p>
    <w:p w:rsidR="00000000" w:rsidDel="00000000" w:rsidP="00000000" w:rsidRDefault="00000000" w:rsidRPr="00000000" w14:paraId="000000B6">
      <w:pPr>
        <w:rPr/>
      </w:pPr>
      <w:r w:rsidDel="00000000" w:rsidR="00000000" w:rsidRPr="00000000">
        <w:rPr>
          <w:rtl w:val="0"/>
        </w:rPr>
        <w:t xml:space="preserve">Empirical observation.</w:t>
      </w:r>
    </w:p>
    <w:p w:rsidR="00000000" w:rsidDel="00000000" w:rsidP="00000000" w:rsidRDefault="00000000" w:rsidRPr="00000000" w14:paraId="000000B7">
      <w:pPr>
        <w:rPr/>
      </w:pPr>
      <w:r w:rsidDel="00000000" w:rsidR="00000000" w:rsidRPr="00000000">
        <w:rPr>
          <w:rtl w:val="0"/>
        </w:rPr>
        <w:t xml:space="preserve">Conjecture or frontier hypothesis.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random-ensemble correlation may support an empirical regularity within that ensemble; it cannot by itself establish modal freedom. A definitional weld may be exact while carrying no evidence of a physical law.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2tov74iw9ljn" w:id="16"/>
      <w:bookmarkEnd w:id="16"/>
      <w:r w:rsidDel="00000000" w:rsidR="00000000" w:rsidRPr="00000000">
        <w:rPr>
          <w:rtl w:val="0"/>
        </w:rPr>
        <w:t xml:space="preserve">9. Revised scope statement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Recommended scientific scope: AOP applies when an analyst can define a subsystem, a state representation, a finite observation horizon, at least one viability functional, and a physically interpretable intervention or perturbation class. Binding, rest mass, and possession of a unique rest frame are not admission criteria.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operational scope admits passive, actively maintained, computational, and distributed persisters when the declarations are meaningful. It also allows the framework to state honestly when a case is presently unscorable.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lhz897nc9i8d" w:id="17"/>
      <w:bookmarkEnd w:id="17"/>
      <w:r w:rsidDel="00000000" w:rsidR="00000000" w:rsidRPr="00000000">
        <w:rPr>
          <w:rtl w:val="0"/>
        </w:rPr>
        <w:t xml:space="preserve">10. Minimum reporting standard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Every computed AOP result should report: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The declaration tuple D.</w:t>
      </w:r>
    </w:p>
    <w:p w:rsidR="00000000" w:rsidDel="00000000" w:rsidP="00000000" w:rsidRDefault="00000000" w:rsidRPr="00000000" w14:paraId="000000C6">
      <w:pPr>
        <w:rPr/>
      </w:pPr>
      <w:r w:rsidDel="00000000" w:rsidR="00000000" w:rsidRPr="00000000">
        <w:rPr>
          <w:rtl w:val="0"/>
        </w:rPr>
        <w:t xml:space="preserve">2. The target and exact proxy flavor.</w:t>
      </w:r>
    </w:p>
    <w:p w:rsidR="00000000" w:rsidDel="00000000" w:rsidP="00000000" w:rsidRDefault="00000000" w:rsidRPr="00000000" w14:paraId="000000C7">
      <w:pPr>
        <w:rPr/>
      </w:pPr>
      <w:r w:rsidDel="00000000" w:rsidR="00000000" w:rsidRPr="00000000">
        <w:rPr>
          <w:rtl w:val="0"/>
        </w:rPr>
        <w:t xml:space="preserve">3. Units, normalization, and uncertainty.</w:t>
      </w:r>
    </w:p>
    <w:p w:rsidR="00000000" w:rsidDel="00000000" w:rsidP="00000000" w:rsidRDefault="00000000" w:rsidRPr="00000000" w14:paraId="000000C8">
      <w:pPr>
        <w:rPr/>
      </w:pPr>
      <w:r w:rsidDel="00000000" w:rsidR="00000000" w:rsidRPr="00000000">
        <w:rPr>
          <w:rtl w:val="0"/>
        </w:rPr>
        <w:t xml:space="preserve">4. Model class and stationarity assumptions.</w:t>
      </w:r>
    </w:p>
    <w:p w:rsidR="00000000" w:rsidDel="00000000" w:rsidP="00000000" w:rsidRDefault="00000000" w:rsidRPr="00000000" w14:paraId="000000C9">
      <w:pPr>
        <w:rPr/>
      </w:pPr>
      <w:r w:rsidDel="00000000" w:rsidR="00000000" w:rsidRPr="00000000">
        <w:rPr>
          <w:rtl w:val="0"/>
        </w:rPr>
        <w:t xml:space="preserve">5. Dependency status and evidential status separately.</w:t>
      </w:r>
    </w:p>
    <w:p w:rsidR="00000000" w:rsidDel="00000000" w:rsidP="00000000" w:rsidRDefault="00000000" w:rsidRPr="00000000" w14:paraId="000000CA">
      <w:pPr>
        <w:rPr/>
      </w:pPr>
      <w:r w:rsidDel="00000000" w:rsidR="00000000" w:rsidRPr="00000000">
        <w:rPr>
          <w:rtl w:val="0"/>
        </w:rPr>
        <w:t xml:space="preserve">6. Viability functional and horizon, when semantic weight is invoked.</w:t>
      </w:r>
    </w:p>
    <w:p w:rsidR="00000000" w:rsidDel="00000000" w:rsidP="00000000" w:rsidRDefault="00000000" w:rsidRPr="00000000" w14:paraId="000000CB">
      <w:pPr>
        <w:rPr/>
      </w:pPr>
      <w:r w:rsidDel="00000000" w:rsidR="00000000" w:rsidRPr="00000000">
        <w:rPr>
          <w:rtl w:val="0"/>
        </w:rPr>
        <w:t xml:space="preserve">7. Intervention admissibility and invariants held fixed.</w:t>
      </w:r>
    </w:p>
    <w:p w:rsidR="00000000" w:rsidDel="00000000" w:rsidP="00000000" w:rsidRDefault="00000000" w:rsidRPr="00000000" w14:paraId="000000CC">
      <w:pPr>
        <w:rPr/>
      </w:pPr>
      <w:r w:rsidDel="00000000" w:rsidR="00000000" w:rsidRPr="00000000">
        <w:rPr>
          <w:rtl w:val="0"/>
        </w:rPr>
        <w:t xml:space="preserve">8. Code, data, and figure lineage.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ar5si1innfgl" w:id="18"/>
      <w:bookmarkEnd w:id="18"/>
      <w:r w:rsidDel="00000000" w:rsidR="00000000" w:rsidRPr="00000000">
        <w:rPr>
          <w:rtl w:val="0"/>
        </w:rPr>
        <w:t xml:space="preserve">11. Immediate manuscript dispositions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Retain with narrower wording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four conceptual targets; the two-layer dependency-plus-viability architecture; the scoped sigma &gt; 0 implies E &gt; 0 corollary; the refusal of a master quantity; the observation that attribution becomes difficult in strongly coupled systems.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Relabel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Boundary MI as cross-boundary dependence; entropy production as dissipation/irreversibility; excess entropy as predictive dependence; total correlation as multivariate interdependence; worked cases as diagnostic archetypes until computed.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Remove or quarantine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Choice-free language; direct commensurability from KL form; binding-manufactures-time claims; gravity as a universal Integration floor; viability as uniquely owned by the system; universal energy-hub language not supported by the four-target graph.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dgjavh4mr3cg" w:id="19"/>
      <w:bookmarkEnd w:id="19"/>
      <w:r w:rsidDel="00000000" w:rsidR="00000000" w:rsidRPr="00000000">
        <w:rPr>
          <w:rtl w:val="0"/>
        </w:rPr>
        <w:t xml:space="preserve">12. Acceptance gate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specification is satisfied when a skeptical reader can answer, for every number in the paper: What target is being discussed? What exact aspect is measured? What choices define the measurement? What units and horizon apply? What does the number not establish? What evidence supports the dependency claim?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xo0lg7j2yjbx" w:id="20"/>
      <w:bookmarkEnd w:id="20"/>
      <w:r w:rsidDel="00000000" w:rsidR="00000000" w:rsidRPr="00000000">
        <w:rPr>
          <w:rtl w:val="0"/>
        </w:rPr>
        <w:t xml:space="preserve">Optional proposed language for the rebuilt manuscript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“AOP treats Boundary, Drive, Memory, and Integration as conceptual targets represented by declared measurement families rather than as four uniquely defined scalars. The resulting profile is conditional on a system representation, partition, temporal grain, horizon, viability family, and intervention class. Relative entropy supplies a common formal vocabulary, but it does not make heterogeneous rates and information amounts directly commensurable.”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bookmarkStart w:colFirst="0" w:colLast="0" w:name="_vs903svigzlx" w:id="21"/>
      <w:bookmarkEnd w:id="21"/>
      <w:r w:rsidDel="00000000" w:rsidR="00000000" w:rsidRPr="00000000">
        <w:rPr>
          <w:rtl w:val="0"/>
        </w:rPr>
        <w:t xml:space="preserve">Decision requested from Ben and Claude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Approve or reject the target-versus-proxy architecture before further canon revision. If approved, the submission manuscript should be rebuilt around the panel and declaration tuple rather than patched by adding caveats to the current four-scalar table.</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