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t8813antw3q" w:id="0"/>
      <w:bookmarkEnd w:id="0"/>
      <w:r w:rsidDel="00000000" w:rsidR="00000000" w:rsidRPr="00000000">
        <w:rPr>
          <w:rtl w:val="0"/>
        </w:rPr>
        <w:t xml:space="preserve">Adjudication of the Aster Red-Team Review of AOP v1.25</w:t>
      </w:r>
    </w:p>
    <w:p w:rsidR="00000000" w:rsidDel="00000000" w:rsidP="00000000" w:rsidRDefault="00000000" w:rsidRPr="00000000" w14:paraId="00000002">
      <w:pPr>
        <w:rPr/>
      </w:pPr>
      <w:r w:rsidDel="00000000" w:rsidR="00000000" w:rsidRPr="00000000">
        <w:rPr>
          <w:b w:val="1"/>
          <w:bCs w:val="1"/>
          <w:rtl w:val="0"/>
        </w:rPr>
        <w:t xml:space="preserve">Document: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MEMO_Prime_AOP_v1.25_RedTeam_Adjudication_v1_0_20260724</w:t>
      </w:r>
      <w:r w:rsidDel="00000000" w:rsidR="00000000" w:rsidRPr="00000000">
        <w:rPr>
          <w:rtl w:val="0"/>
        </w:rPr>
        <w:t xml:space="preserve"> </w:t>
      </w:r>
      <w:r w:rsidDel="00000000" w:rsidR="00000000" w:rsidRPr="00000000">
        <w:rPr>
          <w:b w:val="1"/>
          <w:bCs w:val="1"/>
          <w:rtl w:val="0"/>
        </w:rPr>
        <w:t xml:space="preserve">Author:</w:t>
      </w:r>
      <w:r w:rsidDel="00000000" w:rsidR="00000000" w:rsidRPr="00000000">
        <w:rPr>
          <w:rtl w:val="0"/>
        </w:rPr>
        <w:t xml:space="preserve"> Prime (chat seat) </w:t>
      </w:r>
      <w:r w:rsidDel="00000000" w:rsidR="00000000" w:rsidRPr="00000000">
        <w:rPr>
          <w:b w:val="1"/>
          <w:bCs w:val="1"/>
          <w:rtl w:val="0"/>
        </w:rPr>
        <w:t xml:space="preserve">Date:</w:t>
      </w:r>
      <w:r w:rsidDel="00000000" w:rsidR="00000000" w:rsidRPr="00000000">
        <w:rPr>
          <w:rtl w:val="0"/>
        </w:rPr>
        <w:t xml:space="preserve"> 24 July 2026 </w:t>
      </w:r>
      <w:r w:rsidDel="00000000" w:rsidR="00000000" w:rsidRPr="00000000">
        <w:rPr>
          <w:b w:val="1"/>
          <w:bCs w:val="1"/>
          <w:rtl w:val="0"/>
        </w:rPr>
        <w:t xml:space="preserve">Status:</w:t>
      </w:r>
      <w:r w:rsidDel="00000000" w:rsidR="00000000" w:rsidRPr="00000000">
        <w:rPr>
          <w:rtl w:val="0"/>
        </w:rPr>
        <w:t xml:space="preserve"> Non-canonical. No canon file was modified. Every disposition below is a recommendation for Ben to accept, modify, or reject. </w:t>
      </w:r>
      <w:r w:rsidDel="00000000" w:rsidR="00000000" w:rsidRPr="00000000">
        <w:rPr>
          <w:b w:val="1"/>
          <w:bCs w:val="1"/>
          <w:rtl w:val="0"/>
        </w:rPr>
        <w:t xml:space="preserve">Reviewing: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REV_Aster_AOP_v1.25_Adversarial_RedTeam_v1_0_20260724</w:t>
      </w:r>
      <w:r w:rsidDel="00000000" w:rsidR="00000000" w:rsidRPr="00000000">
        <w:rPr>
          <w:rtl w:val="0"/>
        </w:rPr>
        <w:t xml:space="preserve"> (27 register items + 7 executive blockers + Appendix A matrix) </w:t>
      </w:r>
      <w:r w:rsidDel="00000000" w:rsidR="00000000" w:rsidRPr="00000000">
        <w:rPr>
          <w:b w:val="1"/>
          <w:bCs w:val="1"/>
          <w:rtl w:val="0"/>
        </w:rPr>
        <w:t xml:space="preserve">Against: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AOP_CANON_MASTER_v1.25.md</w:t>
      </w:r>
      <w:r w:rsidDel="00000000" w:rsidR="00000000" w:rsidRPr="00000000">
        <w:rPr>
          <w:rtl w:val="0"/>
        </w:rPr>
        <w:t xml:space="preserve">, Drive </w:t>
      </w:r>
      <w:r w:rsidDel="00000000" w:rsidR="00000000" w:rsidRPr="00000000">
        <w:rPr>
          <w:rFonts w:ascii="Roboto Mono" w:cs="Roboto Mono" w:eastAsia="Roboto Mono" w:hAnsi="Roboto Mono"/>
          <w:color w:val="188038"/>
          <w:rtl w:val="0"/>
        </w:rPr>
        <w:t xml:space="preserve">13tI48fz-l5DundXuyQysPJf7JrSS9xck</w:t>
      </w:r>
      <w:r w:rsidDel="00000000" w:rsidR="00000000" w:rsidRPr="00000000">
        <w:rPr>
          <w:rtl w:val="0"/>
        </w:rPr>
        <w:t xml:space="preserve">, pulled and read this session (997 lines / 32,515 words)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q2ns9rgsmdy3" w:id="1"/>
      <w:bookmarkEnd w:id="1"/>
      <w:r w:rsidDel="00000000" w:rsidR="00000000" w:rsidRPr="00000000">
        <w:rPr>
          <w:rtl w:val="0"/>
        </w:rPr>
        <w:t xml:space="preserve">How to read this</w:t>
      </w:r>
    </w:p>
    <w:p w:rsidR="00000000" w:rsidDel="00000000" w:rsidP="00000000" w:rsidRDefault="00000000" w:rsidRPr="00000000" w14:paraId="00000006">
      <w:pPr>
        <w:rPr/>
      </w:pPr>
      <w:r w:rsidDel="00000000" w:rsidR="00000000" w:rsidRPr="00000000">
        <w:rPr>
          <w:rtl w:val="0"/>
        </w:rPr>
        <w:t xml:space="preserve">Items are batched by </w:t>
      </w:r>
      <w:r w:rsidDel="00000000" w:rsidR="00000000" w:rsidRPr="00000000">
        <w:rPr>
          <w:b w:val="1"/>
          <w:bCs w:val="1"/>
          <w:rtl w:val="0"/>
        </w:rPr>
        <w:t xml:space="preserve">decision risk</w:t>
      </w:r>
      <w:r w:rsidDel="00000000" w:rsidR="00000000" w:rsidRPr="00000000">
        <w:rPr>
          <w:rtl w:val="0"/>
        </w:rPr>
        <w:t xml:space="preserve"> — my estimate of how much you would want to weigh in, not by how serious the underlying defect is. A finding can be devastating and still be low-risk if the right answer is obvious.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2"/>
        </w:numPr>
        <w:ind w:left="720" w:hanging="360"/>
      </w:pPr>
      <w:r w:rsidDel="00000000" w:rsidR="00000000" w:rsidRPr="00000000">
        <w:rPr>
          <w:b w:val="1"/>
          <w:bCs w:val="1"/>
          <w:rtl w:val="0"/>
        </w:rPr>
        <w:t xml:space="preserve">LOW</w:t>
      </w:r>
      <w:r w:rsidDel="00000000" w:rsidR="00000000" w:rsidRPr="00000000">
        <w:rPr>
          <w:rtl w:val="0"/>
        </w:rPr>
        <w:t xml:space="preserve"> — accept as recommended; skim.</w:t>
      </w:r>
    </w:p>
    <w:p w:rsidR="00000000" w:rsidDel="00000000" w:rsidP="00000000" w:rsidRDefault="00000000" w:rsidRPr="00000000" w14:paraId="00000009">
      <w:pPr>
        <w:numPr>
          <w:ilvl w:val="0"/>
          <w:numId w:val="2"/>
        </w:numPr>
        <w:ind w:left="720" w:hanging="360"/>
      </w:pPr>
      <w:r w:rsidDel="00000000" w:rsidR="00000000" w:rsidRPr="00000000">
        <w:rPr>
          <w:b w:val="1"/>
          <w:bCs w:val="1"/>
          <w:rtl w:val="0"/>
        </w:rPr>
        <w:t xml:space="preserve">MEDIUM</w:t>
      </w:r>
      <w:r w:rsidDel="00000000" w:rsidR="00000000" w:rsidRPr="00000000">
        <w:rPr>
          <w:rtl w:val="0"/>
        </w:rPr>
        <w:t xml:space="preserve"> — plain-language explanation plus my recommendation.</w:t>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HIGH</w:t>
      </w:r>
      <w:r w:rsidDel="00000000" w:rsidR="00000000" w:rsidRPr="00000000">
        <w:rPr>
          <w:rtl w:val="0"/>
        </w:rPr>
        <w:t xml:space="preserve"> — extended discussion with a BLUF.</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Dispositions use: </w:t>
      </w:r>
      <w:r w:rsidDel="00000000" w:rsidR="00000000" w:rsidRPr="00000000">
        <w:rPr>
          <w:b w:val="1"/>
          <w:bCs w:val="1"/>
          <w:rtl w:val="0"/>
        </w:rPr>
        <w:t xml:space="preserve">ACCEPT</w:t>
      </w:r>
      <w:r w:rsidDel="00000000" w:rsidR="00000000" w:rsidRPr="00000000">
        <w:rPr>
          <w:rtl w:val="0"/>
        </w:rPr>
        <w:t xml:space="preserve"> (Aster is right, do as he says), </w:t>
      </w:r>
      <w:r w:rsidDel="00000000" w:rsidR="00000000" w:rsidRPr="00000000">
        <w:rPr>
          <w:b w:val="1"/>
          <w:bCs w:val="1"/>
          <w:rtl w:val="0"/>
        </w:rPr>
        <w:t xml:space="preserve">ACCEPT-MOD</w:t>
      </w:r>
      <w:r w:rsidDel="00000000" w:rsidR="00000000" w:rsidRPr="00000000">
        <w:rPr>
          <w:rtl w:val="0"/>
        </w:rPr>
        <w:t xml:space="preserve"> (right about the defect, wrong about the fix), </w:t>
      </w:r>
      <w:r w:rsidDel="00000000" w:rsidR="00000000" w:rsidRPr="00000000">
        <w:rPr>
          <w:b w:val="1"/>
          <w:bCs w:val="1"/>
          <w:rtl w:val="0"/>
        </w:rPr>
        <w:t xml:space="preserve">REJECT</w:t>
      </w:r>
      <w:r w:rsidDel="00000000" w:rsidR="00000000" w:rsidRPr="00000000">
        <w:rPr>
          <w:rtl w:val="0"/>
        </w:rPr>
        <w:t xml:space="preserve"> (wrong), </w:t>
      </w:r>
      <w:r w:rsidDel="00000000" w:rsidR="00000000" w:rsidRPr="00000000">
        <w:rPr>
          <w:b w:val="1"/>
          <w:bCs w:val="1"/>
          <w:rtl w:val="0"/>
        </w:rPr>
        <w:t xml:space="preserve">REJECT-SEVERITY</w:t>
      </w:r>
      <w:r w:rsidDel="00000000" w:rsidR="00000000" w:rsidRPr="00000000">
        <w:rPr>
          <w:rtl w:val="0"/>
        </w:rPr>
        <w:t xml:space="preserve"> (real defect, overstated consequence).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Coverage: all 27 register items. The seven executive blockers map onto register items and are adjudicated there.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nttfh0cvm241" w:id="2"/>
      <w:bookmarkEnd w:id="2"/>
      <w:r w:rsidDel="00000000" w:rsidR="00000000" w:rsidRPr="00000000">
        <w:rPr>
          <w:rtl w:val="0"/>
        </w:rPr>
        <w:t xml:space="preserve">Verification provenance</w:t>
      </w:r>
    </w:p>
    <w:p w:rsidR="00000000" w:rsidDel="00000000" w:rsidP="00000000" w:rsidRDefault="00000000" w:rsidRPr="00000000" w14:paraId="00000012">
      <w:pPr>
        <w:rPr/>
      </w:pPr>
      <w:r w:rsidDel="00000000" w:rsidR="00000000" w:rsidRPr="00000000">
        <w:rPr>
          <w:rtl w:val="0"/>
        </w:rPr>
        <w:t xml:space="preserve">Under the no-self-grading rule, here is exactly what I checked.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Verified directly:</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Canon v1.25 pulled from Drive this session. Line and word counts match Aster's stated 996 / 32,518 to within rounding. He reviewed the current master, not a stale copy.</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Every canon passage Aster quotes or paraphrases in the load-bearing items was located and read in context. No strawmen found. Specifically confirmed verbatim: the light-cone/one-way-membrane language (line 294), the crystal's "nothing it holds bears weight" (430), "these five cases are ... the framework's primary evidence" (440), "Φ_MIP &gt; 0 at the part-partition is a single higher persister" (372), "it is a </w:t>
      </w:r>
      <w:r w:rsidDel="00000000" w:rsidR="00000000" w:rsidRPr="00000000">
        <w:rPr>
          <w:b w:val="1"/>
          <w:bCs w:val="1"/>
          <w:rtl w:val="0"/>
        </w:rPr>
        <w:t xml:space="preserve">new definition, graded frontier</w:t>
      </w:r>
      <w:r w:rsidDel="00000000" w:rsidR="00000000" w:rsidRPr="00000000">
        <w:rPr>
          <w:rFonts w:ascii="Arial Unicode MS" w:cs="Arial Unicode MS" w:eastAsia="Arial Unicode MS" w:hAnsi="Arial Unicode MS"/>
          <w:rtl w:val="0"/>
        </w:rPr>
        <w:t xml:space="preserve">" (33), and the D→M proof step "an i.i.d. process equals its own time-reverse in distribution" (129, restated 606).</w:t>
      </w:r>
    </w:p>
    <w:p w:rsidR="00000000" w:rsidDel="00000000" w:rsidP="00000000" w:rsidRDefault="00000000" w:rsidRPr="00000000" w14:paraId="00000018">
      <w:pPr>
        <w:numPr>
          <w:ilvl w:val="0"/>
          <w:numId w:val="2"/>
        </w:numPr>
        <w:ind w:left="720" w:hanging="360"/>
      </w:pPr>
      <w:r w:rsidDel="00000000" w:rsidR="00000000" w:rsidRPr="00000000">
        <w:rPr>
          <w:rFonts w:ascii="Arial Unicode MS" w:cs="Arial Unicode MS" w:eastAsia="Arial Unicode MS" w:hAnsi="Arial Unicode MS"/>
          <w:rtl w:val="0"/>
        </w:rPr>
        <w:t xml:space="preserve">Aster's D→M counterexample arithmetic, recomputed: </w:t>
      </w:r>
      <w:r w:rsidDel="00000000" w:rsidR="00000000" w:rsidRPr="00000000">
        <w:rPr>
          <w:rFonts w:ascii="Nova Mono" w:cs="Nova Mono" w:eastAsia="Nova Mono" w:hAnsi="Nova Mono"/>
          <w:color w:val="188038"/>
          <w:rtl w:val="0"/>
        </w:rPr>
        <w:t xml:space="preserve">(2q−1)·log(q/(1−q))</w:t>
      </w:r>
      <w:r w:rsidDel="00000000" w:rsidR="00000000" w:rsidRPr="00000000">
        <w:rPr>
          <w:rtl w:val="0"/>
        </w:rPr>
        <w:t xml:space="preserve"> = 0.83178 nats at q = 0.8, matching direct evaluation of </w:t>
      </w:r>
      <w:r w:rsidDel="00000000" w:rsidR="00000000" w:rsidRPr="00000000">
        <w:rPr>
          <w:rFonts w:ascii="Nova Mono" w:cs="Nova Mono" w:eastAsia="Nova Mono" w:hAnsi="Nova Mono"/>
          <w:color w:val="188038"/>
          <w:rtl w:val="0"/>
        </w:rPr>
        <w:t xml:space="preserve">D(p‖p∘Θ)</w:t>
      </w:r>
      <w:r w:rsidDel="00000000" w:rsidR="00000000" w:rsidRPr="00000000">
        <w:rPr>
          <w:rtl w:val="0"/>
        </w:rPr>
        <w:t xml:space="preserve">. The same process under pure sequence reversal gives exactly 0.</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The invariant-subspace argument in H3 (that similarity transforms map invariant subspaces to invariant subspaces) is elementary linear algebra and does not require verification.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Not verified — carried on Aster's word:</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The primary-literature characterizations in his Appendix B: Kolchinsky &amp; Wolpert (2018), Francis &amp; Wonham (1976), Bich et al. (2016), Aguilera &amp; Di Paolo (2019), Crutchfield/Ellison/Mahoney (2009), Spinney &amp; Ford (2012), Ford &amp; Spinney (2012). His readings match my understanding of those results, but I did not retrieve them. </w:t>
      </w:r>
      <w:r w:rsidDel="00000000" w:rsidR="00000000" w:rsidRPr="00000000">
        <w:rPr>
          <w:b w:val="1"/>
          <w:bCs w:val="1"/>
          <w:rtl w:val="0"/>
        </w:rPr>
        <w:t xml:space="preserve">These are load-bearing for RED-6, RED-7, RED-15, and RED-17 and should be independently checked before any of those dispositions is folded into canon.</w:t>
      </w:r>
      <w:r w:rsidDel="00000000" w:rsidR="00000000" w:rsidRPr="00000000">
        <w:rPr>
          <w:rtl w:val="0"/>
        </w:rPr>
        <w:t xml:space="preserve"> Recommend this goes to the execution seat as a defined retrieval task.</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Whether Figures 3 and 4 contain anything beyond what the surrounding prose says. I read the captions, not the figure files.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rPr/>
      </w:pPr>
      <w:bookmarkStart w:colFirst="0" w:colLast="0" w:name="_73wnttg0ryeh" w:id="3"/>
      <w:bookmarkEnd w:id="3"/>
      <w:r w:rsidDel="00000000" w:rsidR="00000000" w:rsidRPr="00000000">
        <w:rPr>
          <w:rtl w:val="0"/>
        </w:rPr>
        <w:t xml:space="preserve">LOW RISK</w:t>
      </w:r>
    </w:p>
    <w:p w:rsidR="00000000" w:rsidDel="00000000" w:rsidP="00000000" w:rsidRDefault="00000000" w:rsidRPr="00000000" w14:paraId="00000022">
      <w:pPr>
        <w:rPr/>
      </w:pPr>
      <w:r w:rsidDel="00000000" w:rsidR="00000000" w:rsidRPr="00000000">
        <w:rPr>
          <w:rtl w:val="0"/>
        </w:rPr>
        <w:t xml:space="preserve">Accept as recommended. Cheap, uncontested, no science at stake.</w:t>
      </w:r>
    </w:p>
    <w:p w:rsidR="00000000" w:rsidDel="00000000" w:rsidP="00000000" w:rsidRDefault="00000000" w:rsidRPr="00000000" w14:paraId="00000023">
      <w:pPr>
        <w:pStyle w:val="Heading3"/>
        <w:rPr/>
      </w:pPr>
      <w:bookmarkStart w:colFirst="0" w:colLast="0" w:name="_xlawjc256qk6" w:id="4"/>
      <w:bookmarkEnd w:id="4"/>
      <w:r w:rsidDel="00000000" w:rsidR="00000000" w:rsidRPr="00000000">
        <w:rPr>
          <w:rFonts w:ascii="Arial Unicode MS" w:cs="Arial Unicode MS" w:eastAsia="Arial Unicode MS" w:hAnsi="Arial Unicode MS"/>
          <w:rtl w:val="0"/>
        </w:rPr>
        <w:t xml:space="preserve">L1 — ORANGE-23: "dissociate generically" → </w:t>
      </w:r>
      <w:r w:rsidDel="00000000" w:rsidR="00000000" w:rsidRPr="00000000">
        <w:rPr>
          <w:b w:val="1"/>
          <w:bCs w:val="1"/>
          <w:rtl w:val="0"/>
        </w:rPr>
        <w:t xml:space="preserve">ACCEPT</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4,000 draws from one parameterization shows the corners are </w:t>
      </w:r>
      <w:r w:rsidDel="00000000" w:rsidR="00000000" w:rsidRPr="00000000">
        <w:rPr>
          <w:i w:val="1"/>
          <w:iCs w:val="1"/>
          <w:rtl w:val="0"/>
        </w:rPr>
        <w:t xml:space="preserve">populated under that sampling measure</w:t>
      </w:r>
      <w:r w:rsidDel="00000000" w:rsidR="00000000" w:rsidRPr="00000000">
        <w:rPr>
          <w:rtl w:val="0"/>
        </w:rPr>
        <w:t xml:space="preserve">. It does not establish genericity in the open-dense or almost-sure sense. Word swap in the abstract and §4: "both dissociation corners occur throughout the declared Gaussian ensemble." The </w:t>
      </w:r>
      <w:r w:rsidDel="00000000" w:rsidR="00000000" w:rsidRPr="00000000">
        <w:rPr>
          <w:rFonts w:ascii="Roboto Mono" w:cs="Roboto Mono" w:eastAsia="Roboto Mono" w:hAnsi="Roboto Mono"/>
          <w:color w:val="188038"/>
          <w:rtl w:val="0"/>
        </w:rPr>
        <w:t xml:space="preserve">phaseE1</w:t>
      </w:r>
      <w:r w:rsidDel="00000000" w:rsidR="00000000" w:rsidRPr="00000000">
        <w:rPr>
          <w:rtl w:val="0"/>
        </w:rPr>
        <w:t xml:space="preserve"> result is untouched.</w:t>
      </w:r>
    </w:p>
    <w:p w:rsidR="00000000" w:rsidDel="00000000" w:rsidP="00000000" w:rsidRDefault="00000000" w:rsidRPr="00000000" w14:paraId="00000025">
      <w:pPr>
        <w:pStyle w:val="Heading3"/>
        <w:rPr/>
      </w:pPr>
      <w:bookmarkStart w:colFirst="0" w:colLast="0" w:name="_467xvafuyuxv" w:id="5"/>
      <w:bookmarkEnd w:id="5"/>
      <w:r w:rsidDel="00000000" w:rsidR="00000000" w:rsidRPr="00000000">
        <w:rPr>
          <w:rFonts w:ascii="Arial Unicode MS" w:cs="Arial Unicode MS" w:eastAsia="Arial Unicode MS" w:hAnsi="Arial Unicode MS"/>
          <w:rtl w:val="0"/>
        </w:rPr>
        <w:t xml:space="preserve">L2 — ORANGE-24: star O-information → </w:t>
      </w:r>
      <w:r w:rsidDel="00000000" w:rsidR="00000000" w:rsidRPr="00000000">
        <w:rPr>
          <w:b w:val="1"/>
          <w:bCs w:val="1"/>
          <w:rtl w:val="0"/>
        </w:rPr>
        <w:t xml:space="preserve">ACCEPT</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Attach the result to the model that produced it: "the declared polytropic shell covariance is redundancy-dominated," not "the star is." One clause. The Ω &gt; 0 computation stands.</w:t>
      </w:r>
    </w:p>
    <w:p w:rsidR="00000000" w:rsidDel="00000000" w:rsidP="00000000" w:rsidRDefault="00000000" w:rsidRPr="00000000" w14:paraId="00000027">
      <w:pPr>
        <w:pStyle w:val="Heading3"/>
        <w:rPr/>
      </w:pPr>
      <w:bookmarkStart w:colFirst="0" w:colLast="0" w:name="_j0wqtniizftc" w:id="6"/>
      <w:bookmarkEnd w:id="6"/>
      <w:r w:rsidDel="00000000" w:rsidR="00000000" w:rsidRPr="00000000">
        <w:rPr>
          <w:rFonts w:ascii="Arial Unicode MS" w:cs="Arial Unicode MS" w:eastAsia="Arial Unicode MS" w:hAnsi="Arial Unicode MS"/>
          <w:rtl w:val="0"/>
        </w:rPr>
        <w:t xml:space="preserve">L3 — Crystal sentence (from RED-22) → </w:t>
      </w:r>
      <w:r w:rsidDel="00000000" w:rsidR="00000000" w:rsidRPr="00000000">
        <w:rPr>
          <w:b w:val="1"/>
          <w:bCs w:val="1"/>
          <w:rtl w:val="0"/>
        </w:rPr>
        <w:t xml:space="preserve">ACCEPT</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"Nothing it holds bears weight for continued persistence" (line 430) is false under AOP's own scramble test — disrupt the lattice and the crystal ceases. Rewrite to say the structure </w:t>
      </w:r>
      <w:r w:rsidDel="00000000" w:rsidR="00000000" w:rsidRPr="00000000">
        <w:rPr>
          <w:i w:val="1"/>
          <w:iCs w:val="1"/>
          <w:rtl w:val="0"/>
        </w:rPr>
        <w:t xml:space="preserve">is</w:t>
      </w:r>
      <w:r w:rsidDel="00000000" w:rsidR="00000000" w:rsidRPr="00000000">
        <w:rPr>
          <w:rtl w:val="0"/>
        </w:rPr>
        <w:t xml:space="preserve"> load-bearing but </w:t>
      </w:r>
      <w:r w:rsidDel="00000000" w:rsidR="00000000" w:rsidRPr="00000000">
        <w:rPr>
          <w:b w:val="1"/>
          <w:bCs w:val="1"/>
          <w:rtl w:val="0"/>
        </w:rPr>
        <w:t xml:space="preserve">passively</w:t>
      </w:r>
      <w:r w:rsidDel="00000000" w:rsidR="00000000" w:rsidRPr="00000000">
        <w:rPr>
          <w:rtl w:val="0"/>
        </w:rPr>
        <w:t xml:space="preserve">: it rests on a floor it pays nothing to maintain. What is spent is the drive that built it, not the structure's causal weight. This strengthens the active/passive distinction rather than conceding anything.</w:t>
      </w:r>
    </w:p>
    <w:p w:rsidR="00000000" w:rsidDel="00000000" w:rsidP="00000000" w:rsidRDefault="00000000" w:rsidRPr="00000000" w14:paraId="00000029">
      <w:pPr>
        <w:pStyle w:val="Heading3"/>
        <w:rPr/>
      </w:pPr>
      <w:bookmarkStart w:colFirst="0" w:colLast="0" w:name="_tioygafh90jt" w:id="7"/>
      <w:bookmarkEnd w:id="7"/>
      <w:r w:rsidDel="00000000" w:rsidR="00000000" w:rsidRPr="00000000">
        <w:rPr>
          <w:rFonts w:ascii="Arial Unicode MS" w:cs="Arial Unicode MS" w:eastAsia="Arial Unicode MS" w:hAnsi="Arial Unicode MS"/>
          <w:rtl w:val="0"/>
        </w:rPr>
        <w:t xml:space="preserve">L4 — RED-26: citation and submission hygiene → </w:t>
      </w:r>
      <w:r w:rsidDel="00000000" w:rsidR="00000000" w:rsidRPr="00000000">
        <w:rPr>
          <w:b w:val="1"/>
          <w:bCs w:val="1"/>
          <w:rtl w:val="0"/>
        </w:rPr>
        <w:t xml:space="preserve">ACCEPT</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DOI placeholder, unverified page ranges, abstract-only verification, the unretrieved Joyce foreword, and inline audit commentary all go from the submission derivative; the living master keeps its verification ledger. One flag: the Joyce 1994 foreword is the anchor for the NASA-definition comparison, so it should be </w:t>
      </w:r>
      <w:r w:rsidDel="00000000" w:rsidR="00000000" w:rsidRPr="00000000">
        <w:rPr>
          <w:i w:val="1"/>
          <w:iCs w:val="1"/>
          <w:rtl w:val="0"/>
        </w:rPr>
        <w:t xml:space="preserve">retrieved</w:t>
      </w:r>
      <w:r w:rsidDel="00000000" w:rsidR="00000000" w:rsidRPr="00000000">
        <w:rPr>
          <w:rtl w:val="0"/>
        </w:rPr>
        <w:t xml:space="preserve">, not merely tidied — and if the life material moves out (H3), the need may evaporate.</w:t>
      </w:r>
    </w:p>
    <w:p w:rsidR="00000000" w:rsidDel="00000000" w:rsidP="00000000" w:rsidRDefault="00000000" w:rsidRPr="00000000" w14:paraId="0000002B">
      <w:pPr>
        <w:pStyle w:val="Heading3"/>
        <w:rPr/>
      </w:pPr>
      <w:bookmarkStart w:colFirst="0" w:colLast="0" w:name="_vcw9nfl7cnjl" w:id="8"/>
      <w:bookmarkEnd w:id="8"/>
      <w:r w:rsidDel="00000000" w:rsidR="00000000" w:rsidRPr="00000000">
        <w:rPr>
          <w:rFonts w:ascii="Arial Unicode MS" w:cs="Arial Unicode MS" w:eastAsia="Arial Unicode MS" w:hAnsi="Arial Unicode MS"/>
          <w:rtl w:val="0"/>
        </w:rPr>
        <w:t xml:space="preserve">L5 — RED-27: fork the living canon from the submission derivative → </w:t>
      </w:r>
      <w:r w:rsidDel="00000000" w:rsidR="00000000" w:rsidRPr="00000000">
        <w:rPr>
          <w:b w:val="1"/>
          <w:bCs w:val="1"/>
          <w:rtl w:val="0"/>
        </w:rPr>
        <w:t xml:space="preserve">ACCEPT, AND DO FIRST</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1,443-word masthead, retractions, gate ledgers, fold notes, and changelog are excellent governance and fatal publication architecture. Fork, do not overwrite. Doing this first is strategically efficient: a large fraction of the register is "this does not belong in a submission" rather than "this is wrong," and forking retires those without conceding any science.</w:t>
      </w:r>
    </w:p>
    <w:p w:rsidR="00000000" w:rsidDel="00000000" w:rsidP="00000000" w:rsidRDefault="00000000" w:rsidRPr="00000000" w14:paraId="0000002D">
      <w:pPr>
        <w:pStyle w:val="Heading3"/>
        <w:rPr/>
      </w:pPr>
      <w:bookmarkStart w:colFirst="0" w:colLast="0" w:name="_yh2lsa2mb8zd" w:id="9"/>
      <w:bookmarkEnd w:id="9"/>
      <w:r w:rsidDel="00000000" w:rsidR="00000000" w:rsidRPr="00000000">
        <w:rPr>
          <w:rFonts w:ascii="Arial Unicode MS" w:cs="Arial Unicode MS" w:eastAsia="Arial Unicode MS" w:hAnsi="Arial Unicode MS"/>
          <w:rtl w:val="0"/>
        </w:rPr>
        <w:t xml:space="preserve">L6 — ORANGE-20: virion / mule → </w:t>
      </w:r>
      <w:r w:rsidDel="00000000" w:rsidR="00000000" w:rsidRPr="00000000">
        <w:rPr>
          <w:b w:val="1"/>
          <w:bCs w:val="1"/>
          <w:rtl w:val="0"/>
        </w:rPr>
        <w:t xml:space="preserve">ACCEPT-MOD</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Aster is right about the mule. Darwinian definitions are standardly read at the population or lineage level, so a sterile individual does not refute them, and the canon knows this elsewhere. Keep the virion contrast as motivation for separating organismal maintenance from lineage evolution; drop the mule as a proof. If the life block moves to a follow-on (H3), this travels with it.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rPr/>
      </w:pPr>
      <w:bookmarkStart w:colFirst="0" w:colLast="0" w:name="_3h5e29l4wjc4" w:id="10"/>
      <w:bookmarkEnd w:id="10"/>
      <w:r w:rsidDel="00000000" w:rsidR="00000000" w:rsidRPr="00000000">
        <w:rPr>
          <w:rtl w:val="0"/>
        </w:rPr>
        <w:t xml:space="preserve">MEDIUM RISK</w:t>
      </w:r>
    </w:p>
    <w:p w:rsidR="00000000" w:rsidDel="00000000" w:rsidP="00000000" w:rsidRDefault="00000000" w:rsidRPr="00000000" w14:paraId="00000032">
      <w:pPr>
        <w:rPr/>
      </w:pPr>
      <w:r w:rsidDel="00000000" w:rsidR="00000000" w:rsidRPr="00000000">
        <w:rPr>
          <w:rtl w:val="0"/>
        </w:rPr>
        <w:t xml:space="preserve">Real judgment calls. Plain-language statement of the problem, then my recommendation.</w:t>
      </w:r>
    </w:p>
    <w:p w:rsidR="00000000" w:rsidDel="00000000" w:rsidP="00000000" w:rsidRDefault="00000000" w:rsidRPr="00000000" w14:paraId="00000033">
      <w:pPr>
        <w:pStyle w:val="Heading3"/>
        <w:rPr/>
      </w:pPr>
      <w:bookmarkStart w:colFirst="0" w:colLast="0" w:name="_ls4iop5entdy" w:id="11"/>
      <w:bookmarkEnd w:id="11"/>
      <w:r w:rsidDel="00000000" w:rsidR="00000000" w:rsidRPr="00000000">
        <w:rPr>
          <w:rFonts w:ascii="Arial Unicode MS" w:cs="Arial Unicode MS" w:eastAsia="Arial Unicode MS" w:hAnsi="Arial Unicode MS"/>
          <w:rtl w:val="0"/>
        </w:rPr>
        <w:t xml:space="preserve">M1 — RED-1: what exactly is a node? → </w:t>
      </w:r>
      <w:r w:rsidDel="00000000" w:rsidR="00000000" w:rsidRPr="00000000">
        <w:rPr>
          <w:b w:val="1"/>
          <w:bCs w:val="1"/>
          <w:rtl w:val="0"/>
        </w:rPr>
        <w:t xml:space="preserve">ACCEPT</w:t>
      </w: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The problem.</w:t>
      </w:r>
      <w:r w:rsidDel="00000000" w:rsidR="00000000" w:rsidRPr="00000000">
        <w:rPr>
          <w:rtl w:val="0"/>
        </w:rPr>
        <w:t xml:space="preserve"> Across the paper, the four axes are used to mean at least six different things: conceptual dimensions, relative-entropy quantities, measurement panels, structural mechanisms, interventions that alter lifetime, and nodes in a dependency graph. §2 says every dimension is a computed difference across a cut; Table 1 then makes Boundary and Integration </w:t>
      </w:r>
      <w:r w:rsidDel="00000000" w:rsidR="00000000" w:rsidRPr="00000000">
        <w:rPr>
          <w:i w:val="1"/>
          <w:iCs w:val="1"/>
          <w:rtl w:val="0"/>
        </w:rPr>
        <w:t xml:space="preserve">panels</w:t>
      </w:r>
      <w:r w:rsidDel="00000000" w:rsidR="00000000" w:rsidRPr="00000000">
        <w:rPr>
          <w:rtl w:val="0"/>
        </w:rPr>
        <w:t xml:space="preserve">, Drive a </w:t>
      </w:r>
      <w:r w:rsidDel="00000000" w:rsidR="00000000" w:rsidRPr="00000000">
        <w:rPr>
          <w:i w:val="1"/>
          <w:iCs w:val="1"/>
          <w:rtl w:val="0"/>
        </w:rPr>
        <w:t xml:space="preserve">rate</w:t>
      </w:r>
      <w:r w:rsidDel="00000000" w:rsidR="00000000" w:rsidRPr="00000000">
        <w:rPr>
          <w:rtl w:val="0"/>
        </w:rPr>
        <w:t xml:space="preserve">, and Memory an </w:t>
      </w:r>
      <w:r w:rsidDel="00000000" w:rsidR="00000000" w:rsidRPr="00000000">
        <w:rPr>
          <w:i w:val="1"/>
          <w:iCs w:val="1"/>
          <w:rtl w:val="0"/>
        </w:rPr>
        <w:t xml:space="preserve">amount</w:t>
      </w:r>
      <w:r w:rsidDel="00000000" w:rsidR="00000000" w:rsidRPr="00000000">
        <w:rPr>
          <w:rtl w:val="0"/>
        </w:rPr>
        <w:t xml:space="preserve">. §12″ correctly says the axes are conceptual targets with proxy families — but that reads as a late repair contradicting the earlier ontology rather than clarifying it. A reviewer will ask "what is a node?" and get a different answer by section.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Recommendation.</w:t>
      </w:r>
      <w:r w:rsidDel="00000000" w:rsidR="00000000" w:rsidRPr="00000000">
        <w:rPr>
          <w:rtl w:val="0"/>
        </w:rPr>
        <w:t xml:space="preserve"> Freeze the ontology and move it to the front. Nodes are conceptual targets. Proxies are attached measurement families, not node identities. Edges are propositions relating specified proxy aspects under declaration </w:t>
      </w:r>
      <w:r w:rsidDel="00000000" w:rsidR="00000000" w:rsidRPr="00000000">
        <w:rPr>
          <w:b w:val="1"/>
          <w:bCs w:val="1"/>
          <w:rtl w:val="0"/>
        </w:rPr>
        <w:t xml:space="preserve">D</w:t>
      </w:r>
      <w:r w:rsidDel="00000000" w:rsidR="00000000" w:rsidRPr="00000000">
        <w:rPr>
          <w:rtl w:val="0"/>
        </w:rPr>
        <w:t xml:space="preserve"> and model class </w:t>
      </w:r>
      <w:r w:rsidDel="00000000" w:rsidR="00000000" w:rsidRPr="00000000">
        <w:rPr>
          <w:b w:val="1"/>
          <w:bCs w:val="1"/>
          <w:rtl w:val="0"/>
        </w:rPr>
        <w:t xml:space="preserve">M</w:t>
      </w:r>
      <w:r w:rsidDel="00000000" w:rsidR="00000000" w:rsidRPr="00000000">
        <w:rPr>
          <w:rtl w:val="0"/>
        </w:rPr>
        <w:t xml:space="preserve">. Reliability is a downstream outcome, not a fifth hidden node. Lifetime is the declared outcome primitive, not another axis. The content already exists in §12″; this is relocation plus one framing sentence, and it retires an entire class of reviewer objection.</w:t>
      </w:r>
    </w:p>
    <w:p w:rsidR="00000000" w:rsidDel="00000000" w:rsidP="00000000" w:rsidRDefault="00000000" w:rsidRPr="00000000" w14:paraId="00000037">
      <w:pPr>
        <w:pStyle w:val="Heading3"/>
        <w:rPr/>
      </w:pPr>
      <w:bookmarkStart w:colFirst="0" w:colLast="0" w:name="_ols70oelqa74" w:id="12"/>
      <w:bookmarkEnd w:id="12"/>
      <w:r w:rsidDel="00000000" w:rsidR="00000000" w:rsidRPr="00000000">
        <w:rPr>
          <w:rFonts w:ascii="Arial Unicode MS" w:cs="Arial Unicode MS" w:eastAsia="Arial Unicode MS" w:hAnsi="Arial Unicode MS"/>
          <w:rtl w:val="0"/>
        </w:rPr>
        <w:t xml:space="preserve">M2 — RED-2: "Drive and Memory require no choices" is false → </w:t>
      </w:r>
      <w:r w:rsidDel="00000000" w:rsidR="00000000" w:rsidRPr="00000000">
        <w:rPr>
          <w:b w:val="1"/>
          <w:bCs w:val="1"/>
          <w:rtl w:val="0"/>
        </w:rPr>
        <w:t xml:space="preserve">ACCEPT</w:t>
      </w: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The problem.</w:t>
      </w:r>
      <w:r w:rsidDel="00000000" w:rsidR="00000000" w:rsidRPr="00000000">
        <w:rPr>
          <w:rtl w:val="0"/>
        </w:rPr>
        <w:t xml:space="preserve"> The canon splits the axes into two "cleanly computable" (Drive, Memory) and two partition-dependent (Boundary, Integration). But Drive needs a state representation, trajectory ensemble, time grain, </w:t>
      </w:r>
      <w:r w:rsidDel="00000000" w:rsidR="00000000" w:rsidRPr="00000000">
        <w:rPr>
          <w:b w:val="1"/>
          <w:bCs w:val="1"/>
          <w:rtl w:val="0"/>
        </w:rPr>
        <w:t xml:space="preserve">reversal convention</w:t>
      </w:r>
      <w:r w:rsidDel="00000000" w:rsidR="00000000" w:rsidRPr="00000000">
        <w:rPr>
          <w:rtl w:val="0"/>
        </w:rPr>
        <w:t xml:space="preserve">, treatment of odd-parity variables, and a system/environment split. Memory needs an observed process, time grain, block-length or infinite-history limit, stationarity, and a choice among E, Cμ, active information storage, and retention depth. Your own declaration tuple lists most of this. The framework contradicts its own reporting standard.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Recommendation.</w:t>
      </w:r>
      <w:r w:rsidDel="00000000" w:rsidR="00000000" w:rsidRPr="00000000">
        <w:rPr>
          <w:rtl w:val="0"/>
        </w:rPr>
        <w:t xml:space="preserve"> Replace hard/soft with </w:t>
      </w:r>
      <w:r w:rsidDel="00000000" w:rsidR="00000000" w:rsidRPr="00000000">
        <w:rPr>
          <w:b w:val="1"/>
          <w:bCs w:val="1"/>
          <w:rtl w:val="0"/>
        </w:rPr>
        <w:t xml:space="preserve">partition-dependence vs. representation-dependence</w:t>
      </w:r>
      <w:r w:rsidDel="00000000" w:rsidR="00000000" w:rsidRPr="00000000">
        <w:rPr>
          <w:rtl w:val="0"/>
        </w:rPr>
        <w:t xml:space="preserve">. All four are declaration-relative; Boundary and Integration </w:t>
      </w:r>
      <w:r w:rsidDel="00000000" w:rsidR="00000000" w:rsidRPr="00000000">
        <w:rPr>
          <w:i w:val="1"/>
          <w:iCs w:val="1"/>
          <w:rtl w:val="0"/>
        </w:rPr>
        <w:t xml:space="preserve">additionally</w:t>
      </w:r>
      <w:r w:rsidDel="00000000" w:rsidR="00000000" w:rsidRPr="00000000">
        <w:rPr>
          <w:rtl w:val="0"/>
        </w:rPr>
        <w:t xml:space="preserve"> require an explicit spatial or component partition. That is the true and defensible version of the distinction you wanted. Note the interaction with </w:t>
      </w:r>
      <w:r w:rsidDel="00000000" w:rsidR="00000000" w:rsidRPr="00000000">
        <w:rPr>
          <w:b w:val="1"/>
          <w:bCs w:val="1"/>
          <w:rtl w:val="0"/>
        </w:rPr>
        <w:t xml:space="preserve">H1</w:t>
      </w:r>
      <w:r w:rsidDel="00000000" w:rsidR="00000000" w:rsidRPr="00000000">
        <w:rPr>
          <w:rFonts w:ascii="Arial Unicode MS" w:cs="Arial Unicode MS" w:eastAsia="Arial Unicode MS" w:hAnsi="Arial Unicode MS"/>
          <w:rtl w:val="0"/>
        </w:rPr>
        <w:t xml:space="preserve">: the reversal convention is exactly what the D→M theorem needs declared, so this fix and that one should land together, and the reversal convention should be added as an explicit slot in </w:t>
      </w:r>
      <w:r w:rsidDel="00000000" w:rsidR="00000000" w:rsidRPr="00000000">
        <w:rPr>
          <w:b w:val="1"/>
          <w:bCs w:val="1"/>
          <w:rtl w:val="0"/>
        </w:rPr>
        <w:t xml:space="preserve">D</w:t>
      </w:r>
      <w:r w:rsidDel="00000000" w:rsidR="00000000" w:rsidRPr="00000000">
        <w:rPr>
          <w:rtl w:val="0"/>
        </w:rPr>
        <w:t xml:space="preserve">.</w:t>
      </w:r>
    </w:p>
    <w:p w:rsidR="00000000" w:rsidDel="00000000" w:rsidP="00000000" w:rsidRDefault="00000000" w:rsidRPr="00000000" w14:paraId="0000003B">
      <w:pPr>
        <w:pStyle w:val="Heading3"/>
        <w:rPr/>
      </w:pPr>
      <w:bookmarkStart w:colFirst="0" w:colLast="0" w:name="_grrfsuhaith6" w:id="13"/>
      <w:bookmarkEnd w:id="13"/>
      <w:r w:rsidDel="00000000" w:rsidR="00000000" w:rsidRPr="00000000">
        <w:rPr>
          <w:rFonts w:ascii="Arial Unicode MS" w:cs="Arial Unicode MS" w:eastAsia="Arial Unicode MS" w:hAnsi="Arial Unicode MS"/>
          <w:rtl w:val="0"/>
        </w:rPr>
        <w:t xml:space="preserve">M3 — RED-3: MFPT as the persistence primitive → </w:t>
      </w:r>
      <w:r w:rsidDel="00000000" w:rsidR="00000000" w:rsidRPr="00000000">
        <w:rPr>
          <w:b w:val="1"/>
          <w:bCs w:val="1"/>
          <w:rtl w:val="0"/>
        </w:rPr>
        <w:t xml:space="preserve">ACCEPT-MOD</w:t>
      </w: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The problem.</w:t>
      </w:r>
      <w:r w:rsidDel="00000000" w:rsidR="00000000" w:rsidRPr="00000000">
        <w:rPr>
          <w:rtl w:val="0"/>
        </w:rPr>
        <w:t xml:space="preserve"> Mean first-passage time out of the viable set depends on the viable set, erasure condition, recovery criterion, starting distribution, perturbation ensemble, horizon, and identity grain. For many systems the mean is infinite, undefined, or heavy-tail-dominated. For aging, developmental, or path-dependent systems a single MFPT can suppress the phenomenon of interest — and a persister can move its own viable region.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Recommendation.</w:t>
      </w:r>
      <w:r w:rsidDel="00000000" w:rsidR="00000000" w:rsidRPr="00000000">
        <w:rPr>
          <w:rtl w:val="0"/>
        </w:rPr>
        <w:t xml:space="preserve"> Keep MFPT as the lead benchmark quantity and the named primitive; add survival curves, hazard functions, finite-horizon survival, and recovery probability as admissible members of a </w:t>
      </w:r>
      <w:r w:rsidDel="00000000" w:rsidR="00000000" w:rsidRPr="00000000">
        <w:rPr>
          <w:b w:val="1"/>
          <w:bCs w:val="1"/>
          <w:rtl w:val="0"/>
        </w:rPr>
        <w:t xml:space="preserve">persistence-functional family</w:t>
      </w:r>
      <w:r w:rsidDel="00000000" w:rsidR="00000000" w:rsidRPr="00000000">
        <w:rPr>
          <w:rtl w:val="0"/>
        </w:rPr>
        <w:t xml:space="preserve">, and state when MFPT is inappropriate. Do </w:t>
      </w:r>
      <w:r w:rsidDel="00000000" w:rsidR="00000000" w:rsidRPr="00000000">
        <w:rPr>
          <w:b w:val="1"/>
          <w:bCs w:val="1"/>
          <w:rtl w:val="0"/>
        </w:rPr>
        <w:t xml:space="preserve">not</w:t>
      </w:r>
      <w:r w:rsidDel="00000000" w:rsidR="00000000" w:rsidRPr="00000000">
        <w:rPr>
          <w:rtl w:val="0"/>
        </w:rPr>
        <w:t xml:space="preserve"> weaken §1's lifetime-versus-occupancy distinction — that argument is intact, is supported by a deposited gate, and is one of the paper's better moves. Aster does not attack it; he attacks the claim that MFPT is the universal essence of persistence.</w:t>
      </w:r>
    </w:p>
    <w:p w:rsidR="00000000" w:rsidDel="00000000" w:rsidP="00000000" w:rsidRDefault="00000000" w:rsidRPr="00000000" w14:paraId="0000003F">
      <w:pPr>
        <w:pStyle w:val="Heading3"/>
        <w:rPr/>
      </w:pPr>
      <w:bookmarkStart w:colFirst="0" w:colLast="0" w:name="_v0imgf4grag1" w:id="14"/>
      <w:bookmarkEnd w:id="14"/>
      <w:r w:rsidDel="00000000" w:rsidR="00000000" w:rsidRPr="00000000">
        <w:rPr>
          <w:rFonts w:ascii="Arial Unicode MS" w:cs="Arial Unicode MS" w:eastAsia="Arial Unicode MS" w:hAnsi="Arial Unicode MS"/>
          <w:rtl w:val="0"/>
        </w:rPr>
        <w:t xml:space="preserve">M4 — RED-6: Cμ is not a synonym for material complexity → </w:t>
      </w:r>
      <w:r w:rsidDel="00000000" w:rsidR="00000000" w:rsidRPr="00000000">
        <w:rPr>
          <w:b w:val="1"/>
          <w:bCs w:val="1"/>
          <w:rtl w:val="0"/>
        </w:rPr>
        <w:t xml:space="preserve">ACCEPT</w:t>
      </w: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The problem.</w:t>
      </w:r>
      <w:r w:rsidDel="00000000" w:rsidR="00000000" w:rsidRPr="00000000">
        <w:rPr>
          <w:rtl w:val="0"/>
        </w:rPr>
        <w:t xml:space="preserve"> Statistical complexity is defined for a specified stationary stochastic process and its optimal predictive model. You cannot look at a materially elaborate object and infer large Cμ. A nearly static deterministic process can have trivial predictive-state entropy while the object is molecularly complicated. So "the spore has high Cμ at near-zero E" is not a computed fact; it depends on an observable, ensemble, noise model, and causal-state reconstruction none of which the canon declares. The same objection applies to "a periodic crystal has Cμ = 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Recommendation.</w:t>
      </w:r>
      <w:r w:rsidDel="00000000" w:rsidR="00000000" w:rsidRPr="00000000">
        <w:rPr>
          <w:rtl w:val="0"/>
        </w:rPr>
        <w:t xml:space="preserve"> Separate three notions permanently and never re-fuse them: predictive dependence (E), predictive-state complexity (Cμ) of a </w:t>
      </w:r>
      <w:r w:rsidDel="00000000" w:rsidR="00000000" w:rsidRPr="00000000">
        <w:rPr>
          <w:i w:val="1"/>
          <w:iCs w:val="1"/>
          <w:rtl w:val="0"/>
        </w:rPr>
        <w:t xml:space="preserve">declared process</w:t>
      </w:r>
      <w:r w:rsidDel="00000000" w:rsidR="00000000" w:rsidRPr="00000000">
        <w:rPr>
          <w:rtl w:val="0"/>
        </w:rPr>
        <w:t xml:space="preserve">, and stored physical organization. The spore can still motivate the Memory-numerator choice as a thought experiment; it stops being a computed witness until an observation process is declared and measured. This is a genuine loss — the spore was carrying weight in the "which numerator" argument — and it is the same loss as </w:t>
      </w:r>
      <w:r w:rsidDel="00000000" w:rsidR="00000000" w:rsidRPr="00000000">
        <w:rPr>
          <w:b w:val="1"/>
          <w:bCs w:val="1"/>
          <w:rtl w:val="0"/>
        </w:rPr>
        <w:t xml:space="preserve">H5</w:t>
      </w:r>
      <w:r w:rsidDel="00000000" w:rsidR="00000000" w:rsidRPr="00000000">
        <w:rPr>
          <w:rtl w:val="0"/>
        </w:rPr>
        <w:t xml:space="preserve">. It is also cheap to fix later: one declared observation model on a dormant-cell time series would restore it.</w:t>
      </w:r>
    </w:p>
    <w:p w:rsidR="00000000" w:rsidDel="00000000" w:rsidP="00000000" w:rsidRDefault="00000000" w:rsidRPr="00000000" w14:paraId="00000043">
      <w:pPr>
        <w:pStyle w:val="Heading3"/>
        <w:rPr/>
      </w:pPr>
      <w:bookmarkStart w:colFirst="0" w:colLast="0" w:name="_4h7loiaufzts" w:id="15"/>
      <w:bookmarkEnd w:id="15"/>
      <w:r w:rsidDel="00000000" w:rsidR="00000000" w:rsidRPr="00000000">
        <w:rPr>
          <w:rFonts w:ascii="Arial Unicode MS" w:cs="Arial Unicode MS" w:eastAsia="Arial Unicode MS" w:hAnsi="Arial Unicode MS"/>
          <w:rtl w:val="0"/>
        </w:rPr>
        <w:t xml:space="preserve">M5 — RED-8: the benchmark does not show four-target necessity → </w:t>
      </w:r>
      <w:r w:rsidDel="00000000" w:rsidR="00000000" w:rsidRPr="00000000">
        <w:rPr>
          <w:b w:val="1"/>
          <w:bCs w:val="1"/>
          <w:rtl w:val="0"/>
        </w:rPr>
        <w:t xml:space="preserve">ACCEPT</w:t>
      </w: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The problem.</w:t>
      </w:r>
      <w:r w:rsidDel="00000000" w:rsidR="00000000" w:rsidRPr="00000000">
        <w:rPr>
          <w:rtl w:val="0"/>
        </w:rPr>
        <w:t xml:space="preserve"> §11b shows that coalition-aware viability attribution correctly recovers a designed structure — inert edge, load-bearing edge, redundancy, synergy — where a strength or correlation reading inverts. It does not show that Boundary, Drive, Memory, and Integration are jointly necessary. The ground truth comes from a designed survival function and intervention table; the four panels neither supply it nor perform the discrimination.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Recommendation.</w:t>
      </w:r>
      <w:r w:rsidDel="00000000" w:rsidR="00000000" w:rsidRPr="00000000">
        <w:rPr>
          <w:rtl w:val="0"/>
        </w:rPr>
        <w:t xml:space="preserve"> Accept — you half-conceded this at v1.19 when §11b became a "competence check." Finish the regrade: it is a unit test of the semantic intervention protocol, full stop. The four-target necessity claim cannot be recovered here; it needs </w:t>
      </w:r>
      <w:r w:rsidDel="00000000" w:rsidR="00000000" w:rsidRPr="00000000">
        <w:rPr>
          <w:b w:val="1"/>
          <w:bCs w:val="1"/>
          <w:rtl w:val="0"/>
        </w:rPr>
        <w:t xml:space="preserve">H4</w:t>
      </w:r>
      <w:r w:rsidDel="00000000" w:rsidR="00000000" w:rsidRPr="00000000">
        <w:rPr>
          <w:rtl w:val="0"/>
        </w:rPr>
        <w:t xml:space="preserve">'s external benchmark or a head-to-head against a named single-axis rival using that rival's own operational definitions.</w:t>
      </w:r>
    </w:p>
    <w:p w:rsidR="00000000" w:rsidDel="00000000" w:rsidP="00000000" w:rsidRDefault="00000000" w:rsidRPr="00000000" w14:paraId="00000047">
      <w:pPr>
        <w:pStyle w:val="Heading3"/>
        <w:rPr/>
      </w:pPr>
      <w:bookmarkStart w:colFirst="0" w:colLast="0" w:name="_1qw81ywh5ltr" w:id="16"/>
      <w:bookmarkEnd w:id="16"/>
      <w:r w:rsidDel="00000000" w:rsidR="00000000" w:rsidRPr="00000000">
        <w:rPr>
          <w:rFonts w:ascii="Arial Unicode MS" w:cs="Arial Unicode MS" w:eastAsia="Arial Unicode MS" w:hAnsi="Arial Unicode MS"/>
          <w:rtl w:val="0"/>
        </w:rPr>
        <w:t xml:space="preserve">M6 — ORANGE-9: the modal × semantic plane → </w:t>
      </w:r>
      <w:r w:rsidDel="00000000" w:rsidR="00000000" w:rsidRPr="00000000">
        <w:rPr>
          <w:b w:val="1"/>
          <w:bCs w:val="1"/>
          <w:rtl w:val="0"/>
        </w:rPr>
        <w:t xml:space="preserve">ACCEPT</w:t>
      </w: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The problem.</w:t>
      </w:r>
      <w:r w:rsidDel="00000000" w:rsidR="00000000" w:rsidRPr="00000000">
        <w:rPr>
          <w:rtl w:val="0"/>
        </w:rPr>
        <w:t xml:space="preserve"> Figure 2 draws forced / conditional / free as a vertical coordinate and invites the reading that "persistence lives up and to the right." There is no such order. A contingent mechanism can be completely load-bearing; a forced relation can be irrelevant to whether a system survives. Lawfulness is not importance. Separately, whether a </w:t>
      </w:r>
      <w:r w:rsidDel="00000000" w:rsidR="00000000" w:rsidRPr="00000000">
        <w:rPr>
          <w:i w:val="1"/>
          <w:iCs w:val="1"/>
          <w:rtl w:val="0"/>
        </w:rPr>
        <w:t xml:space="preserve">named AOP edge</w:t>
      </w:r>
      <w:r w:rsidDel="00000000" w:rsidR="00000000" w:rsidRPr="00000000">
        <w:rPr>
          <w:rtl w:val="0"/>
        </w:rPr>
        <w:t xml:space="preserve"> instantiates a law is declaration-dependent even when the law itself is objective, so the vertical coordinate is not observer-free either.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Recommendation.</w:t>
      </w:r>
      <w:r w:rsidDel="00000000" w:rsidR="00000000" w:rsidRPr="00000000">
        <w:rPr>
          <w:rtl w:val="0"/>
        </w:rPr>
        <w:t xml:space="preserve"> Replace the plane with a matrix or tagged ledger; treat modal class as categorical, not ordinal. The canon already concedes the horizontal axis is an interval rather than a point (line 262) — this finishes the repair the same paragraph started. You lose an attractive figure and a false implication together.</w:t>
      </w:r>
    </w:p>
    <w:p w:rsidR="00000000" w:rsidDel="00000000" w:rsidP="00000000" w:rsidRDefault="00000000" w:rsidRPr="00000000" w14:paraId="0000004B">
      <w:pPr>
        <w:pStyle w:val="Heading3"/>
        <w:rPr/>
      </w:pPr>
      <w:bookmarkStart w:colFirst="0" w:colLast="0" w:name="_msz0efa40t1u" w:id="17"/>
      <w:bookmarkEnd w:id="17"/>
      <w:r w:rsidDel="00000000" w:rsidR="00000000" w:rsidRPr="00000000">
        <w:rPr>
          <w:rFonts w:ascii="Arial Unicode MS" w:cs="Arial Unicode MS" w:eastAsia="Arial Unicode MS" w:hAnsi="Arial Unicode MS"/>
          <w:rtl w:val="0"/>
        </w:rPr>
        <w:t xml:space="preserve">M7 — RED-11: the observer and the viability functional → </w:t>
      </w:r>
      <w:r w:rsidDel="00000000" w:rsidR="00000000" w:rsidRPr="00000000">
        <w:rPr>
          <w:b w:val="1"/>
          <w:bCs w:val="1"/>
          <w:rtl w:val="0"/>
        </w:rPr>
        <w:t xml:space="preserve">ACCEPT</w:t>
      </w: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The problem.</w:t>
      </w:r>
      <w:r w:rsidDel="00000000" w:rsidR="00000000" w:rsidRPr="00000000">
        <w:rPr>
          <w:rtl w:val="0"/>
        </w:rPr>
        <w:t xml:space="preserve"> The paper holds three positions that cannot all be true: viability is intrinsically supplied by the persisting system; viability is an observer-independent present structural fact; viability is relative to the declared functional </w:t>
      </w:r>
      <w:r w:rsidDel="00000000" w:rsidR="00000000" w:rsidRPr="00000000">
        <w:rPr>
          <w:b w:val="1"/>
          <w:bCs w:val="1"/>
          <w:rtl w:val="0"/>
        </w:rPr>
        <w:t xml:space="preserve">V</w:t>
      </w:r>
      <w:r w:rsidDel="00000000" w:rsidR="00000000" w:rsidRPr="00000000">
        <w:rPr>
          <w:rtl w:val="0"/>
        </w:rPr>
        <w:t xml:space="preserve"> in the analyst's tuple. The viable set, tolerance, perturbation ensemble, horizon, identity criterion, and recovery rule are all analyst-declared. And agentless selection cannot do the work for atoms, flames, crystals, or stars — none of them reproduce.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Recommendation.</w:t>
      </w:r>
      <w:r w:rsidDel="00000000" w:rsidR="00000000" w:rsidRPr="00000000">
        <w:rPr>
          <w:rtl w:val="0"/>
        </w:rPr>
        <w:t xml:space="preserve"> Take Aster's clean position: </w:t>
      </w:r>
      <w:r w:rsidDel="00000000" w:rsidR="00000000" w:rsidRPr="00000000">
        <w:rPr>
          <w:b w:val="1"/>
          <w:bCs w:val="1"/>
          <w:rtl w:val="0"/>
        </w:rPr>
        <w:t xml:space="preserve">semantic claims are explicitly relative to a declared persistence criterion.</w:t>
      </w:r>
      <w:r w:rsidDel="00000000" w:rsidR="00000000" w:rsidRPr="00000000">
        <w:rPr>
          <w:rtl w:val="0"/>
        </w:rPr>
        <w:t xml:space="preserve"> Drop "the system is its own observer." This does not cost you homunculus containment — declaration-relativity contains it </w:t>
      </w:r>
      <w:r w:rsidDel="00000000" w:rsidR="00000000" w:rsidRPr="00000000">
        <w:rPr>
          <w:i w:val="1"/>
          <w:iCs w:val="1"/>
          <w:rtl w:val="0"/>
        </w:rPr>
        <w:t xml:space="preserve">better</w:t>
      </w:r>
      <w:r w:rsidDel="00000000" w:rsidR="00000000" w:rsidRPr="00000000">
        <w:rPr>
          <w:rtl w:val="0"/>
        </w:rPr>
        <w:t xml:space="preserve">, because it names the analyst instead of hiding him inside the system. Note also that the v1.25 masthead already scopes "own" to "the set the functional is evaluated on, not a viability the system possesses," so this finishes a repair already underway rather than reversing course.</w:t>
      </w:r>
    </w:p>
    <w:p w:rsidR="00000000" w:rsidDel="00000000" w:rsidP="00000000" w:rsidRDefault="00000000" w:rsidRPr="00000000" w14:paraId="0000004F">
      <w:pPr>
        <w:pStyle w:val="Heading3"/>
        <w:rPr/>
      </w:pPr>
      <w:bookmarkStart w:colFirst="0" w:colLast="0" w:name="_so7lkd63jvw" w:id="18"/>
      <w:bookmarkEnd w:id="18"/>
      <w:r w:rsidDel="00000000" w:rsidR="00000000" w:rsidRPr="00000000">
        <w:rPr>
          <w:rFonts w:ascii="Arial Unicode MS" w:cs="Arial Unicode MS" w:eastAsia="Arial Unicode MS" w:hAnsi="Arial Unicode MS"/>
          <w:rtl w:val="0"/>
        </w:rPr>
        <w:t xml:space="preserve">M8 — RED-15: rename Φ_MIP → </w:t>
      </w:r>
      <w:r w:rsidDel="00000000" w:rsidR="00000000" w:rsidRPr="00000000">
        <w:rPr>
          <w:b w:val="1"/>
          <w:bCs w:val="1"/>
          <w:rtl w:val="0"/>
        </w:rPr>
        <w:t xml:space="preserve">ACCEPT</w:t>
      </w: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The problem.</w:t>
      </w:r>
      <w:r w:rsidDel="00000000" w:rsidR="00000000" w:rsidRPr="00000000">
        <w:rPr>
          <w:rtl w:val="0"/>
        </w:rPr>
        <w:t xml:space="preserve"> Φ_MIP &gt; 0 means only that no declared bipartition is exactly independent under the chosen distribution and normalization. Weakly correlated piles, common-input correlation, environmental entrainment, and measurement cross-talk all satisfy it; nearly any finite physical collection is positive at sufficient precision. The canon nevertheless treats it as sufficient for a collective to be one higher persister with its own four-axis profile (line 372, and §9a). Separately, Aster is right that the static-Gaussian minimum-cut construction on Σ = (I+gL)⁻¹ is an AOP construction inspired by Aguilera &amp; Di Paolo, not their published measure imported unchanged.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Recommendation.</w:t>
      </w:r>
      <w:r w:rsidDel="00000000" w:rsidR="00000000" w:rsidRPr="00000000">
        <w:rPr>
          <w:rtl w:val="0"/>
        </w:rPr>
        <w:t xml:space="preserve"> Rename to </w:t>
      </w:r>
      <w:r w:rsidDel="00000000" w:rsidR="00000000" w:rsidRPr="00000000">
        <w:rPr>
          <w:b w:val="1"/>
          <w:bCs w:val="1"/>
          <w:rtl w:val="0"/>
        </w:rPr>
        <w:t xml:space="preserve">minimum-cut dependence</w:t>
      </w:r>
      <w:r w:rsidDel="00000000" w:rsidR="00000000" w:rsidRPr="00000000">
        <w:rPr>
          <w:rtl w:val="0"/>
        </w:rPr>
        <w:t xml:space="preserve"> (or minimum-cut irreducibility diagnostic), cite the Aguilera–Di Paolo lineage as inspiration, and make it one coordinate in an individuation panel alongside autonomy, causal closure, intervention stability, and common-cause controls. Delete the inference from positivity to individual. The §9a synchronic claim goes with it — as written it contradicts your own §13a retraction, and </w:t>
      </w:r>
      <w:r w:rsidDel="00000000" w:rsidR="00000000" w:rsidRPr="00000000">
        <w:rPr>
          <w:i w:val="1"/>
          <w:iCs w:val="1"/>
          <w:rtl w:val="0"/>
        </w:rPr>
        <w:t xml:space="preserve">that</w:t>
      </w:r>
      <w:r w:rsidDel="00000000" w:rsidR="00000000" w:rsidRPr="00000000">
        <w:rPr>
          <w:rtl w:val="0"/>
        </w:rPr>
        <w:t xml:space="preserve"> internal inconsistency is the worse problem of the two.</w:t>
      </w:r>
    </w:p>
    <w:p w:rsidR="00000000" w:rsidDel="00000000" w:rsidP="00000000" w:rsidRDefault="00000000" w:rsidRPr="00000000" w14:paraId="00000053">
      <w:pPr>
        <w:pStyle w:val="Heading3"/>
        <w:rPr/>
      </w:pPr>
      <w:bookmarkStart w:colFirst="0" w:colLast="0" w:name="_6up35ebri9xu" w:id="19"/>
      <w:bookmarkEnd w:id="19"/>
      <w:r w:rsidDel="00000000" w:rsidR="00000000" w:rsidRPr="00000000">
        <w:rPr>
          <w:rFonts w:ascii="Arial Unicode MS" w:cs="Arial Unicode MS" w:eastAsia="Arial Unicode MS" w:hAnsi="Arial Unicode MS"/>
          <w:rtl w:val="0"/>
        </w:rPr>
        <w:t xml:space="preserve">M9 — ORANGE-16: diachronic identity (§4a) → </w:t>
      </w:r>
      <w:r w:rsidDel="00000000" w:rsidR="00000000" w:rsidRPr="00000000">
        <w:rPr>
          <w:b w:val="1"/>
          <w:bCs w:val="1"/>
          <w:rtl w:val="0"/>
        </w:rPr>
        <w:t xml:space="preserve">ACCEPT the disposition, not the criticism</w:t>
      </w: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The problem.</w:t>
      </w:r>
      <w:r w:rsidDel="00000000" w:rsidR="00000000" w:rsidRPr="00000000">
        <w:rPr>
          <w:rtl w:val="0"/>
        </w:rPr>
        <w:t xml:space="preserve"> Continuity of instantiation is a coherent process-ontological position. It is not a settled criterion that resolves transporter, fission, fusion, cryostasis, or de-extinction cases, and the transporter verdict assumes precisely what is in dispute — that physical discontinuity defeats identity.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Recommendation.</w:t>
      </w:r>
      <w:r w:rsidDel="00000000" w:rsidR="00000000" w:rsidRPr="00000000">
        <w:rPr>
          <w:rtl w:val="0"/>
        </w:rPr>
        <w:t xml:space="preserve"> Move §4a to a follow-on or an outlook box; in the core say only that diachronic comparison requires a declared tracking relation. You are not conceding the position is wrong. You are declining a metaphysics fight that contributes nothing to the persistence argument and on which the paper can only lose ground.</w:t>
      </w:r>
    </w:p>
    <w:p w:rsidR="00000000" w:rsidDel="00000000" w:rsidP="00000000" w:rsidRDefault="00000000" w:rsidRPr="00000000" w14:paraId="00000057">
      <w:pPr>
        <w:pStyle w:val="Heading3"/>
        <w:rPr/>
      </w:pPr>
      <w:bookmarkStart w:colFirst="0" w:colLast="0" w:name="_95i6l2439j5r" w:id="20"/>
      <w:bookmarkEnd w:id="20"/>
      <w:r w:rsidDel="00000000" w:rsidR="00000000" w:rsidRPr="00000000">
        <w:rPr>
          <w:rFonts w:ascii="Arial Unicode MS" w:cs="Arial Unicode MS" w:eastAsia="Arial Unicode MS" w:hAnsi="Arial Unicode MS"/>
          <w:rtl w:val="0"/>
        </w:rPr>
        <w:t xml:space="preserve">M10 — RED-19: the spore's "viable/pausable" tier → </w:t>
      </w:r>
      <w:r w:rsidDel="00000000" w:rsidR="00000000" w:rsidRPr="00000000">
        <w:rPr>
          <w:b w:val="1"/>
          <w:bCs w:val="1"/>
          <w:rtl w:val="0"/>
        </w:rPr>
        <w:t xml:space="preserve">ACCEPT</w:t>
      </w: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The problem.</w:t>
      </w:r>
      <w:r w:rsidDel="00000000" w:rsidR="00000000" w:rsidRPr="00000000">
        <w:rPr>
          <w:rtl w:val="0"/>
        </w:rPr>
        <w:t xml:space="preserve"> The second tier is read off present structure — the decoupled-reference architecture is </w:t>
      </w:r>
      <w:r w:rsidDel="00000000" w:rsidR="00000000" w:rsidRPr="00000000">
        <w:rPr>
          <w:i w:val="1"/>
          <w:iCs w:val="1"/>
          <w:rtl w:val="0"/>
        </w:rPr>
        <w:t xml:space="preserve">there</w:t>
      </w:r>
      <w:r w:rsidDel="00000000" w:rsidR="00000000" w:rsidRPr="00000000">
        <w:rPr>
          <w:rtl w:val="0"/>
        </w:rPr>
        <w:t xml:space="preserve">. But a dead spore can retain the same visible architecture. Whether the wiring still functions is a counterfactual about future dynamics, and distinguishing live-paused from dead-but-intact requires biochemical integrity, recoverability under a declared perturbation, or a functional intervention. Renaming capacity as current structure does not evade the horizon.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Recommendation.</w:t>
      </w:r>
      <w:r w:rsidDel="00000000" w:rsidR="00000000" w:rsidRPr="00000000">
        <w:rPr>
          <w:rtl w:val="0"/>
        </w:rPr>
        <w:t xml:space="preserve"> Define pausable viability as a present-state-conditioned </w:t>
      </w:r>
      <w:r w:rsidDel="00000000" w:rsidR="00000000" w:rsidRPr="00000000">
        <w:rPr>
          <w:b w:val="1"/>
          <w:bCs w:val="1"/>
          <w:rtl w:val="0"/>
        </w:rPr>
        <w:t xml:space="preserve">counterfactual recovery capacity</w:t>
      </w:r>
      <w:r w:rsidDel="00000000" w:rsidR="00000000" w:rsidRPr="00000000">
        <w:rPr>
          <w:rtl w:val="0"/>
        </w:rPr>
        <w:t xml:space="preserve">, and admit it is evaluated through a model of future dynamics. This dents the present-tense principle and that is the honest cost. Present-tense survives intact for the </w:t>
      </w:r>
      <w:r w:rsidDel="00000000" w:rsidR="00000000" w:rsidRPr="00000000">
        <w:rPr>
          <w:i w:val="1"/>
          <w:iCs w:val="1"/>
          <w:rtl w:val="0"/>
        </w:rPr>
        <w:t xml:space="preserve">alive</w:t>
      </w:r>
      <w:r w:rsidDel="00000000" w:rsidR="00000000" w:rsidRPr="00000000">
        <w:rPr>
          <w:rtl w:val="0"/>
        </w:rPr>
        <w:t xml:space="preserve"> tier, which is the tier the mask actually operationalizes; the second tier was always doing a different job and should say so.</w:t>
      </w:r>
    </w:p>
    <w:p w:rsidR="00000000" w:rsidDel="00000000" w:rsidP="00000000" w:rsidRDefault="00000000" w:rsidRPr="00000000" w14:paraId="0000005B">
      <w:pPr>
        <w:pStyle w:val="Heading3"/>
        <w:rPr/>
      </w:pPr>
      <w:bookmarkStart w:colFirst="0" w:colLast="0" w:name="_61o35adzqrbu" w:id="21"/>
      <w:bookmarkEnd w:id="21"/>
      <w:r w:rsidDel="00000000" w:rsidR="00000000" w:rsidRPr="00000000">
        <w:rPr>
          <w:rFonts w:ascii="Arial Unicode MS" w:cs="Arial Unicode MS" w:eastAsia="Arial Unicode MS" w:hAnsi="Arial Unicode MS"/>
          <w:rtl w:val="0"/>
        </w:rPr>
        <w:t xml:space="preserve">M11 — RED-21: "death is the four dimensions failing as one" → </w:t>
      </w:r>
      <w:r w:rsidDel="00000000" w:rsidR="00000000" w:rsidRPr="00000000">
        <w:rPr>
          <w:b w:val="1"/>
          <w:bCs w:val="1"/>
          <w:rtl w:val="0"/>
        </w:rPr>
        <w:t xml:space="preserve">REJECT-SEVERITY</w:t>
      </w: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The problem as Aster states it.</w:t>
      </w:r>
      <w:r w:rsidDel="00000000" w:rsidR="00000000" w:rsidRPr="00000000">
        <w:rPr>
          <w:rtl w:val="0"/>
        </w:rPr>
        <w:t xml:space="preserve"> Organisms are dead while membranes hold, genomes persist, local metabolism continues transiently, and tissue gradients decay on different timescales. So the four failures do not arrive together.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Why I don't accept the deletion.</w:t>
      </w:r>
      <w:r w:rsidDel="00000000" w:rsidR="00000000" w:rsidRPr="00000000">
        <w:rPr>
          <w:rtl w:val="0"/>
        </w:rPr>
        <w:t xml:space="preserve"> The canon already scopes the claim to "a system integrated enough that the axes are mutually load-bearing," and keeps the qualifier in the headline sentence ("on an integrated persister"). Every one of Aster's counterexamples is a </w:t>
      </w:r>
      <w:r w:rsidDel="00000000" w:rsidR="00000000" w:rsidRPr="00000000">
        <w:rPr>
          <w:b w:val="1"/>
          <w:bCs w:val="1"/>
          <w:rtl w:val="0"/>
        </w:rPr>
        <w:t xml:space="preserve">time-grain</w:t>
      </w:r>
      <w:r w:rsidDel="00000000" w:rsidR="00000000" w:rsidRPr="00000000">
        <w:rPr>
          <w:rtl w:val="0"/>
        </w:rPr>
        <w:t xml:space="preserve"> objection: the failures arrive together on the organism's clock, not on the tissue's or the molecule's. Time-grain relativity of the axes is already yours — it is exactly the star's thermal-versus-nuclear Memory result.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Recommendation.</w:t>
      </w:r>
      <w:r w:rsidDel="00000000" w:rsidR="00000000" w:rsidRPr="00000000">
        <w:rPr>
          <w:rtl w:val="0"/>
        </w:rPr>
        <w:t xml:space="preserve"> Declare the grain, keep the claim, keep the SYNTHESIS grade. If it stays in the paper at all it likely travels with the life block to a follow-on (</w:t>
      </w:r>
      <w:r w:rsidDel="00000000" w:rsidR="00000000" w:rsidRPr="00000000">
        <w:rPr>
          <w:b w:val="1"/>
          <w:bCs w:val="1"/>
          <w:rtl w:val="0"/>
        </w:rPr>
        <w:t xml:space="preserve">H3</w:t>
      </w:r>
      <w:r w:rsidDel="00000000" w:rsidR="00000000" w:rsidRPr="00000000">
        <w:rPr>
          <w:rtl w:val="0"/>
        </w:rPr>
        <w:t xml:space="preserve">), in which case this is moot.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1"/>
        <w:rPr/>
      </w:pPr>
      <w:bookmarkStart w:colFirst="0" w:colLast="0" w:name="_qnhp26shv1qz" w:id="22"/>
      <w:bookmarkEnd w:id="22"/>
      <w:r w:rsidDel="00000000" w:rsidR="00000000" w:rsidRPr="00000000">
        <w:rPr>
          <w:rtl w:val="0"/>
        </w:rPr>
        <w:t xml:space="preserve">HIGH RISK</w:t>
      </w:r>
    </w:p>
    <w:p w:rsidR="00000000" w:rsidDel="00000000" w:rsidP="00000000" w:rsidRDefault="00000000" w:rsidRPr="00000000" w14:paraId="00000064">
      <w:pPr>
        <w:rPr/>
      </w:pPr>
      <w:r w:rsidDel="00000000" w:rsidR="00000000" w:rsidRPr="00000000">
        <w:rPr>
          <w:rtl w:val="0"/>
        </w:rPr>
        <w:t xml:space="preserve">Extended discussion. BLUF first.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rPr/>
      </w:pPr>
      <w:bookmarkStart w:colFirst="0" w:colLast="0" w:name="_ugbgo0saruqn" w:id="23"/>
      <w:bookmarkEnd w:id="23"/>
      <w:r w:rsidDel="00000000" w:rsidR="00000000" w:rsidRPr="00000000">
        <w:rPr>
          <w:rFonts w:ascii="Arial Unicode MS" w:cs="Arial Unicode MS" w:eastAsia="Arial Unicode MS" w:hAnsi="Arial Unicode MS"/>
          <w:rtl w:val="0"/>
        </w:rPr>
        <w:t xml:space="preserve">H1 — The Drive → Memory theorem (RED-4, ORANGE-5)</w:t>
      </w:r>
    </w:p>
    <w:p w:rsidR="00000000" w:rsidDel="00000000" w:rsidP="00000000" w:rsidRDefault="00000000" w:rsidRPr="00000000" w14:paraId="00000068">
      <w:pPr>
        <w:rPr/>
      </w:pPr>
      <w:r w:rsidDel="00000000" w:rsidR="00000000" w:rsidRPr="00000000">
        <w:rPr>
          <w:b w:val="1"/>
          <w:bCs w:val="1"/>
          <w:rtl w:val="0"/>
        </w:rPr>
        <w:t xml:space="preserve">BLUF: Reject the "false, downgrade to conditionally-forced" verdict. Accept a fourth scope condition and keep the theorem at forced × theorem/corollary. Roughly one sentence of work. Separately, accept the rhetorical demotion in ORANGE-5.</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The canon's proof (line 129, restated 606) runs: E = 0 iff the stationary process is i.i.d.; an i.i.d. process equals its own time-reverse in distribution; therefore its entropy production vanishes; contrapositive, σ &gt; 0 ⇒ E &gt; 0.</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Aster attacks step two with a two-state odd-parity example: a variable v ∈ {+1, −1} drawn i.i.d. with P(+1) = q ≠ ½, reversed under Θ(v) = −v. Past and future are independent so E = 0, while the per-step divergence between the forward process and its parity-reversed image is (2q−1)·log(q/(1−q)) &gt; 0. I recomputed it: 0.8318 nats at q = 0.8. The arithmetic is correct.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But look at what the example actually establishes. Under </w:t>
      </w:r>
      <w:r w:rsidDel="00000000" w:rsidR="00000000" w:rsidRPr="00000000">
        <w:rPr>
          <w:b w:val="1"/>
          <w:bCs w:val="1"/>
          <w:rtl w:val="0"/>
        </w:rPr>
        <w:t xml:space="preserve">pure sequence reversal</w:t>
      </w:r>
      <w:r w:rsidDel="00000000" w:rsidR="00000000" w:rsidRPr="00000000">
        <w:rPr>
          <w:rtl w:val="0"/>
        </w:rPr>
        <w:t xml:space="preserve"> — reverse the order, leave the state alone — the same process gives a divergence of exactly zero, which I also checked. So the theorem's truth value is determined entirely by a convention the canon never states. This is not a false theorem. It is an </w:t>
      </w:r>
      <w:r w:rsidDel="00000000" w:rsidR="00000000" w:rsidRPr="00000000">
        <w:rPr>
          <w:b w:val="1"/>
          <w:bCs w:val="1"/>
          <w:rtl w:val="0"/>
        </w:rPr>
        <w:t xml:space="preserve">under-declared</w:t>
      </w:r>
      <w:r w:rsidDel="00000000" w:rsidR="00000000" w:rsidRPr="00000000">
        <w:rPr>
          <w:rtl w:val="0"/>
        </w:rPr>
        <w:t xml:space="preserve"> one, and Aster's own repair list says as much in three of its four options.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There is a further wrinkle that cuts against him. It is not obvious that his parity-reversed path divergence </w:t>
      </w:r>
      <w:r w:rsidDel="00000000" w:rsidR="00000000" w:rsidRPr="00000000">
        <w:rPr>
          <w:i w:val="1"/>
          <w:iCs w:val="1"/>
          <w:rtl w:val="0"/>
        </w:rPr>
        <w:t xml:space="preserve">is</w:t>
      </w:r>
      <w:r w:rsidDel="00000000" w:rsidR="00000000" w:rsidRPr="00000000">
        <w:rPr>
          <w:rtl w:val="0"/>
        </w:rPr>
        <w:t xml:space="preserve"> the physical entropy production. The Spinney–Ford literature he cites decomposes the total entropy production in the presence of odd variables into components, and the terms arising from parity asymmetry of the stationary distribution are not themselves entropy production and are not sign-definite. So the counterexample does not cleanly exhibit "σ &gt; 0 with E = 0" in the physical sense; it exhibits "one candidate reading of σ is positive while E = 0." That is enough to require the declaration. It is not enough to call the theorem false.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What to do.</w:t>
      </w:r>
      <w:r w:rsidDel="00000000" w:rsidR="00000000" w:rsidRPr="00000000">
        <w:rPr>
          <w:rtl w:val="0"/>
        </w:rPr>
        <w:t xml:space="preserve"> Add a fourth scope condition alongside the three already at §4 — same complete description, stationarity, floor-not-depth — reading: </w:t>
      </w:r>
      <w:r w:rsidDel="00000000" w:rsidR="00000000" w:rsidRPr="00000000">
        <w:rPr>
          <w:i w:val="1"/>
          <w:iCs w:val="1"/>
          <w:rtl w:val="0"/>
        </w:rPr>
        <w:t xml:space="preserve">all state variables even under the declared reversal, or the stationary one-point distribution invariant under the reversal involution.</w:t>
      </w:r>
      <w:r w:rsidDel="00000000" w:rsidR="00000000" w:rsidRPr="00000000">
        <w:rPr>
          <w:rtl w:val="0"/>
        </w:rPr>
        <w:t xml:space="preserve"> Add the reversal convention as an explicit slot in the declaration tuple </w:t>
      </w:r>
      <w:r w:rsidDel="00000000" w:rsidR="00000000" w:rsidRPr="00000000">
        <w:rPr>
          <w:b w:val="1"/>
          <w:bCs w:val="1"/>
          <w:rtl w:val="0"/>
        </w:rPr>
        <w:t xml:space="preserve">D</w:t>
      </w:r>
      <w:r w:rsidDel="00000000" w:rsidR="00000000" w:rsidRPr="00000000">
        <w:rPr>
          <w:rtl w:val="0"/>
        </w:rPr>
        <w:t xml:space="preserve"> (this is the same fix as </w:t>
      </w:r>
      <w:r w:rsidDel="00000000" w:rsidR="00000000" w:rsidRPr="00000000">
        <w:rPr>
          <w:b w:val="1"/>
          <w:bCs w:val="1"/>
          <w:rtl w:val="0"/>
        </w:rPr>
        <w:t xml:space="preserve">M2</w:t>
      </w:r>
      <w:r w:rsidDel="00000000" w:rsidR="00000000" w:rsidRPr="00000000">
        <w:rPr>
          <w:rtl w:val="0"/>
        </w:rPr>
        <w:t xml:space="preserve">). The status stays forced × theorem/corollary, now with four scope conditions instead of three.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The cost you should notice.</w:t>
      </w:r>
      <w:r w:rsidDel="00000000" w:rsidR="00000000" w:rsidRPr="00000000">
        <w:rPr>
          <w:rtl w:val="0"/>
        </w:rPr>
        <w:t xml:space="preserve"> If you instead declare σ as pure sequence reversal, the theorem is unconditionally true — but σ stops being physical entropy production, and Drive is defined in the canon </w:t>
      </w:r>
      <w:r w:rsidDel="00000000" w:rsidR="00000000" w:rsidRPr="00000000">
        <w:rPr>
          <w:i w:val="1"/>
          <w:iCs w:val="1"/>
          <w:rtl w:val="0"/>
        </w:rPr>
        <w:t xml:space="preserve">as</w:t>
      </w:r>
      <w:r w:rsidDel="00000000" w:rsidR="00000000" w:rsidRPr="00000000">
        <w:rPr>
          <w:rtl w:val="0"/>
        </w:rPr>
        <w:t xml:space="preserve"> entropy-production rate. That route saves the theorem and damages the axis. Don't take it. The scope condition is the cheaper trade, and it holds trivially for the configuration-space Markov models the canon actually computes on.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On ORANGE-5.</w:t>
      </w:r>
      <w:r w:rsidDel="00000000" w:rsidR="00000000" w:rsidRPr="00000000">
        <w:rPr>
          <w:rtl w:val="0"/>
        </w:rPr>
        <w:t xml:space="preserve"> Aster's second point is that even repaired, the theorem is thin: E can be arbitrarily small, need not be stored in a present state, need not be accessible, need not be used for control. He is right, and your own gate results already said so — Ξ = 0 at every drive, no floor on Cμ, the spoke reaching predictive memory and stopping. Accept the demotion: keep it as a scoped theorem box, stop using it as a rhetorical pillar of "Energy as hub." That is a change of emphasis, not of science, and the canon has already done the hard part of bounding it.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rPr/>
      </w:pPr>
      <w:bookmarkStart w:colFirst="0" w:colLast="0" w:name="_9hjjag2o5ujp" w:id="24"/>
      <w:bookmarkEnd w:id="24"/>
      <w:r w:rsidDel="00000000" w:rsidR="00000000" w:rsidRPr="00000000">
        <w:rPr>
          <w:rtl w:val="0"/>
        </w:rPr>
        <w:t xml:space="preserve">H2 — The physics block: screenability, light cones, binding (RED-12, RED-13, RED-14)</w:t>
      </w:r>
    </w:p>
    <w:p w:rsidR="00000000" w:rsidDel="00000000" w:rsidP="00000000" w:rsidRDefault="00000000" w:rsidRPr="00000000" w14:paraId="0000007A">
      <w:pPr>
        <w:rPr/>
      </w:pPr>
      <w:r w:rsidDel="00000000" w:rsidR="00000000" w:rsidRPr="00000000">
        <w:rPr>
          <w:b w:val="1"/>
          <w:bCs w:val="1"/>
          <w:rtl w:val="0"/>
        </w:rPr>
        <w:t xml:space="preserve">BLUF: Accept in full. Cut §8's fundamental-force taxonomy, cut §10's domain wall, delete Figures 3 and 4. Two of your three stabilized bounding principles do not survive in their present form. This is the single largest cut in the review and I can find no defensible version of the strongest claims.</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This is the one where I went looking hardest for a steelman and did not find one.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The light cone claims are wrong, not overstated.</w:t>
      </w:r>
      <w:r w:rsidDel="00000000" w:rsidR="00000000" w:rsidRPr="00000000">
        <w:rPr>
          <w:rtl w:val="0"/>
        </w:rPr>
        <w:t xml:space="preserve"> Line 294 calls the light cone of a system's worldline "a one-way membrane fixed by global structure, not local shielding," and says that for a galaxy "gravity is the entire boundary." Line 296 and Figure 4 give the hydrogen atom "an unscreenable causal boundary, the light cone of its own worldline."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Every event in ordinary spacetime has a light cone. It is local causal structure, not global. It is not one-way. It is not object-specific — the atom's light cone is the same light cone as the empty space beside it. A galaxy has no event horizon. An atom has no private causal horizon. Binding does not confer one. This is undergraduate general relativity, it appears in the canon's own voice at a load-bearing point, and a physics referee will stop at line 294 and reject without reaching §11.</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nearest real thing — a de Sitter cosmological horizon in an accelerating universe, which does eventually isolate bound structures — is not created by binding, is not "the light cone of the system's worldline," and would need a GR specialist as a co-author or referee. That is a separate paper if it is anything. It cannot be salvaged inline.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Binding does not supply a rest frame or a present tense.</w:t>
      </w:r>
      <w:r w:rsidDel="00000000" w:rsidR="00000000" w:rsidRPr="00000000">
        <w:rPr>
          <w:rtl w:val="0"/>
        </w:rPr>
        <w:t xml:space="preserve"> A free massive particle has a timelike worldline, proper time, and an instantaneous rest frame without being bound to anything. An unbound collection with timelike total four-momentum has a centre-of-momentum frame. So "rest mass as the price of persistence" does not do the work §10 asks of it. The v1.18 softening to "an operational domain criterion" hedged the claim without removing it — the section still says binding </w:t>
      </w:r>
      <w:r w:rsidDel="00000000" w:rsidR="00000000" w:rsidRPr="00000000">
        <w:rPr>
          <w:i w:val="1"/>
          <w:iCs w:val="1"/>
          <w:rtl w:val="0"/>
        </w:rPr>
        <w:t xml:space="preserve">universally supplies</w:t>
      </w:r>
      <w:r w:rsidDel="00000000" w:rsidR="00000000" w:rsidRPr="00000000">
        <w:rPr>
          <w:rtl w:val="0"/>
        </w:rPr>
        <w:t xml:space="preserve"> the rest frame and present tense.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Replace the whole domain wall with the scope condition Aster proposes: </w:t>
      </w:r>
      <w:r w:rsidDel="00000000" w:rsidR="00000000" w:rsidRPr="00000000">
        <w:rPr>
          <w:b w:val="1"/>
          <w:bCs w:val="1"/>
          <w:rtl w:val="0"/>
        </w:rPr>
        <w:t xml:space="preserve">AOP applies wherever a subsystem, state representation, persistence functional, horizon, and admissible intervention class can be declared.</w:t>
      </w:r>
      <w:r w:rsidDel="00000000" w:rsidR="00000000" w:rsidRPr="00000000">
        <w:rPr>
          <w:rtl w:val="0"/>
        </w:rPr>
        <w:t xml:space="preserve"> That is a better wall than the relativistic one, because it is the wall your own machinery actually needs — every one of those five is already a slot in </w:t>
      </w:r>
      <w:r w:rsidDel="00000000" w:rsidR="00000000" w:rsidRPr="00000000">
        <w:rPr>
          <w:b w:val="1"/>
          <w:bCs w:val="1"/>
          <w:rtl w:val="0"/>
        </w:rPr>
        <w:t xml:space="preserve">D</w:t>
      </w:r>
      <w:r w:rsidDel="00000000" w:rsidR="00000000" w:rsidRPr="00000000">
        <w:rPr>
          <w:rtl w:val="0"/>
        </w:rPr>
        <w:t xml:space="preserve">. It also stops excluding things you have no reason to exclude: solitons, vortices, propagating fronts, wave packets.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Screenability is where I would push back slightly, and only slightly.</w:t>
      </w:r>
      <w:r w:rsidDel="00000000" w:rsidR="00000000" w:rsidRPr="00000000">
        <w:rPr>
          <w:rtl w:val="0"/>
        </w:rPr>
        <w:t xml:space="preserve"> The physics underneath is true and worth keeping: electromagnetism screens (Debye, neutral atoms), gravity does not (no negative mass). What does not follow is the inference from that to statistical boundaries. A Markov blanket can arise from locality, timescale separation, coarse-graining, weak coupling, control architecture, or the modeller's conditionalization; screening is one route among several, not the maker of boundaries. Conversely physical shielding does not guarantee a blanket under arbitrary observables. And unscreened long-range interaction does not force a nonzero information-theoretic Integration floor — that step has no support at all.</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So: keep the narrow true statement — </w:t>
      </w:r>
      <w:r w:rsidDel="00000000" w:rsidR="00000000" w:rsidRPr="00000000">
        <w:rPr>
          <w:i w:val="1"/>
          <w:iCs w:val="1"/>
          <w:rtl w:val="0"/>
        </w:rPr>
        <w:t xml:space="preserve">a physical interface can be passive or actively maintained, and screenable interactions make passive interfaces cheap</w:t>
      </w:r>
      <w:r w:rsidDel="00000000" w:rsidR="00000000" w:rsidRPr="00000000">
        <w:rPr>
          <w:rtl w:val="0"/>
        </w:rPr>
        <w:t xml:space="preserve"> — and lose the fundamental-force taxonomy, including the claims that the strong and weak interactions are disqualified from contributing to individuation.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What survives.</w:t>
      </w:r>
      <w:r w:rsidDel="00000000" w:rsidR="00000000" w:rsidRPr="00000000">
        <w:rPr>
          <w:rtl w:val="0"/>
        </w:rPr>
        <w:t xml:space="preserve"> Your computed B2/B5 result is untouched. It shows that conditioning on a declared interface blocks dependence in a Gaussian model (B2 = 0.000 sealed, 0.292 bypassed) while raw cross-boundary dependence cannot make that distinction. That was always the real content of §8, it is a deposited number, and it needs none of the force taxonomy to stand.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star's two-boundary observation also survives if you drop the light-cone half: the star carries an </w:t>
      </w:r>
      <w:r w:rsidDel="00000000" w:rsidR="00000000" w:rsidRPr="00000000">
        <w:rPr>
          <w:b w:val="1"/>
          <w:bCs w:val="1"/>
          <w:rtl w:val="0"/>
        </w:rPr>
        <w:t xml:space="preserve">actively maintained radiative interface</w:t>
      </w:r>
      <w:r w:rsidDel="00000000" w:rsidR="00000000" w:rsidRPr="00000000">
        <w:rPr>
          <w:rtl w:val="0"/>
        </w:rPr>
        <w:t xml:space="preserve"> (the photosphere — scramble the opacity and it stops being a star) on top of a </w:t>
      </w:r>
      <w:r w:rsidDel="00000000" w:rsidR="00000000" w:rsidRPr="00000000">
        <w:rPr>
          <w:b w:val="1"/>
          <w:bCs w:val="1"/>
          <w:rtl w:val="0"/>
        </w:rPr>
        <w:t xml:space="preserve">passive gravitational one</w:t>
      </w:r>
      <w:r w:rsidDel="00000000" w:rsidR="00000000" w:rsidRPr="00000000">
        <w:rPr>
          <w:rtl w:val="0"/>
        </w:rPr>
        <w:t xml:space="preserve">. That is the load-bearing insight, it maps cleanly onto your active/passive floor distinction, and it needs no relativity.</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What it costs.</w:t>
      </w:r>
      <w:r w:rsidDel="00000000" w:rsidR="00000000" w:rsidRPr="00000000">
        <w:rPr>
          <w:rtl w:val="0"/>
        </w:rPr>
        <w:t xml:space="preserve"> A distinctive-feeling section, two figures, and one named bounding principle outright. Screenability survives in demoted, narrowed form. "Rest mass as the price of persistence" does not survive as a domain criterion, though it may survive elsewhere as an observation about what it takes to have a clock. Against that: not being rejected on page twelve by a referee who never reaches the synthesis.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rPr/>
      </w:pPr>
      <w:bookmarkStart w:colFirst="0" w:colLast="0" w:name="_xel410r2jc41" w:id="25"/>
      <w:bookmarkEnd w:id="25"/>
      <w:r w:rsidDel="00000000" w:rsidR="00000000" w:rsidRPr="00000000">
        <w:rPr>
          <w:rtl w:val="0"/>
        </w:rPr>
        <w:t xml:space="preserve">H3 — The life material (RED-3 exec, RED-17, RED-18, and the "new definition" posture)</w:t>
      </w:r>
    </w:p>
    <w:p w:rsidR="00000000" w:rsidDel="00000000" w:rsidP="00000000" w:rsidRDefault="00000000" w:rsidRPr="00000000" w14:paraId="00000094">
      <w:pPr>
        <w:rPr/>
      </w:pPr>
      <w:r w:rsidDel="00000000" w:rsidR="00000000" w:rsidRPr="00000000">
        <w:rPr>
          <w:b w:val="1"/>
          <w:bCs w:val="1"/>
          <w:rtl w:val="0"/>
        </w:rPr>
        <w:t xml:space="preserve">BLUF: Accept the strategic disposition — pull the life definition out of the core paper — but reject Aster's RED-18 argument for doing it, because RED-18 is wrong and accepting it would damage the follow-on. Accept RED-17 in full; it is right and cheap.</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The strategy first, because it is the decision that matters.</w:t>
      </w:r>
      <w:r w:rsidDel="00000000" w:rsidR="00000000" w:rsidRPr="00000000">
        <w:rPr>
          <w:rtl w:val="0"/>
        </w:rPr>
        <w:t xml:space="preserve"> You told Aster the paper should make readers </w:t>
      </w:r>
      <w:r w:rsidDel="00000000" w:rsidR="00000000" w:rsidRPr="00000000">
        <w:rPr>
          <w:i w:val="1"/>
          <w:iCs w:val="1"/>
          <w:rtl w:val="0"/>
        </w:rPr>
        <w:t xml:space="preserve">suspect</w:t>
      </w:r>
      <w:r w:rsidDel="00000000" w:rsidR="00000000" w:rsidRPr="00000000">
        <w:rPr>
          <w:rtl w:val="0"/>
        </w:rPr>
        <w:t xml:space="preserve"> AOP has located something definition-like without announcing a definition. Line 33 announces one in the canon's own voice — "it is a </w:t>
      </w:r>
      <w:r w:rsidDel="00000000" w:rsidR="00000000" w:rsidRPr="00000000">
        <w:rPr>
          <w:b w:val="1"/>
          <w:bCs w:val="1"/>
          <w:rtl w:val="0"/>
        </w:rPr>
        <w:t xml:space="preserve">new definition, graded frontier</w:t>
      </w:r>
      <w:r w:rsidDel="00000000" w:rsidR="00000000" w:rsidRPr="00000000">
        <w:rPr>
          <w:rtl w:val="0"/>
        </w:rPr>
        <w:t xml:space="preserve">" — and the version history repeats it. Aster is right that this converts every referee into a definition-of-life referee, at which point you are defending a conjunction against fifty years of literature you do not need to win anything for the persistence argument.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Recommend his framing: present model-mediated, internally-referenced self-maintenance as a </w:t>
      </w:r>
      <w:r w:rsidDel="00000000" w:rsidR="00000000" w:rsidRPr="00000000">
        <w:rPr>
          <w:b w:val="1"/>
          <w:bCs w:val="1"/>
          <w:rtl w:val="0"/>
        </w:rPr>
        <w:t xml:space="preserve">candidate regulatory architecture that separates classes of persisters</w:t>
      </w:r>
      <w:r w:rsidDel="00000000" w:rsidR="00000000" w:rsidRPr="00000000">
        <w:rPr>
          <w:rtl w:val="0"/>
        </w:rPr>
        <w:t xml:space="preserve">. Do not name it </w:t>
      </w:r>
      <w:r w:rsidDel="00000000" w:rsidR="00000000" w:rsidRPr="00000000">
        <w:rPr>
          <w:i w:val="1"/>
          <w:iCs w:val="1"/>
          <w:rtl w:val="0"/>
        </w:rPr>
        <w:t xml:space="preserve">alive</w:t>
      </w:r>
      <w:r w:rsidDel="00000000" w:rsidR="00000000" w:rsidRPr="00000000">
        <w:rPr>
          <w:rtl w:val="0"/>
        </w:rPr>
        <w:t xml:space="preserve"> in the core paper. Let the reader notice where the paradigmatic living things land. The intellectual payoff survives; the burden of proof does not attach.</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RED-17 is right and cheap.</w:t>
      </w:r>
      <w:r w:rsidDel="00000000" w:rsidR="00000000" w:rsidRPr="00000000">
        <w:rPr>
          <w:rtl w:val="0"/>
        </w:rPr>
        <w:t xml:space="preserve"> Francis and Wonham prove that a regulator achieving robust output regulation must embody the dynamics of the exosystem generating the reference and disturbance signals. That is a statement about exosystem modes in the closed loop. It does not require a separable node storing an organism's viable set. Bich et al. support a dedicated regulatory subsystem dynamically decoupled from constitutive organization — an organizational distinction, not representational content, not a stored set point, not a self-model. Your six-part conjunction (regulatory subsystem, dynamical decoupling, internal reference, separate intervention target, viability relevance, active self-maintenance) is </w:t>
      </w:r>
      <w:r w:rsidDel="00000000" w:rsidR="00000000" w:rsidRPr="00000000">
        <w:rPr>
          <w:b w:val="1"/>
          <w:bCs w:val="1"/>
          <w:rtl w:val="0"/>
        </w:rPr>
        <w:t xml:space="preserve">original</w:t>
      </w:r>
      <w:r w:rsidDel="00000000" w:rsidR="00000000" w:rsidRPr="00000000">
        <w:rPr>
          <w:rtl w:val="0"/>
        </w:rPr>
        <w:t xml:space="preserve">. There is nothing wrong with that; the defect is presenting the cited results as though they jointly force it. Label the conjunction an AOP hypothesis, keep the citations as support for its </w:t>
      </w:r>
      <w:r w:rsidDel="00000000" w:rsidR="00000000" w:rsidRPr="00000000">
        <w:rPr>
          <w:i w:val="1"/>
          <w:iCs w:val="1"/>
          <w:rtl w:val="0"/>
        </w:rPr>
        <w:t xml:space="preserve">components</w:t>
      </w:r>
      <w:r w:rsidDel="00000000" w:rsidR="00000000" w:rsidRPr="00000000">
        <w:rPr>
          <w:rtl w:val="0"/>
        </w:rPr>
        <w:t xml:space="preserve">, and stop calling it "the internal-model requirement of life."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RED-18 looks like the sharpest attack in the review and it fails.</w:t>
      </w:r>
      <w:r w:rsidDel="00000000" w:rsidR="00000000" w:rsidRPr="00000000">
        <w:rPr>
          <w:rtl w:val="0"/>
        </w:rPr>
        <w:t xml:space="preserve"> Aster's claim: the discriminator asks whether there is a "separate reference node" that can be intervened on independently of the regulated variable, but in a linear state-space model an invertible similarity transform mixes the reference and regulated coordinates while preserving all input–output behaviour. So the same system classifies differently depending on the analyst's coordinates, and a definition of life cannot do that.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The first half is true as stated. The conclusion does not follow, for two reasons.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i w:val="1"/>
          <w:iCs w:val="1"/>
          <w:rtl w:val="0"/>
        </w:rPr>
        <w:t xml:space="preserve">First, the property underneath the phrasing is invariant.</w:t>
      </w:r>
      <w:r w:rsidDel="00000000" w:rsidR="00000000" w:rsidRPr="00000000">
        <w:rPr>
          <w:rtl w:val="0"/>
        </w:rPr>
        <w:t xml:space="preserve"> "There is a separate reference node" is basis-dependent. "There exists a proper invariant subspace whose dynamics are autonomous with respect to the regulated coordinates" is not — if V is A-invariant, then TV is TAT⁻¹-invariant for any invertible T. Similarity transforms carry invariant subspaces to invariant subspaces; they do not create or destroy them. The same holds for the exosystem modes that the internal model principle is actually stated in terms of, which are eigenvalues and therefore similarity-invariant by construction. </w:t>
      </w:r>
      <w:r w:rsidDel="00000000" w:rsidR="00000000" w:rsidRPr="00000000">
        <w:rPr>
          <w:b w:val="1"/>
          <w:bCs w:val="1"/>
          <w:rtl w:val="0"/>
        </w:rPr>
        <w:t xml:space="preserve">Restate the criterion on subspaces and modes rather than nodes and the objection evaporates</w:t>
      </w:r>
      <w:r w:rsidDel="00000000" w:rsidR="00000000" w:rsidRPr="00000000">
        <w:rPr>
          <w:rtl w:val="0"/>
        </w:rPr>
        <w:t xml:space="preserve"> — and the restated version is stronger, because it is the form in which control theory states the internal model principle in the first place.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i w:val="1"/>
          <w:iCs w:val="1"/>
          <w:rtl w:val="0"/>
        </w:rPr>
        <w:t xml:space="preserve">Second, and more decisive: an arbitrary similarity transform is not an admissible intervention.</w:t>
      </w:r>
      <w:r w:rsidDel="00000000" w:rsidR="00000000" w:rsidRPr="00000000">
        <w:rPr>
          <w:rtl w:val="0"/>
        </w:rPr>
        <w:t xml:space="preserve"> AOP's mask is defined by declared physical operations on named mechanisms — that is the whole content of the declaration tuple's intervention class. You cannot scramble half a promoter into half a protein. The physical realization has a privileged basis and </w:t>
      </w:r>
      <w:r w:rsidDel="00000000" w:rsidR="00000000" w:rsidRPr="00000000">
        <w:rPr>
          <w:b w:val="1"/>
          <w:bCs w:val="1"/>
          <w:rtl w:val="0"/>
        </w:rPr>
        <w:t xml:space="preserve">D</w:t>
      </w:r>
      <w:r w:rsidDel="00000000" w:rsidR="00000000" w:rsidRPr="00000000">
        <w:rPr>
          <w:rtl w:val="0"/>
        </w:rPr>
        <w:t xml:space="preserve"> fixes it. Aster's argument, taken seriously, would void every structural claim about every physical network in biology, which is a reliable sign that it proves too much.</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So: </w:t>
      </w:r>
      <w:r w:rsidDel="00000000" w:rsidR="00000000" w:rsidRPr="00000000">
        <w:rPr>
          <w:b w:val="1"/>
          <w:bCs w:val="1"/>
          <w:rtl w:val="0"/>
        </w:rPr>
        <w:t xml:space="preserve">do the restatement anyway</w:t>
      </w:r>
      <w:r w:rsidDel="00000000" w:rsidR="00000000" w:rsidRPr="00000000">
        <w:rPr>
          <w:rtl w:val="0"/>
        </w:rPr>
        <w:t xml:space="preserve"> — it costs a paragraph and hardens the criterion against exactly this attack when it is made again by a referee — but do not accept "the discriminator is non-invariant" as a reason to abandon the criterion.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Net recommendation.</w:t>
      </w:r>
      <w:r w:rsidDel="00000000" w:rsidR="00000000" w:rsidRPr="00000000">
        <w:rPr>
          <w:rtl w:val="0"/>
        </w:rPr>
        <w:t xml:space="preserve"> Move the entire life block to a dedicated follow-on paper. Not because it is wrong; because it is your most interesting result and the thing most likely to sink the paper it currently sits in. Take the RED-17 relabelling and the RED-18 subspace restatement with it, and the follow-on starts on much firmer ground than the section does now.</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rPr/>
      </w:pPr>
      <w:bookmarkStart w:colFirst="0" w:colLast="0" w:name="_5gfd7m62yd2v" w:id="26"/>
      <w:bookmarkEnd w:id="26"/>
      <w:r w:rsidDel="00000000" w:rsidR="00000000" w:rsidRPr="00000000">
        <w:rPr>
          <w:rtl w:val="0"/>
        </w:rPr>
        <w:t xml:space="preserve">H4 — External validation (RED-25)</w:t>
      </w:r>
    </w:p>
    <w:p w:rsidR="00000000" w:rsidDel="00000000" w:rsidP="00000000" w:rsidRDefault="00000000" w:rsidRPr="00000000" w14:paraId="000000AA">
      <w:pPr>
        <w:rPr/>
      </w:pPr>
      <w:r w:rsidDel="00000000" w:rsidR="00000000" w:rsidRPr="00000000">
        <w:rPr>
          <w:b w:val="1"/>
          <w:bCs w:val="1"/>
          <w:rtl w:val="0"/>
        </w:rPr>
        <w:t xml:space="preserve">BLUF: Accept. This is the only genuinely submission-blocking finding in the review. It is the same finding I gave you at v1.18, nothing since has closed it, and no amount of cutting will. The decision I need from you is sequencing, not whether.</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Every computation in the canon is, by the canon's own admission, a self-consistency demonstration: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numPr>
          <w:ilvl w:val="0"/>
          <w:numId w:val="2"/>
        </w:numPr>
        <w:ind w:left="720" w:hanging="360"/>
      </w:pPr>
      <w:r w:rsidDel="00000000" w:rsidR="00000000" w:rsidRPr="00000000">
        <w:rPr>
          <w:rtl w:val="0"/>
        </w:rPr>
        <w:t xml:space="preserve">Figure MW's spectator zero is exact by construction, and the canon says so.</w:t>
      </w:r>
    </w:p>
    <w:p w:rsidR="00000000" w:rsidDel="00000000" w:rsidP="00000000" w:rsidRDefault="00000000" w:rsidRPr="00000000" w14:paraId="000000AF">
      <w:pPr>
        <w:numPr>
          <w:ilvl w:val="0"/>
          <w:numId w:val="2"/>
        </w:numPr>
        <w:ind w:left="720" w:hanging="360"/>
      </w:pPr>
      <w:r w:rsidDel="00000000" w:rsidR="00000000" w:rsidRPr="00000000">
        <w:rPr>
          <w:rtl w:val="0"/>
        </w:rPr>
        <w:t xml:space="preserve">§11b's strength-versus-viability anti-ranking is forced by the gate topology and hand-assigned rate constants — my v1.18 verification finding, folded at v1.19, which is why it is now a "competence check."</w:t>
      </w:r>
    </w:p>
    <w:p w:rsidR="00000000" w:rsidDel="00000000" w:rsidP="00000000" w:rsidRDefault="00000000" w:rsidRPr="00000000" w14:paraId="000000B0">
      <w:pPr>
        <w:numPr>
          <w:ilvl w:val="0"/>
          <w:numId w:val="2"/>
        </w:numPr>
        <w:ind w:left="720" w:hanging="360"/>
      </w:pPr>
      <w:r w:rsidDel="00000000" w:rsidR="00000000" w:rsidRPr="00000000">
        <w:rPr>
          <w:rtl w:val="0"/>
        </w:rPr>
        <w:t xml:space="preserve">§13's blur relation is structural within the model class rather than contingent: per-component attribution variance is governed by the smallest eigenvalue of the precision, so raising coupling widens the sweep by construction. The canon states this explicitly and correctly declines to call it a falsifiable prediction.</w:t>
      </w:r>
    </w:p>
    <w:p w:rsidR="00000000" w:rsidDel="00000000" w:rsidP="00000000" w:rsidRDefault="00000000" w:rsidRPr="00000000" w14:paraId="000000B1">
      <w:pPr>
        <w:numPr>
          <w:ilvl w:val="0"/>
          <w:numId w:val="2"/>
        </w:numPr>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phaseE1</w:t>
      </w:r>
      <w:r w:rsidDel="00000000" w:rsidR="00000000" w:rsidRPr="00000000">
        <w:rPr>
          <w:rtl w:val="0"/>
        </w:rPr>
        <w:t xml:space="preserve"> dissociation, the B2/B5 screening residual, the star's Ω &gt; 0, the E(T) retention curves — all model results within declared families.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The honesty is exemplary and it is also the finding. </w:t>
      </w:r>
      <w:r w:rsidDel="00000000" w:rsidR="00000000" w:rsidRPr="00000000">
        <w:rPr>
          <w:b w:val="1"/>
          <w:bCs w:val="1"/>
          <w:rtl w:val="0"/>
        </w:rPr>
        <w:t xml:space="preserve">There is not yet one result AOP could have gotten wrong.</w:t>
      </w:r>
      <w:r w:rsidDel="00000000" w:rsidR="00000000" w:rsidRPr="00000000">
        <w:rPr>
          <w:rtl w:val="0"/>
        </w:rPr>
        <w:t xml:space="preserve"> Aster's missing-evidence list is the right list: a real system measured across all four declared panels; an independently specified answer key; an intervention outcome the framework could fail; comparison against a named rival using that rival's own operational definitions; robustness across defensible declarations; and a classification not built into the model topology.</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The target is what we identified before and it has not improved: externally sourced ground truth — published biological network data or a literature-established causal structure. A microbial regulatory circuit or a leaky autocatalytic compartment with known perturbations, redundant routes, and measured survival. Pre-registration frozen before any run, per the bind-before-freeze protocol. Claude Science builds; I verify by re-running, not reading; Aster attacks the result before it goes anywhere near canon.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That is weeks of work, not days.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The decision.</w:t>
      </w:r>
      <w:r w:rsidDel="00000000" w:rsidR="00000000" w:rsidRPr="00000000">
        <w:rPr>
          <w:rtl w:val="0"/>
        </w:rPr>
        <w:t xml:space="preserve"> Does the submission derivative wait for the benchmark, or go out without it?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My read: a Perspective can survive the absence if it names it as the principal limitation and adopts an explicitly taxonomic posture. But the </w:t>
      </w:r>
      <w:r w:rsidDel="00000000" w:rsidR="00000000" w:rsidRPr="00000000">
        <w:rPr>
          <w:b w:val="1"/>
          <w:bCs w:val="1"/>
          <w:rtl w:val="0"/>
        </w:rPr>
        <w:t xml:space="preserve">four-target necessity claim cannot survive it</w:t>
      </w:r>
      <w:r w:rsidDel="00000000" w:rsidR="00000000" w:rsidRPr="00000000">
        <w:rPr>
          <w:rtl w:val="0"/>
        </w:rPr>
        <w:t xml:space="preserve"> — once the archetypes are illustrations (</w:t>
      </w:r>
      <w:r w:rsidDel="00000000" w:rsidR="00000000" w:rsidRPr="00000000">
        <w:rPr>
          <w:b w:val="1"/>
          <w:bCs w:val="1"/>
          <w:rtl w:val="0"/>
        </w:rPr>
        <w:t xml:space="preserve">H5</w:t>
      </w:r>
      <w:r w:rsidDel="00000000" w:rsidR="00000000" w:rsidRPr="00000000">
        <w:rPr>
          <w:rtl w:val="0"/>
        </w:rPr>
        <w:t xml:space="preserve">), §11b is a unit test (</w:t>
      </w:r>
      <w:r w:rsidDel="00000000" w:rsidR="00000000" w:rsidRPr="00000000">
        <w:rPr>
          <w:b w:val="1"/>
          <w:bCs w:val="1"/>
          <w:rtl w:val="0"/>
        </w:rPr>
        <w:t xml:space="preserve">M5</w:t>
      </w:r>
      <w:r w:rsidDel="00000000" w:rsidR="00000000" w:rsidRPr="00000000">
        <w:rPr>
          <w:rtl w:val="0"/>
        </w:rPr>
        <w:t xml:space="preserve">), and §13's blur is structural-by-construction, there is motivation for the carving and no evidence for it. So the paper that goes out without the benchmark has to be the more modest paper: </w:t>
      </w:r>
      <w:r w:rsidDel="00000000" w:rsidR="00000000" w:rsidRPr="00000000">
        <w:rPr>
          <w:i w:val="1"/>
          <w:iCs w:val="1"/>
          <w:rtl w:val="0"/>
        </w:rPr>
        <w:t xml:space="preserve">here is a reporting standard and a dependency atlas, here is why single-axis accounts lose distinctions we can name, here is what would falsify the carving.</w:t>
      </w:r>
      <w:r w:rsidDel="00000000" w:rsidR="00000000" w:rsidRPr="00000000">
        <w:rPr>
          <w:rtl w:val="0"/>
        </w:rPr>
        <w:t xml:space="preserve"> That is publishable and it is honest. It is not the paper that says these four are the right four.</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Aster's readiness assessment agrees — YELLOW/GREEN after the cuts alone, publication-strength only after the benchmark. I would go further than he does on one point: given that the benchmark is the </w:t>
      </w:r>
      <w:r w:rsidDel="00000000" w:rsidR="00000000" w:rsidRPr="00000000">
        <w:rPr>
          <w:i w:val="1"/>
          <w:iCs w:val="1"/>
          <w:rtl w:val="0"/>
        </w:rPr>
        <w:t xml:space="preserve">only</w:t>
      </w:r>
      <w:r w:rsidDel="00000000" w:rsidR="00000000" w:rsidRPr="00000000">
        <w:rPr>
          <w:rtl w:val="0"/>
        </w:rPr>
        <w:t xml:space="preserve"> item requiring new science, and everything else is subtraction, there is a real argument for doing the cuts now and holding submission for the benchmark rather than publishing the modest version and then having nothing left to say in paper two.</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rPr/>
      </w:pPr>
      <w:bookmarkStart w:colFirst="0" w:colLast="0" w:name="_92pcfiozop5" w:id="27"/>
      <w:bookmarkEnd w:id="27"/>
      <w:r w:rsidDel="00000000" w:rsidR="00000000" w:rsidRPr="00000000">
        <w:rPr>
          <w:rtl w:val="0"/>
        </w:rPr>
        <w:t xml:space="preserve">H5 — The archetypes as primary evidence (RED-5, RED-22)</w:t>
      </w:r>
    </w:p>
    <w:p w:rsidR="00000000" w:rsidDel="00000000" w:rsidP="00000000" w:rsidRDefault="00000000" w:rsidRPr="00000000" w14:paraId="000000C1">
      <w:pPr>
        <w:rPr/>
      </w:pPr>
      <w:r w:rsidDel="00000000" w:rsidR="00000000" w:rsidRPr="00000000">
        <w:rPr>
          <w:b w:val="1"/>
          <w:bCs w:val="1"/>
          <w:rtl w:val="0"/>
        </w:rPr>
        <w:t xml:space="preserve">BLUF: Accept the demotion to illustrations. This costs more than it looks like it costs, and there is no cheap substitute. Recommend pairing the demotion with a commitment to compute one full declared panel on one real system.</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Line 440 states that the five cases "are the framework's primary evidence that the four-fold carving is the right one." §11 elsewhere concedes the profiles are illustrative rather than measured. Those two cannot both stand, and the second is the true one.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Aster's individual attacks vary in quality and it is worth separating them:</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numPr>
          <w:ilvl w:val="0"/>
          <w:numId w:val="2"/>
        </w:numPr>
        <w:ind w:left="720" w:hanging="360"/>
      </w:pPr>
      <w:r w:rsidDel="00000000" w:rsidR="00000000" w:rsidRPr="00000000">
        <w:rPr>
          <w:b w:val="1"/>
          <w:bCs w:val="1"/>
          <w:rtl w:val="0"/>
        </w:rPr>
        <w:t xml:space="preserve">Crystal</w:t>
      </w:r>
      <w:r w:rsidDel="00000000" w:rsidR="00000000" w:rsidRPr="00000000">
        <w:rPr>
          <w:rtl w:val="0"/>
        </w:rPr>
        <w:t xml:space="preserve"> — lands. Fixed at L3, one line.</w:t>
      </w:r>
    </w:p>
    <w:p w:rsidR="00000000" w:rsidDel="00000000" w:rsidP="00000000" w:rsidRDefault="00000000" w:rsidRPr="00000000" w14:paraId="000000C8">
      <w:pPr>
        <w:numPr>
          <w:ilvl w:val="0"/>
          <w:numId w:val="2"/>
        </w:numPr>
        <w:ind w:left="720" w:hanging="360"/>
      </w:pPr>
      <w:r w:rsidDel="00000000" w:rsidR="00000000" w:rsidRPr="00000000">
        <w:rPr>
          <w:b w:val="1"/>
          <w:bCs w:val="1"/>
          <w:rtl w:val="0"/>
        </w:rPr>
        <w:t xml:space="preserve">Flame</w:t>
      </w:r>
      <w:r w:rsidDel="00000000" w:rsidR="00000000" w:rsidRPr="00000000">
        <w:rPr>
          <w:rtl w:val="0"/>
        </w:rPr>
        <w:t xml:space="preserve"> — fair. "Essentially no memory" is not established; a flame has temporal correlation in temperature fields, radical pools, flow, and front geometry. It may be shallow and short-lived; that is a different claim and it is the one to make.</w:t>
      </w:r>
    </w:p>
    <w:p w:rsidR="00000000" w:rsidDel="00000000" w:rsidP="00000000" w:rsidRDefault="00000000" w:rsidRPr="00000000" w14:paraId="000000C9">
      <w:pPr>
        <w:numPr>
          <w:ilvl w:val="0"/>
          <w:numId w:val="2"/>
        </w:numPr>
        <w:ind w:left="720" w:hanging="360"/>
      </w:pPr>
      <w:r w:rsidDel="00000000" w:rsidR="00000000" w:rsidRPr="00000000">
        <w:rPr>
          <w:b w:val="1"/>
          <w:bCs w:val="1"/>
          <w:rtl w:val="0"/>
        </w:rPr>
        <w:t xml:space="preserve">Spore</w:t>
      </w:r>
      <w:r w:rsidDel="00000000" w:rsidR="00000000" w:rsidRPr="00000000">
        <w:rPr>
          <w:rtl w:val="0"/>
        </w:rPr>
        <w:t xml:space="preserve"> — the real problem, and it is M4, not a case-study problem. The Cμ claim is uncomputed.</w:t>
      </w:r>
    </w:p>
    <w:p w:rsidR="00000000" w:rsidDel="00000000" w:rsidP="00000000" w:rsidRDefault="00000000" w:rsidRPr="00000000" w14:paraId="000000CA">
      <w:pPr>
        <w:numPr>
          <w:ilvl w:val="0"/>
          <w:numId w:val="2"/>
        </w:numPr>
        <w:ind w:left="720" w:hanging="360"/>
      </w:pPr>
      <w:r w:rsidDel="00000000" w:rsidR="00000000" w:rsidRPr="00000000">
        <w:rPr>
          <w:b w:val="1"/>
          <w:bCs w:val="1"/>
          <w:rtl w:val="0"/>
        </w:rPr>
        <w:t xml:space="preserve">Bound atom</w:t>
      </w:r>
      <w:r w:rsidDel="00000000" w:rsidR="00000000" w:rsidRPr="00000000">
        <w:rPr>
          <w:rtl w:val="0"/>
        </w:rPr>
        <w:t xml:space="preserve"> — lands. A ground-state hydrogen atom is stable absent perturbation, not a "brief" persister, and the light-cone framing goes with H2.</w:t>
      </w:r>
    </w:p>
    <w:p w:rsidR="00000000" w:rsidDel="00000000" w:rsidP="00000000" w:rsidRDefault="00000000" w:rsidRPr="00000000" w14:paraId="000000CB">
      <w:pPr>
        <w:numPr>
          <w:ilvl w:val="0"/>
          <w:numId w:val="2"/>
        </w:numPr>
        <w:ind w:left="720" w:hanging="360"/>
      </w:pPr>
      <w:r w:rsidDel="00000000" w:rsidR="00000000" w:rsidRPr="00000000">
        <w:rPr>
          <w:b w:val="1"/>
          <w:bCs w:val="1"/>
          <w:rtl w:val="0"/>
        </w:rPr>
        <w:t xml:space="preserve">Star</w:t>
      </w:r>
      <w:r w:rsidDel="00000000" w:rsidR="00000000" w:rsidRPr="00000000">
        <w:rPr>
          <w:rtl w:val="0"/>
        </w:rPr>
        <w:t xml:space="preserve"> — partially lands. An n = 3 polytrope is not a generic star, and "all four dimensions near maximal" is meaningless without a common normalization the paper explicitly denies elsewhere. That last one is an internal contradiction and should be struck regardless. But the star's </w:t>
      </w:r>
      <w:r w:rsidDel="00000000" w:rsidR="00000000" w:rsidRPr="00000000">
        <w:rPr>
          <w:i w:val="1"/>
          <w:iCs w:val="1"/>
          <w:rtl w:val="0"/>
        </w:rPr>
        <w:t xml:space="preserve">specific</w:t>
      </w:r>
      <w:r w:rsidDel="00000000" w:rsidR="00000000" w:rsidRPr="00000000">
        <w:rPr>
          <w:rtl w:val="0"/>
        </w:rPr>
        <w:t xml:space="preserve"> results — the negative-specific-heat thermostat traced to gravitational non-additivity, the time-grain relativity of Memory, the resolvability limit computed from stellar structure rather than asserted — are real and survive as model results properly attributed (L2).</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b w:val="1"/>
          <w:bCs w:val="1"/>
          <w:rtl w:val="0"/>
        </w:rPr>
        <w:t xml:space="preserve">The structural point is the one that matters</w:t>
      </w:r>
      <w:r w:rsidDel="00000000" w:rsidR="00000000" w:rsidRPr="00000000">
        <w:rPr>
          <w:rtl w:val="0"/>
        </w:rPr>
        <w:t xml:space="preserve">, and it is independent of whether each attack lands: illustrations can motivate a taxonomy. They cannot establish its minimality, and they cannot defeat a named alternative, because a rival can tell the same five stories with a different carving and no measurement adjudicates.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The awkward part is what remains.</w:t>
      </w:r>
      <w:r w:rsidDel="00000000" w:rsidR="00000000" w:rsidRPr="00000000">
        <w:rPr>
          <w:rtl w:val="0"/>
        </w:rPr>
        <w:t xml:space="preserve"> Strip the archetypes to illustrations, §11b to a unit test, and §13's blur to structure-by-construction, and the four-fold carving has motivation and no evidence. That is a survivable position for a Perspective </w:t>
      </w:r>
      <w:r w:rsidDel="00000000" w:rsidR="00000000" w:rsidRPr="00000000">
        <w:rPr>
          <w:i w:val="1"/>
          <w:iCs w:val="1"/>
          <w:rtl w:val="0"/>
        </w:rPr>
        <w:t xml:space="preserve">if stated as such</w:t>
      </w:r>
      <w:r w:rsidDel="00000000" w:rsidR="00000000" w:rsidRPr="00000000">
        <w:rPr>
          <w:rtl w:val="0"/>
        </w:rPr>
        <w:t xml:space="preserve">. In fact line 440's own second half already makes the right argument: "a carving is justified by the distinctions it refuses to lose, and each case above is one such distinction made physical." That is a taxonomic argument, it is honest, and it does not require the word </w:t>
      </w:r>
      <w:r w:rsidDel="00000000" w:rsidR="00000000" w:rsidRPr="00000000">
        <w:rPr>
          <w:i w:val="1"/>
          <w:iCs w:val="1"/>
          <w:rtl w:val="0"/>
        </w:rPr>
        <w:t xml:space="preserve">evidence</w:t>
      </w:r>
      <w:r w:rsidDel="00000000" w:rsidR="00000000" w:rsidRPr="00000000">
        <w:rPr>
          <w:rtl w:val="0"/>
        </w:rPr>
        <w:t xml:space="preserv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Recommendation.</w:t>
      </w:r>
      <w:r w:rsidDel="00000000" w:rsidR="00000000" w:rsidRPr="00000000">
        <w:rPr>
          <w:rtl w:val="0"/>
        </w:rPr>
        <w:t xml:space="preserve"> Keep the refuses-to-lose framing. Delete "primary evidence." Reclassify all five as motivating cases. And commit to one real system computed across a full declared panel with viability interventions — a single such computation would do more for the paper than all five archetypes, and it is the same build as </w:t>
      </w:r>
      <w:r w:rsidDel="00000000" w:rsidR="00000000" w:rsidRPr="00000000">
        <w:rPr>
          <w:b w:val="1"/>
          <w:bCs w:val="1"/>
          <w:rtl w:val="0"/>
        </w:rPr>
        <w:t xml:space="preserve">H4</w:t>
      </w:r>
      <w:r w:rsidDel="00000000" w:rsidR="00000000" w:rsidRPr="00000000">
        <w:rPr>
          <w:rtl w:val="0"/>
        </w:rPr>
        <w:t xml:space="preserve">, so the two should be scoped as one job.</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rPr/>
      </w:pPr>
      <w:bookmarkStart w:colFirst="0" w:colLast="0" w:name="_h3evh4nxyox9" w:id="28"/>
      <w:bookmarkEnd w:id="28"/>
      <w:r w:rsidDel="00000000" w:rsidR="00000000" w:rsidRPr="00000000">
        <w:rPr>
          <w:rtl w:val="0"/>
        </w:rPr>
        <w:t xml:space="preserve">H6 — The semantic mask (RED-7, RED-10)</w:t>
      </w:r>
    </w:p>
    <w:p w:rsidR="00000000" w:rsidDel="00000000" w:rsidP="00000000" w:rsidRDefault="00000000" w:rsidRPr="00000000" w14:paraId="000000D5">
      <w:pPr>
        <w:rPr/>
      </w:pPr>
      <w:r w:rsidDel="00000000" w:rsidR="00000000" w:rsidRPr="00000000">
        <w:rPr>
          <w:b w:val="1"/>
          <w:bCs w:val="1"/>
          <w:rtl w:val="0"/>
        </w:rPr>
        <w:t xml:space="preserve">BLUF: Accept both findings. Rename the intervention protocol and specify it; promote coalition semantics to the default and demote per-edge weights to a regime where identifiability tests pass. My read is that v1.25 has answered the mask-salvage question in the negative for the per-edge form, and the right response is a promotion of the coalition object, not a rescue of the edge object.</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Two findings that compound into one strategic decision.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RED-7: the protocol is not Kolchinsky–Wolpert generalized.</w:t>
      </w:r>
      <w:r w:rsidDel="00000000" w:rsidR="00000000" w:rsidRPr="00000000">
        <w:rPr>
          <w:rtl w:val="0"/>
        </w:rPr>
        <w:t xml:space="preserve"> KW intervene on system–environment </w:t>
      </w:r>
      <w:r w:rsidDel="00000000" w:rsidR="00000000" w:rsidRPr="00000000">
        <w:rPr>
          <w:i w:val="1"/>
          <w:iCs w:val="1"/>
          <w:rtl w:val="0"/>
        </w:rPr>
        <w:t xml:space="preserve">correlations</w:t>
      </w:r>
      <w:r w:rsidDel="00000000" w:rsidR="00000000" w:rsidRPr="00000000">
        <w:rPr>
          <w:rtl w:val="0"/>
        </w:rPr>
        <w:t xml:space="preserve"> — they scramble a channel while evolving the same dynamics. AOP intervenes on internal couplings, sometimes replacing a transition with detailed balance, sometimes deleting a mechanism outright. That changes the generator, not a channel. It can produce an off-manifold generator, violate conservation or local detailed balance, alter the stationary distribution and the resource budget, change several mechanisms at once, and yield a counterfactual that no admissible physical operation realizes. The canon labels the internal-edge move an extension — correctly and to its credit — and then repeatedly speaks as though the parent method licenses it.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The fix is specification, not retreat. Name the protocol. For every intervention declare: the structural mechanism changed; the physical operation that could implement it; the variables and laws held fixed; whether resource flow is fixed or free; whether detailed balance, conservation, and topology survive; and whether the altered model remains in the admissible class. Cite KW as inspiration and special case. This is real work — it is a specification section, not a sentence — but it converts the framework's most-attacked move into its most carefully-stated one.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RED-10: the resolvability limit overgeneralizes.</w:t>
      </w:r>
      <w:r w:rsidDel="00000000" w:rsidR="00000000" w:rsidRPr="00000000">
        <w:rPr>
          <w:rtl w:val="0"/>
        </w:rPr>
        <w:t xml:space="preserve"> High total correlation does not imply mechanisms cannot be separately intervened on. Common input produces strong correlation while leaving each mechanism independently manipulable; conversely, strongly synergistic causal organization can show low pairwise correlation. The equicorrelation/VIF construction demonstrates estimation collinearity in a chosen Gaussian family; sloppiness demonstrates broad eigenvalue spectra in parameterized models. Neither yields a general theorem that semantic attribution must fail as Integration rises. The canon's later inferential/interventional split is an improvement but still asserts that both are functions of integration and that topology fixes their ratio — true of the declared synthetic family, not established generally.</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The strategically damaging part is your own v1.25 result, not Aster's criticism of it.</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phaseE2</w:t>
      </w:r>
      <w:r w:rsidDel="00000000" w:rsidR="00000000" w:rsidRPr="00000000">
        <w:rPr>
          <w:rFonts w:ascii="Arial Unicode MS" w:cs="Arial Unicode MS" w:eastAsia="Arial Unicode MS" w:hAnsi="Arial Unicode MS"/>
          <w:rtl w:val="0"/>
        </w:rPr>
        <w:t xml:space="preserve"> sweep bounds the per-edge mask to a band that is simultaneously well-defined (κ ≲ 9) and informative (gap &gt; 3× blur) only at total correlation up to ≈0.5 with Φ_MIP ∈ [0.0003, 0.05] — near-zero individuation. The canon states plainly that the mask "does not reach the strongly integrated regime (life, the star) it was built to describe."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That is the mask-salvage diagnostic, and it came back negative. The well-defined region and the informative region </w:t>
      </w:r>
      <w:r w:rsidDel="00000000" w:rsidR="00000000" w:rsidRPr="00000000">
        <w:rPr>
          <w:i w:val="1"/>
          <w:iCs w:val="1"/>
          <w:rtl w:val="0"/>
        </w:rPr>
        <w:t xml:space="preserve">do</w:t>
      </w:r>
      <w:r w:rsidDel="00000000" w:rsidR="00000000" w:rsidRPr="00000000">
        <w:rPr>
          <w:rtl w:val="0"/>
        </w:rPr>
        <w:t xml:space="preserve"> overlap — which was the open question — but the overlap sits below the systems the instrument exists for. The canon's consolation, that the band is above the triviality floor, is true and thin.</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Recommendation.</w:t>
      </w:r>
      <w:r w:rsidDel="00000000" w:rsidR="00000000" w:rsidRPr="00000000">
        <w:rPr>
          <w:rtl w:val="0"/>
        </w:rPr>
        <w:t xml:space="preserve"> Treat the resolvability result as a model-specific </w:t>
      </w:r>
      <w:r w:rsidDel="00000000" w:rsidR="00000000" w:rsidRPr="00000000">
        <w:rPr>
          <w:b w:val="1"/>
          <w:bCs w:val="1"/>
          <w:rtl w:val="0"/>
        </w:rPr>
        <w:t xml:space="preserve">domain map for the edge-attribution estimator</w:t>
      </w:r>
      <w:r w:rsidDel="00000000" w:rsidR="00000000" w:rsidRPr="00000000">
        <w:rPr>
          <w:rtl w:val="0"/>
        </w:rPr>
        <w:t xml:space="preserve">, not a law of persistence. Promote the coalition object to the default: minimal failure cut sets, minimal viability-preserving sets, equivalence classes of viable mechanisms, allocation summaries only where additivity is justified, and a semantic hypergraph where no unique edge decomposition exists. Retain per-edge weights only where additivity and identifiability tests pass, which the sweep now tells you exactly how to test for.</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I want to be clear that this is a promotion and not a retreat. Aster identifies the coalition layer as AOP's strongest methodological path and I agree — it is the one object in the framework that is distinctively AOP-shaped, motivated by your own negative results (redundant pairs jointly necessary but individually dispensable, synergistic pairs sign-inverted by naive scores, strength anti-ranking viability), and not yet attacked by anyone. The per-edge mask was the instrument you built first. The coalition structure is the one the framework's own findings keep pointing at.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1"/>
        <w:rPr/>
      </w:pPr>
      <w:bookmarkStart w:colFirst="0" w:colLast="0" w:name="_pappm27vj9h9" w:id="29"/>
      <w:bookmarkEnd w:id="29"/>
      <w:r w:rsidDel="00000000" w:rsidR="00000000" w:rsidRPr="00000000">
        <w:rPr>
          <w:rtl w:val="0"/>
        </w:rPr>
        <w:t xml:space="preserve">Sequencing recommendation</w:t>
      </w:r>
    </w:p>
    <w:p w:rsidR="00000000" w:rsidDel="00000000" w:rsidP="00000000" w:rsidRDefault="00000000" w:rsidRPr="00000000" w14:paraId="000000E9">
      <w:pPr>
        <w:numPr>
          <w:ilvl w:val="0"/>
          <w:numId w:val="3"/>
        </w:numPr>
        <w:ind w:left="720" w:hanging="360"/>
      </w:pPr>
      <w:r w:rsidDel="00000000" w:rsidR="00000000" w:rsidRPr="00000000">
        <w:rPr>
          <w:b w:val="1"/>
          <w:bCs w:val="1"/>
          <w:rtl w:val="0"/>
        </w:rPr>
        <w:t xml:space="preserve">Fork the manuscript</w:t>
      </w:r>
      <w:r w:rsidDel="00000000" w:rsidR="00000000" w:rsidRPr="00000000">
        <w:rPr>
          <w:rtl w:val="0"/>
        </w:rPr>
        <w:t xml:space="preserve"> (L5). Everything else is cheaper afterward, and a large fraction of the register retires with it.</w:t>
      </w:r>
    </w:p>
    <w:p w:rsidR="00000000" w:rsidDel="00000000" w:rsidP="00000000" w:rsidRDefault="00000000" w:rsidRPr="00000000" w14:paraId="000000EA">
      <w:pPr>
        <w:numPr>
          <w:ilvl w:val="0"/>
          <w:numId w:val="3"/>
        </w:numPr>
        <w:ind w:left="720" w:hanging="360"/>
      </w:pPr>
      <w:r w:rsidDel="00000000" w:rsidR="00000000" w:rsidRPr="00000000">
        <w:rPr>
          <w:b w:val="1"/>
          <w:bCs w:val="1"/>
          <w:rtl w:val="0"/>
        </w:rPr>
        <w:t xml:space="preserve">Cut the physics block</w:t>
      </w:r>
      <w:r w:rsidDel="00000000" w:rsidR="00000000" w:rsidRPr="00000000">
        <w:rPr>
          <w:rtl w:val="0"/>
        </w:rPr>
        <w:t xml:space="preserve"> (H2) and the life block (H3) from the core. These are the two biggest subtractions and they are independent of everything else.</w:t>
      </w:r>
    </w:p>
    <w:p w:rsidR="00000000" w:rsidDel="00000000" w:rsidP="00000000" w:rsidRDefault="00000000" w:rsidRPr="00000000" w14:paraId="000000EB">
      <w:pPr>
        <w:numPr>
          <w:ilvl w:val="0"/>
          <w:numId w:val="3"/>
        </w:numPr>
        <w:ind w:left="720" w:hanging="360"/>
      </w:pPr>
      <w:r w:rsidDel="00000000" w:rsidR="00000000" w:rsidRPr="00000000">
        <w:rPr>
          <w:b w:val="1"/>
          <w:bCs w:val="1"/>
          <w:rtl w:val="0"/>
        </w:rPr>
        <w:t xml:space="preserve">Sweep the low-risk items</w:t>
      </w:r>
      <w:r w:rsidDel="00000000" w:rsidR="00000000" w:rsidRPr="00000000">
        <w:rPr>
          <w:rtl w:val="0"/>
        </w:rPr>
        <w:t xml:space="preserve"> (L1–L4, L6) and the ontology/declaration repairs (M1, M2). Half a day.</w:t>
      </w:r>
    </w:p>
    <w:p w:rsidR="00000000" w:rsidDel="00000000" w:rsidP="00000000" w:rsidRDefault="00000000" w:rsidRPr="00000000" w14:paraId="000000EC">
      <w:pPr>
        <w:numPr>
          <w:ilvl w:val="0"/>
          <w:numId w:val="3"/>
        </w:numPr>
        <w:ind w:left="720" w:hanging="360"/>
      </w:pPr>
      <w:r w:rsidDel="00000000" w:rsidR="00000000" w:rsidRPr="00000000">
        <w:rPr>
          <w:b w:val="1"/>
          <w:bCs w:val="1"/>
          <w:rtl w:val="0"/>
        </w:rPr>
        <w:t xml:space="preserve">Regrade</w:t>
      </w:r>
      <w:r w:rsidDel="00000000" w:rsidR="00000000" w:rsidRPr="00000000">
        <w:rPr>
          <w:rtl w:val="0"/>
        </w:rPr>
        <w:t xml:space="preserve"> (M5, M8, H5) and </w:t>
      </w:r>
      <w:r w:rsidDel="00000000" w:rsidR="00000000" w:rsidRPr="00000000">
        <w:rPr>
          <w:b w:val="1"/>
          <w:bCs w:val="1"/>
          <w:rtl w:val="0"/>
        </w:rPr>
        <w:t xml:space="preserve">restate</w:t>
      </w:r>
      <w:r w:rsidDel="00000000" w:rsidR="00000000" w:rsidRPr="00000000">
        <w:rPr>
          <w:rtl w:val="0"/>
        </w:rPr>
        <w:t xml:space="preserve"> (M3, M6, M7, M9, M10, M11). These are prose, not science.</w:t>
      </w:r>
    </w:p>
    <w:p w:rsidR="00000000" w:rsidDel="00000000" w:rsidP="00000000" w:rsidRDefault="00000000" w:rsidRPr="00000000" w14:paraId="000000ED">
      <w:pPr>
        <w:numPr>
          <w:ilvl w:val="0"/>
          <w:numId w:val="3"/>
        </w:numPr>
        <w:ind w:left="720" w:hanging="360"/>
      </w:pPr>
      <w:r w:rsidDel="00000000" w:rsidR="00000000" w:rsidRPr="00000000">
        <w:rPr>
          <w:b w:val="1"/>
          <w:bCs w:val="1"/>
          <w:rtl w:val="0"/>
        </w:rPr>
        <w:t xml:space="preserve">Specify the intervention protocol and promote coalition semantics</w:t>
      </w:r>
      <w:r w:rsidDel="00000000" w:rsidR="00000000" w:rsidRPr="00000000">
        <w:rPr>
          <w:rtl w:val="0"/>
        </w:rPr>
        <w:t xml:space="preserve"> (H6). This is the first real build.</w:t>
      </w:r>
    </w:p>
    <w:p w:rsidR="00000000" w:rsidDel="00000000" w:rsidP="00000000" w:rsidRDefault="00000000" w:rsidRPr="00000000" w14:paraId="000000EE">
      <w:pPr>
        <w:numPr>
          <w:ilvl w:val="0"/>
          <w:numId w:val="3"/>
        </w:numPr>
        <w:ind w:left="720" w:hanging="360"/>
      </w:pPr>
      <w:r w:rsidDel="00000000" w:rsidR="00000000" w:rsidRPr="00000000">
        <w:rPr>
          <w:rFonts w:ascii="Arial Unicode MS" w:cs="Arial Unicode MS" w:eastAsia="Arial Unicode MS" w:hAnsi="Arial Unicode MS"/>
          <w:b w:val="1"/>
          <w:bCs w:val="1"/>
          <w:rtl w:val="0"/>
        </w:rPr>
        <w:t xml:space="preserve">Declare the reversal convention and add the D→M scope condition</w:t>
      </w:r>
      <w:r w:rsidDel="00000000" w:rsidR="00000000" w:rsidRPr="00000000">
        <w:rPr>
          <w:rtl w:val="0"/>
        </w:rPr>
        <w:t xml:space="preserve"> (H1). One sentence, but it should be checked by someone other than whoever writes it.</w:t>
      </w:r>
    </w:p>
    <w:p w:rsidR="00000000" w:rsidDel="00000000" w:rsidP="00000000" w:rsidRDefault="00000000" w:rsidRPr="00000000" w14:paraId="000000EF">
      <w:pPr>
        <w:numPr>
          <w:ilvl w:val="0"/>
          <w:numId w:val="3"/>
        </w:numPr>
        <w:ind w:left="720" w:hanging="360"/>
      </w:pPr>
      <w:r w:rsidDel="00000000" w:rsidR="00000000" w:rsidRPr="00000000">
        <w:rPr>
          <w:b w:val="1"/>
          <w:bCs w:val="1"/>
          <w:rtl w:val="0"/>
        </w:rPr>
        <w:t xml:space="preserve">Build the external benchmark</w:t>
      </w:r>
      <w:r w:rsidDel="00000000" w:rsidR="00000000" w:rsidRPr="00000000">
        <w:rPr>
          <w:rtl w:val="0"/>
        </w:rPr>
        <w:t xml:space="preserve"> (H4). Pre-registered, externally sourced ground truth, frozen before any run. This is the long pole and everything else can proceed in parallel with it.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Retrieval task for the execution seat, before anything in this memo folds to canon:</w:t>
      </w:r>
      <w:r w:rsidDel="00000000" w:rsidR="00000000" w:rsidRPr="00000000">
        <w:rPr>
          <w:rtl w:val="0"/>
        </w:rPr>
        <w:t xml:space="preserve"> pull and line-check the seven primary sources in Aster's Appendix B. Four dispositions above (M4, M8, H1, H3) rest on his characterizations, and I have not read those papers.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b w:val="1"/>
          <w:bCs w:val="1"/>
          <w:rtl w:val="0"/>
        </w:rPr>
        <w:t xml:space="preserve">Decisions I need from you:</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numPr>
          <w:ilvl w:val="0"/>
          <w:numId w:val="1"/>
        </w:numPr>
        <w:ind w:left="720" w:hanging="360"/>
      </w:pPr>
      <w:r w:rsidDel="00000000" w:rsidR="00000000" w:rsidRPr="00000000">
        <w:rPr>
          <w:rtl w:val="0"/>
        </w:rPr>
        <w:t xml:space="preserve">H1: accept my rejection of Aster's severity, or take his downgrade?</w:t>
      </w:r>
    </w:p>
    <w:p w:rsidR="00000000" w:rsidDel="00000000" w:rsidP="00000000" w:rsidRDefault="00000000" w:rsidRPr="00000000" w14:paraId="000000F6">
      <w:pPr>
        <w:numPr>
          <w:ilvl w:val="0"/>
          <w:numId w:val="1"/>
        </w:numPr>
        <w:ind w:left="720" w:hanging="360"/>
      </w:pPr>
      <w:r w:rsidDel="00000000" w:rsidR="00000000" w:rsidRPr="00000000">
        <w:rPr>
          <w:rtl w:val="0"/>
        </w:rPr>
        <w:t xml:space="preserve">H2: is "screenability" retired as a bounding principle, or retained in the narrowed form?</w:t>
      </w:r>
    </w:p>
    <w:p w:rsidR="00000000" w:rsidDel="00000000" w:rsidP="00000000" w:rsidRDefault="00000000" w:rsidRPr="00000000" w14:paraId="000000F7">
      <w:pPr>
        <w:numPr>
          <w:ilvl w:val="0"/>
          <w:numId w:val="1"/>
        </w:numPr>
        <w:ind w:left="720" w:hanging="360"/>
      </w:pPr>
      <w:r w:rsidDel="00000000" w:rsidR="00000000" w:rsidRPr="00000000">
        <w:rPr>
          <w:rtl w:val="0"/>
        </w:rPr>
        <w:t xml:space="preserve">H3: does the life block move to a follow-on now, or after the benchmark?</w:t>
      </w:r>
    </w:p>
    <w:p w:rsidR="00000000" w:rsidDel="00000000" w:rsidP="00000000" w:rsidRDefault="00000000" w:rsidRPr="00000000" w14:paraId="000000F8">
      <w:pPr>
        <w:numPr>
          <w:ilvl w:val="0"/>
          <w:numId w:val="1"/>
        </w:numPr>
        <w:ind w:left="720" w:hanging="360"/>
      </w:pPr>
      <w:r w:rsidDel="00000000" w:rsidR="00000000" w:rsidRPr="00000000">
        <w:rPr>
          <w:rtl w:val="0"/>
        </w:rPr>
        <w:t xml:space="preserve">H4: does submission wait for the benchmark, or does the modest Perspective go out first?</w:t>
      </w:r>
    </w:p>
    <w:p w:rsidR="00000000" w:rsidDel="00000000" w:rsidP="00000000" w:rsidRDefault="00000000" w:rsidRPr="00000000" w14:paraId="000000F9">
      <w:pPr>
        <w:numPr>
          <w:ilvl w:val="0"/>
          <w:numId w:val="1"/>
        </w:numPr>
        <w:ind w:left="720" w:hanging="360"/>
      </w:pPr>
      <w:r w:rsidDel="00000000" w:rsidR="00000000" w:rsidRPr="00000000">
        <w:rPr>
          <w:rtl w:val="0"/>
        </w:rPr>
        <w:t xml:space="preserve">H6: is the per-edge mask formally parked, or kept as a scoped instrument?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End of memo. Non-canonical. No canon file modified.</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