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cl1t16jcb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簡報標題：打造美業最高公信力 —— IPE 講師暨評審招募說明會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副標題：專業晉階藍圖與共創雙贏獎勵計畫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a57iouxf3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Slide 1：我們的願景與核心價值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關於中華國際職能檢定與教育發展協會 (IPE)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：建立具有市場鑑別度與高公信力的檢定標準。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核心精神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：專業 (嚴謹考核)、公正 (透明機制)、客觀 (實務導向)。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為什麼要推動全新師資評審制度？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杜絕浮濫發證，保護認真教學的講師。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建立標準化的晉升管道，讓專業技術轉化為實質影響力與收益。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jlfwd6erw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Slide 2：IPE 專業人才晉階藍圖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(建議使用階層圖或箭頭圖呈現)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第一階：技術深耕</w:t>
      </w:r>
      <w:r w:rsidDel="00000000" w:rsidR="00000000" w:rsidRPr="00000000">
        <w:rPr>
          <w:rtl w:val="0"/>
        </w:rPr>
        <w:t xml:space="preserve"> ➡️ 取得該科目最高級檢定證書。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第二階：教學賦能</w:t>
      </w:r>
      <w:r w:rsidDel="00000000" w:rsidR="00000000" w:rsidRPr="00000000">
        <w:rPr>
          <w:rtl w:val="0"/>
        </w:rPr>
        <w:t xml:space="preserve"> ➡️ 加入會員並完成 12 小時講師培訓（含行銷實戰）。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第三階：市場拓展</w:t>
      </w:r>
      <w:r w:rsidDel="00000000" w:rsidR="00000000" w:rsidRPr="00000000">
        <w:rPr>
          <w:rtl w:val="0"/>
        </w:rPr>
        <w:t xml:space="preserve"> ➡️ 獲頒講師證，取得合法開班招生授權。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第四階：權威把關</w:t>
      </w:r>
      <w:r w:rsidDel="00000000" w:rsidR="00000000" w:rsidRPr="00000000">
        <w:rPr>
          <w:rtl w:val="0"/>
        </w:rPr>
        <w:t xml:space="preserve"> ➡️ 通過專屬評審考核，取得評審資格證，站上檢定大舞台。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核心理念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：要當評審，必先懂教學與市場！從技術到推廣，全方位培育。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9jflgwjbw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Slide 3：如何成為 IPE 認證講師？ (資格與權益)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基本門檻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：具備最高級證照，並維持 IPE 有效會員身分（入會費 1,000 元 / 常年會費 1,800 元）。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講師培訓 (講師訓)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總時數：12 小時（特別規劃 6 小時行銷與招生實戰課程）。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培訓費用：新台幣 9,800 元。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專屬權益與規範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取得官方授權的對外開班招生資格。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退場機制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：嚴格把關師資品質，若有招生不實或違反倫理，將啟動退場機制，保障品牌聲譽。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8b56m7bmv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Slide 4：評審派任規範與保障機制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當梯次聘任制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：維持組織機動性與評審名單的活躍度，聘書以「當梯次」為限。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出勤津貼保障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依實際派任發放固定半日或全日之評審津貼（及跨縣市交通補貼）。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席次保障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即使當次沒有推薦學生報考，只要符合資格並獲派任，坐上評審席即享有專業尊嚴與津貼。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vdfydu07g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5：🔥 講師專屬：階梯式推廣獎勵計畫 (重頭戲)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(主講人重點：你的影響力越大，協會分潤越多！鼓勵打團戰！)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針對當梯次推薦學生報考的講師，提供業界最具誠意的實質回饋：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1 - 8 位 (回饋 10%)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9 - 16 位 (回饋 20%)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 位以上 (回饋 30%！)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🏆 專案場- 單科目 12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位以上可以承辦檢定 (回饋 25%)</w:t>
        <w:br w:type="textWrapping"/>
      </w:r>
    </w:p>
    <w:tbl>
      <w:tblPr>
        <w:tblStyle w:val="Table1"/>
        <w:tblW w:w="4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250"/>
        <w:gridCol w:w="1250"/>
        <w:gridCol w:w="1250"/>
        <w:tblGridChange w:id="0">
          <w:tblGrid>
            <w:gridCol w:w="1190"/>
            <w:gridCol w:w="1250"/>
            <w:gridCol w:w="1250"/>
            <w:gridCol w:w="12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檢定級別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美甲/紋繡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美容/美體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美睫/除毛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初級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高級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l7z8m83sb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Slide 6：鐵腕防線 —— 利益迴避與評量公正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絕對的利益迴避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：配偶、親屬、現行師生或僱傭關係，必須主動申報迴避。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同單位評審不過半原則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單一檢定場次中，來自「同一服務單位/工會/團隊」的評審，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絕對不得超過總人數的 1/2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徹底杜絕人情壓力與包庇，確保每一張發出去的證書都經得起市場檢驗。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零容忍政策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：洩漏試題、接受關說或差別待遇者，立即取消資格。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4fx7k4f2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Slide 7：加入我們，共創美業新標竿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：完善的晉升藍圖保護認真教學的您，嚴格的派任規範保障考生的權益。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種子講師訓練 日期:2026/5/1 費用$2000/每科目 包含 講師及評審訓練及實務操作演練/評審聘書/評審名牌/評審領巾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