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8B9BFF90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21" w:rsidRDefault="001807E3" w:rsidP="001807E3">
      <w:pPr>
        <w:jc w:val="center"/>
        <w:rPr>
          <w:b/>
        </w:rPr>
      </w:pPr>
      <w:r>
        <w:rPr>
          <w:b/>
        </w:rPr>
        <w:t>Robertson Creek Chinook fecundity sampling</w:t>
      </w:r>
    </w:p>
    <w:p w:rsidR="001807E3" w:rsidRDefault="00830FCB" w:rsidP="001807E3">
      <w:pPr>
        <w:jc w:val="center"/>
        <w:rPr>
          <w:b/>
        </w:rPr>
      </w:pPr>
      <w:r>
        <w:rPr>
          <w:b/>
        </w:rPr>
        <w:t>OVERVIEW AND WORKPLAN</w:t>
      </w:r>
    </w:p>
    <w:p w:rsidR="001807E3" w:rsidRDefault="001807E3" w:rsidP="001807E3">
      <w:pPr>
        <w:jc w:val="center"/>
        <w:rPr>
          <w:b/>
        </w:rPr>
      </w:pPr>
    </w:p>
    <w:p w:rsidR="00D35C0B" w:rsidRPr="00E6301A" w:rsidRDefault="00D35C0B" w:rsidP="00D35C0B">
      <w:pPr>
        <w:rPr>
          <w:b/>
        </w:rPr>
      </w:pPr>
      <w:r w:rsidRPr="00E6301A">
        <w:rPr>
          <w:b/>
        </w:rPr>
        <w:t>Objective</w:t>
      </w:r>
    </w:p>
    <w:p w:rsidR="00D35C0B" w:rsidRDefault="00D35C0B" w:rsidP="00D35C0B">
      <w:r>
        <w:t>Update the Somass Chinook e</w:t>
      </w:r>
      <w:r w:rsidR="00E82FF2">
        <w:t xml:space="preserve">scapement target </w:t>
      </w:r>
      <w:r>
        <w:t>to ensure Robertson Creek Hatchery has the necessary contingency to meet its</w:t>
      </w:r>
      <w:r w:rsidR="00E82FF2">
        <w:t xml:space="preserve"> </w:t>
      </w:r>
      <w:proofErr w:type="spellStart"/>
      <w:r w:rsidR="00E82FF2">
        <w:t>broodstock</w:t>
      </w:r>
      <w:proofErr w:type="spellEnd"/>
      <w:r w:rsidR="00E82FF2">
        <w:t xml:space="preserve"> target. </w:t>
      </w:r>
      <w:r>
        <w:t xml:space="preserve">Current escapement target of 21,000 is based on historical fecundities that are known to be too high. This study will update the </w:t>
      </w:r>
      <w:proofErr w:type="spellStart"/>
      <w:r>
        <w:t>biostandards</w:t>
      </w:r>
      <w:proofErr w:type="spellEnd"/>
      <w:r>
        <w:t xml:space="preserve"> for fecundity at age in 3, 4, and 5 year old females. Considering the focus on the hatchery’s </w:t>
      </w:r>
      <w:proofErr w:type="spellStart"/>
      <w:r>
        <w:t>broodstock</w:t>
      </w:r>
      <w:proofErr w:type="spellEnd"/>
      <w:r>
        <w:t xml:space="preserve"> target, the study will estimate “realized” fecundity, </w:t>
      </w:r>
      <w:r>
        <w:rPr>
          <w:i/>
        </w:rPr>
        <w:t>i.e.</w:t>
      </w:r>
      <w:r>
        <w:t xml:space="preserve"> the number of eggs females yield to the hatchery. </w:t>
      </w:r>
      <w:r w:rsidR="00E82FF2">
        <w:t xml:space="preserve">Females lose eggs </w:t>
      </w:r>
      <w:r>
        <w:t xml:space="preserve">during migration owing to stressors such as low water flows and high water temperatures, and during </w:t>
      </w:r>
      <w:proofErr w:type="spellStart"/>
      <w:r>
        <w:t>broodstock</w:t>
      </w:r>
      <w:proofErr w:type="spellEnd"/>
      <w:r>
        <w:t xml:space="preserve"> collection owing to handling stress. It is not the objective of this study to estimate “potential” fecundity, </w:t>
      </w:r>
      <w:r>
        <w:rPr>
          <w:i/>
        </w:rPr>
        <w:t>i.e.</w:t>
      </w:r>
      <w:r>
        <w:t xml:space="preserve"> the nu</w:t>
      </w:r>
      <w:r w:rsidR="00830FCB">
        <w:t>mber of eggs attached to the sk</w:t>
      </w:r>
      <w:r>
        <w:t>e</w:t>
      </w:r>
      <w:r w:rsidR="00830FCB">
        <w:t>i</w:t>
      </w:r>
      <w:r>
        <w:t xml:space="preserve">n prior to any loss during migration, although observations on apparent levels of egg loss will be noted during sampling. </w:t>
      </w:r>
    </w:p>
    <w:p w:rsidR="007E235C" w:rsidRDefault="007E235C" w:rsidP="00D35C0B">
      <w:pPr>
        <w:rPr>
          <w:b/>
        </w:rPr>
      </w:pPr>
    </w:p>
    <w:p w:rsidR="001807E3" w:rsidRPr="00E6301A" w:rsidRDefault="001807E3" w:rsidP="00D35C0B">
      <w:pPr>
        <w:rPr>
          <w:b/>
        </w:rPr>
      </w:pPr>
      <w:r w:rsidRPr="00E6301A">
        <w:rPr>
          <w:b/>
        </w:rPr>
        <w:t>Logistics</w:t>
      </w:r>
    </w:p>
    <w:p w:rsidR="00A527C7" w:rsidRDefault="001807E3" w:rsidP="009512DD">
      <w:pPr>
        <w:pStyle w:val="ListParagraph"/>
        <w:numPr>
          <w:ilvl w:val="0"/>
          <w:numId w:val="3"/>
        </w:numPr>
      </w:pPr>
      <w:r>
        <w:t>Timeframe</w:t>
      </w:r>
      <w:r w:rsidR="00D35C0B">
        <w:t xml:space="preserve"> and personnel</w:t>
      </w:r>
      <w:r>
        <w:t xml:space="preserve">. </w:t>
      </w:r>
      <w:r w:rsidR="00026C5A">
        <w:t xml:space="preserve">Chinook start showing up at </w:t>
      </w:r>
      <w:r w:rsidR="009512DD">
        <w:t>the hatchery by late-Sept/early-</w:t>
      </w:r>
      <w:r w:rsidR="00026C5A">
        <w:t xml:space="preserve">Oct with good rains. Egg takes start around mid-Oct. Most Chinook are dead by 23 Oct. Last year it spanned 6–20 Oct. </w:t>
      </w:r>
      <w:r w:rsidR="009512DD">
        <w:t>So the effective period for the study is 3 weeks through the middle of October. Reasons to spread fecundity samplin</w:t>
      </w:r>
      <w:r w:rsidR="007E235C">
        <w:t>g across the full three weeks: e</w:t>
      </w:r>
      <w:r w:rsidR="009512DD">
        <w:t>gg viability is likely lower later in the run,</w:t>
      </w:r>
      <w:r w:rsidR="008307AE">
        <w:t xml:space="preserve"> </w:t>
      </w:r>
      <w:r w:rsidR="009512DD">
        <w:t>three</w:t>
      </w:r>
      <w:r w:rsidR="00B20238">
        <w:t xml:space="preserve"> year old females</w:t>
      </w:r>
      <w:r w:rsidR="009512DD">
        <w:t>—the constraining age in this study owing to their rarity—</w:t>
      </w:r>
      <w:r w:rsidR="009512DD" w:rsidRPr="009512DD">
        <w:rPr>
          <w:i/>
        </w:rPr>
        <w:t xml:space="preserve">might </w:t>
      </w:r>
      <w:r w:rsidR="009512DD">
        <w:t xml:space="preserve">be </w:t>
      </w:r>
      <w:r w:rsidR="00B20238">
        <w:t>more prevalent earlier</w:t>
      </w:r>
      <w:r w:rsidR="009512DD">
        <w:t>. Reason to conduct the study over a shorter time period: s</w:t>
      </w:r>
      <w:r w:rsidR="008307AE">
        <w:t xml:space="preserve">amplers will be less rushed if the bulk of </w:t>
      </w:r>
      <w:proofErr w:type="spellStart"/>
      <w:r w:rsidR="008307AE">
        <w:t>broodstock</w:t>
      </w:r>
      <w:proofErr w:type="spellEnd"/>
      <w:r w:rsidR="008307AE">
        <w:t xml:space="preserve"> takes are finished prior to this study.</w:t>
      </w:r>
      <w:r w:rsidR="009512DD">
        <w:t xml:space="preserve"> The hatchery’s s</w:t>
      </w:r>
      <w:r w:rsidR="00A527C7">
        <w:t>pawn</w:t>
      </w:r>
      <w:r w:rsidR="009512DD">
        <w:t>ing days</w:t>
      </w:r>
      <w:r w:rsidR="00A527C7">
        <w:t xml:space="preserve"> </w:t>
      </w:r>
      <w:r w:rsidR="009512DD">
        <w:t>are</w:t>
      </w:r>
      <w:r w:rsidR="00A527C7">
        <w:t xml:space="preserve"> 3–4 per week. </w:t>
      </w:r>
    </w:p>
    <w:p w:rsidR="009512DD" w:rsidRDefault="009512DD" w:rsidP="00A2177A">
      <w:pPr>
        <w:pStyle w:val="ListParagraph"/>
        <w:numPr>
          <w:ilvl w:val="1"/>
          <w:numId w:val="1"/>
        </w:numPr>
      </w:pPr>
      <w:r>
        <w:t>Compromise: sample during the first week with a lower target to hopefully intercept a few 3 year old females and then increase the sample targets for the latter two weeks. So, fecundity sampling will proceed for 1 day on first week and 2 days per week during last two weeks.</w:t>
      </w:r>
      <w:r w:rsidR="007E235C">
        <w:t xml:space="preserve"> (</w:t>
      </w:r>
      <w:r w:rsidR="007E235C" w:rsidRPr="00830FCB">
        <w:rPr>
          <w:b/>
          <w:color w:val="FF0000"/>
        </w:rPr>
        <w:t>Action:</w:t>
      </w:r>
      <w:r w:rsidR="007E235C" w:rsidRPr="00830FCB">
        <w:rPr>
          <w:color w:val="FF0000"/>
        </w:rPr>
        <w:t xml:space="preserve"> Nick to coordinate with Steve &amp; Graeme to settle on dates for the sampling and then prepare a sign-up sheet/schedule for distribution</w:t>
      </w:r>
      <w:r w:rsidR="007E235C">
        <w:t>).</w:t>
      </w:r>
    </w:p>
    <w:p w:rsidR="009512DD" w:rsidRDefault="009512DD" w:rsidP="007E235C">
      <w:pPr>
        <w:pStyle w:val="ListParagraph"/>
        <w:numPr>
          <w:ilvl w:val="1"/>
          <w:numId w:val="1"/>
        </w:numPr>
        <w:contextualSpacing w:val="0"/>
      </w:pPr>
      <w:r>
        <w:t xml:space="preserve">Required personnel will be two per sampling day. The hatchery can spare one person, one day per week for three weeks. If the sampling can be coordinated well with </w:t>
      </w:r>
      <w:proofErr w:type="spellStart"/>
      <w:r>
        <w:t>deadpitch</w:t>
      </w:r>
      <w:proofErr w:type="spellEnd"/>
      <w:r>
        <w:t xml:space="preserve"> sampling, </w:t>
      </w:r>
      <w:proofErr w:type="spellStart"/>
      <w:r>
        <w:t>StAD</w:t>
      </w:r>
      <w:proofErr w:type="spellEnd"/>
      <w:r>
        <w:t>/</w:t>
      </w:r>
      <w:proofErr w:type="spellStart"/>
      <w:r>
        <w:t>Hup</w:t>
      </w:r>
      <w:proofErr w:type="spellEnd"/>
      <w:r>
        <w:t xml:space="preserve"> techs could participate as well. </w:t>
      </w:r>
      <w:r w:rsidR="007E235C">
        <w:t>(</w:t>
      </w:r>
      <w:r w:rsidR="007E235C" w:rsidRPr="00830FCB">
        <w:rPr>
          <w:b/>
          <w:color w:val="FF0000"/>
        </w:rPr>
        <w:t>Action:</w:t>
      </w:r>
      <w:r w:rsidR="007E235C" w:rsidRPr="00830FCB">
        <w:rPr>
          <w:color w:val="FF0000"/>
        </w:rPr>
        <w:t xml:space="preserve"> Nick/Pat/Jeff to arrange a separate call to coordinate </w:t>
      </w:r>
      <w:proofErr w:type="spellStart"/>
      <w:r w:rsidR="007E235C" w:rsidRPr="00830FCB">
        <w:rPr>
          <w:color w:val="FF0000"/>
        </w:rPr>
        <w:t>deadpitch</w:t>
      </w:r>
      <w:proofErr w:type="spellEnd"/>
      <w:r w:rsidR="007E235C" w:rsidRPr="00830FCB">
        <w:rPr>
          <w:color w:val="FF0000"/>
        </w:rPr>
        <w:t xml:space="preserve"> sampling and staffing, tie in the work with the fecundity sampling</w:t>
      </w:r>
      <w:r w:rsidR="007E235C">
        <w:t xml:space="preserve">). </w:t>
      </w:r>
      <w:r>
        <w:t xml:space="preserve">Michael Thom would also like to join for at least one day. </w:t>
      </w:r>
    </w:p>
    <w:p w:rsidR="00026C5A" w:rsidRDefault="009512DD" w:rsidP="00E6301A">
      <w:pPr>
        <w:pStyle w:val="ListParagraph"/>
        <w:numPr>
          <w:ilvl w:val="0"/>
          <w:numId w:val="1"/>
        </w:numPr>
        <w:contextualSpacing w:val="0"/>
      </w:pPr>
      <w:r>
        <w:t xml:space="preserve">Subject females will be sampled from the </w:t>
      </w:r>
      <w:proofErr w:type="spellStart"/>
      <w:r>
        <w:t>broodstock</w:t>
      </w:r>
      <w:proofErr w:type="spellEnd"/>
      <w:r>
        <w:t xml:space="preserve"> takes. This is to address the main objective of the study</w:t>
      </w:r>
      <w:r w:rsidR="00E6301A">
        <w:t xml:space="preserve"> (see above)</w:t>
      </w:r>
      <w:r>
        <w:t xml:space="preserve">, and to make efficient use of sampling supplies and </w:t>
      </w:r>
      <w:r w:rsidR="00E6301A">
        <w:t xml:space="preserve">personnel. The drawback of sampling eggs prior to their use for spawning is increased egg mortality of up to 50%. However, considering the target sample size (see below), this should expose no more than 5% of the eggs to the increased mortality risk. </w:t>
      </w:r>
    </w:p>
    <w:p w:rsidR="001807E3" w:rsidRDefault="00E6301A" w:rsidP="007E235C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A </w:t>
      </w:r>
      <w:r w:rsidR="001807E3">
        <w:t>Gravimetric</w:t>
      </w:r>
      <w:r>
        <w:t xml:space="preserve"> sampling</w:t>
      </w:r>
      <w:r w:rsidR="001807E3">
        <w:t xml:space="preserve"> </w:t>
      </w:r>
      <w:r w:rsidR="002F3177">
        <w:t>method</w:t>
      </w:r>
      <w:r>
        <w:t>ology will be applied to estimate the fecundities of individual females</w:t>
      </w:r>
      <w:r w:rsidR="002F3177">
        <w:t>.</w:t>
      </w:r>
      <w:r>
        <w:t xml:space="preserve"> The total wet egg mass from each female will be weighed, and then a </w:t>
      </w:r>
      <w:r w:rsidR="002F3177">
        <w:t>300</w:t>
      </w:r>
      <w:r>
        <w:t>-</w:t>
      </w:r>
      <w:r w:rsidR="002F3177">
        <w:t xml:space="preserve">g </w:t>
      </w:r>
      <w:r>
        <w:t>(</w:t>
      </w:r>
      <w:r w:rsidR="002F3177">
        <w:t>wet weight</w:t>
      </w:r>
      <w:r>
        <w:t>) subsample of eggs will be enumerated. The resulting count will be</w:t>
      </w:r>
      <w:r w:rsidR="002F3177">
        <w:t xml:space="preserve"> expand</w:t>
      </w:r>
      <w:r>
        <w:t>ed</w:t>
      </w:r>
      <w:r w:rsidR="002F3177">
        <w:t xml:space="preserve"> </w:t>
      </w:r>
      <w:r>
        <w:t>according to the</w:t>
      </w:r>
      <w:r w:rsidR="002F3177">
        <w:t xml:space="preserve"> total weight </w:t>
      </w:r>
      <w:r>
        <w:t>of the</w:t>
      </w:r>
      <w:r w:rsidR="002F3177">
        <w:t xml:space="preserve"> egg mass.</w:t>
      </w:r>
    </w:p>
    <w:p w:rsidR="00890880" w:rsidRPr="00A527C7" w:rsidRDefault="00E6301A" w:rsidP="00E6301A">
      <w:pPr>
        <w:pStyle w:val="ListParagraph"/>
        <w:numPr>
          <w:ilvl w:val="0"/>
          <w:numId w:val="1"/>
        </w:numPr>
      </w:pPr>
      <w:r>
        <w:t xml:space="preserve">Data collected from females will be the same as that collected during the routine </w:t>
      </w:r>
      <w:proofErr w:type="spellStart"/>
      <w:r>
        <w:t>broodstock</w:t>
      </w:r>
      <w:proofErr w:type="spellEnd"/>
      <w:r>
        <w:t xml:space="preserve"> program. In addition, the females selected for fecundity sampling will be assigned a unique ID that pairs their data to the egg counts.</w:t>
      </w:r>
      <w:r w:rsidR="00830FCB">
        <w:t xml:space="preserve"> (</w:t>
      </w:r>
      <w:r w:rsidR="00830FCB" w:rsidRPr="00830FCB">
        <w:rPr>
          <w:b/>
          <w:color w:val="FF0000"/>
        </w:rPr>
        <w:t>Action:</w:t>
      </w:r>
      <w:r w:rsidR="00830FCB" w:rsidRPr="00830FCB">
        <w:rPr>
          <w:color w:val="FF0000"/>
        </w:rPr>
        <w:t xml:space="preserve"> hatchery staff</w:t>
      </w:r>
      <w:r w:rsidR="00830FCB">
        <w:rPr>
          <w:color w:val="FF0000"/>
        </w:rPr>
        <w:t>/SEP</w:t>
      </w:r>
      <w:r w:rsidR="00830FCB" w:rsidRPr="00830FCB">
        <w:rPr>
          <w:color w:val="FF0000"/>
        </w:rPr>
        <w:t xml:space="preserve"> to send Nick a copy of the current </w:t>
      </w:r>
      <w:proofErr w:type="spellStart"/>
      <w:r w:rsidR="00830FCB" w:rsidRPr="00830FCB">
        <w:rPr>
          <w:color w:val="FF0000"/>
        </w:rPr>
        <w:t>broodstock</w:t>
      </w:r>
      <w:proofErr w:type="spellEnd"/>
      <w:r w:rsidR="00830FCB" w:rsidRPr="00830FCB">
        <w:rPr>
          <w:color w:val="FF0000"/>
        </w:rPr>
        <w:t xml:space="preserve"> data sheets</w:t>
      </w:r>
      <w:r w:rsidR="003A3367">
        <w:rPr>
          <w:color w:val="FF0000"/>
        </w:rPr>
        <w:t xml:space="preserve">, Nick to ask Karin about uniquely numbered </w:t>
      </w:r>
      <w:proofErr w:type="spellStart"/>
      <w:r w:rsidR="003A3367">
        <w:rPr>
          <w:color w:val="FF0000"/>
        </w:rPr>
        <w:t>coloured</w:t>
      </w:r>
      <w:proofErr w:type="spellEnd"/>
      <w:r w:rsidR="003A3367">
        <w:rPr>
          <w:color w:val="FF0000"/>
        </w:rPr>
        <w:t xml:space="preserve"> zip ties</w:t>
      </w:r>
      <w:r w:rsidR="00CC4346">
        <w:rPr>
          <w:color w:val="FF0000"/>
        </w:rPr>
        <w:t>, working group to determine how to qualitatively classify % egg retention</w:t>
      </w:r>
      <w:r w:rsidR="00830FCB">
        <w:t>).</w:t>
      </w:r>
      <w:r>
        <w:t xml:space="preserve"> Egg data will be recorded on separate datasheets.</w:t>
      </w:r>
      <w:r w:rsidR="00830FCB">
        <w:t xml:space="preserve"> </w:t>
      </w:r>
      <w:r>
        <w:t>The egg datasheets will include: n</w:t>
      </w:r>
      <w:r w:rsidR="00890880">
        <w:t>o</w:t>
      </w:r>
      <w:r w:rsidR="00890880" w:rsidRPr="00A527C7">
        <w:t>tes on suspected level of egg loss in sampled fish</w:t>
      </w:r>
      <w:r>
        <w:t xml:space="preserve">, total egg mass weight, weight of the </w:t>
      </w:r>
      <w:r>
        <w:rPr>
          <w:rFonts w:cstheme="minorHAnsi"/>
        </w:rPr>
        <w:t>≈</w:t>
      </w:r>
      <w:r>
        <w:t xml:space="preserve">300-g subsample, egg count of the 300-g subsample, and length of 10 eggs selected randomly from the 300-g subsampled and aligned together on a juvenile egg measuring board. </w:t>
      </w:r>
      <w:r w:rsidR="00830FCB">
        <w:t>(</w:t>
      </w:r>
      <w:r w:rsidR="00830FCB" w:rsidRPr="00830FCB">
        <w:rPr>
          <w:b/>
          <w:color w:val="FF0000"/>
        </w:rPr>
        <w:t>Action:</w:t>
      </w:r>
      <w:r w:rsidR="00830FCB" w:rsidRPr="00830FCB">
        <w:rPr>
          <w:color w:val="FF0000"/>
        </w:rPr>
        <w:t xml:space="preserve"> Jeff to develop template data sheet for egg data</w:t>
      </w:r>
      <w:r w:rsidR="00830FCB">
        <w:t xml:space="preserve">). </w:t>
      </w:r>
      <w:r>
        <w:t>All sampling supplies will be supplied by the hatchery. (</w:t>
      </w:r>
      <w:r w:rsidRPr="00830FCB">
        <w:rPr>
          <w:b/>
          <w:color w:val="FF0000"/>
        </w:rPr>
        <w:t xml:space="preserve">Action: </w:t>
      </w:r>
      <w:r w:rsidR="00830FCB" w:rsidRPr="00830FCB">
        <w:rPr>
          <w:color w:val="FF0000"/>
        </w:rPr>
        <w:t xml:space="preserve">Nick/Jeff to provide </w:t>
      </w:r>
      <w:r w:rsidRPr="00830FCB">
        <w:rPr>
          <w:color w:val="FF0000"/>
        </w:rPr>
        <w:t>list of required materials to Steve and Graeme</w:t>
      </w:r>
      <w:r>
        <w:t xml:space="preserve">). </w:t>
      </w:r>
    </w:p>
    <w:p w:rsidR="007E235C" w:rsidRDefault="007E235C" w:rsidP="00E6301A">
      <w:pPr>
        <w:rPr>
          <w:b/>
        </w:rPr>
      </w:pPr>
    </w:p>
    <w:p w:rsidR="00E6301A" w:rsidRDefault="007F72D3" w:rsidP="00E6301A">
      <w:r w:rsidRPr="00E6301A">
        <w:rPr>
          <w:b/>
        </w:rPr>
        <w:t>Target sample</w:t>
      </w:r>
      <w:bookmarkStart w:id="0" w:name="_GoBack"/>
      <w:bookmarkEnd w:id="0"/>
    </w:p>
    <w:p w:rsidR="007E235C" w:rsidRDefault="007F72D3" w:rsidP="007E235C">
      <w:r>
        <w:t>Power analysis</w:t>
      </w:r>
      <w:r w:rsidR="00E6301A">
        <w:t xml:space="preserve"> (see Appendix, below)</w:t>
      </w:r>
      <w:r>
        <w:t xml:space="preserve"> suggests 14 </w:t>
      </w:r>
      <w:r w:rsidR="00E6301A">
        <w:t xml:space="preserve">females </w:t>
      </w:r>
      <w:r>
        <w:t xml:space="preserve">per age class should allow estimation of mean fecundities with sufficient accuracy. </w:t>
      </w:r>
      <w:r w:rsidR="007E235C">
        <w:t>However, a</w:t>
      </w:r>
      <w:r>
        <w:t xml:space="preserve">ges won’t be known at time of sampling. Mean POH lengths at age are </w:t>
      </w:r>
      <w:r w:rsidR="0077431E">
        <w:t>621,706</w:t>
      </w:r>
      <w:r>
        <w:t>, 7</w:t>
      </w:r>
      <w:r w:rsidR="0077431E">
        <w:t>58 for 3, 4, and 5 year olds</w:t>
      </w:r>
      <w:r w:rsidR="00397446">
        <w:t>,</w:t>
      </w:r>
      <w:r w:rsidR="0077431E">
        <w:t xml:space="preserve"> respectively, with considerable overlap between ages</w:t>
      </w:r>
      <w:r w:rsidR="00830FCB">
        <w:t xml:space="preserve"> (see histogram in Appendix, below)</w:t>
      </w:r>
      <w:r w:rsidR="0077431E">
        <w:t xml:space="preserve">. </w:t>
      </w:r>
      <w:r w:rsidR="007E235C">
        <w:t>Thus, target sample sizes within length bins will need to be developed to maximize the probability of meeting sample size required from each age. (</w:t>
      </w:r>
      <w:r w:rsidR="007E235C" w:rsidRPr="00830FCB">
        <w:rPr>
          <w:b/>
          <w:color w:val="FF0000"/>
        </w:rPr>
        <w:t>Action</w:t>
      </w:r>
      <w:r w:rsidR="007E235C" w:rsidRPr="00830FCB">
        <w:rPr>
          <w:color w:val="FF0000"/>
        </w:rPr>
        <w:t>: Nick to reach out for statistical advice and/or research a method to apply probability theory and produce a recommended sample size target by POH length</w:t>
      </w:r>
      <w:r w:rsidR="007E235C">
        <w:t xml:space="preserve">). As an upper bound on sample size, the hatchery can afford 200 females on a </w:t>
      </w:r>
      <w:r w:rsidR="007E235C" w:rsidRPr="007E235C">
        <w:rPr>
          <w:i/>
        </w:rPr>
        <w:t>good</w:t>
      </w:r>
      <w:r w:rsidR="007E235C">
        <w:t xml:space="preserve"> run. Suggestion is to start with 100 and possibly adjust upward if the sex ratio looks </w:t>
      </w:r>
      <w:proofErr w:type="spellStart"/>
      <w:r w:rsidR="007E235C">
        <w:t>favourable</w:t>
      </w:r>
      <w:proofErr w:type="spellEnd"/>
      <w:r w:rsidR="007E235C">
        <w:t xml:space="preserve"> for a relative abundance of returning females. </w:t>
      </w:r>
    </w:p>
    <w:p w:rsidR="007E235C" w:rsidRDefault="007E235C" w:rsidP="007E235C">
      <w:pPr>
        <w:rPr>
          <w:b/>
        </w:rPr>
      </w:pPr>
    </w:p>
    <w:p w:rsidR="007E235C" w:rsidRDefault="00B34EB6" w:rsidP="007E235C">
      <w:r w:rsidRPr="007E235C">
        <w:rPr>
          <w:b/>
        </w:rPr>
        <w:t>Other consider</w:t>
      </w:r>
      <w:r w:rsidR="007E235C">
        <w:rPr>
          <w:b/>
        </w:rPr>
        <w:t>ations</w:t>
      </w:r>
      <w:r>
        <w:t xml:space="preserve"> </w:t>
      </w:r>
    </w:p>
    <w:p w:rsidR="007E235C" w:rsidRDefault="007E235C" w:rsidP="007E235C">
      <w:pPr>
        <w:pStyle w:val="ListParagraph"/>
        <w:numPr>
          <w:ilvl w:val="0"/>
          <w:numId w:val="4"/>
        </w:numPr>
      </w:pPr>
      <w:r>
        <w:t>U</w:t>
      </w:r>
      <w:r w:rsidR="00B34EB6">
        <w:t xml:space="preserve">ntagged jacks </w:t>
      </w:r>
      <w:r>
        <w:t xml:space="preserve">will be </w:t>
      </w:r>
      <w:r w:rsidR="00B34EB6">
        <w:t>returning thi</w:t>
      </w:r>
      <w:r>
        <w:t>s year</w:t>
      </w:r>
      <w:r w:rsidR="00B34EB6">
        <w:t xml:space="preserve"> </w:t>
      </w:r>
    </w:p>
    <w:p w:rsidR="007E235C" w:rsidRDefault="007E235C" w:rsidP="007E235C">
      <w:pPr>
        <w:pStyle w:val="ListParagraph"/>
        <w:numPr>
          <w:ilvl w:val="0"/>
          <w:numId w:val="4"/>
        </w:numPr>
      </w:pPr>
      <w:r>
        <w:t xml:space="preserve">Thermal marks are </w:t>
      </w:r>
      <w:r w:rsidR="00B34EB6">
        <w:t xml:space="preserve">missing on </w:t>
      </w:r>
      <w:r>
        <w:t xml:space="preserve">the </w:t>
      </w:r>
      <w:r w:rsidR="00B34EB6">
        <w:t xml:space="preserve">2018 </w:t>
      </w:r>
      <w:r>
        <w:t>brood year</w:t>
      </w:r>
      <w:r w:rsidR="00B34EB6">
        <w:t xml:space="preserve"> (3 year old females)</w:t>
      </w:r>
    </w:p>
    <w:p w:rsidR="0028366B" w:rsidRDefault="007E235C" w:rsidP="007E235C">
      <w:pPr>
        <w:pStyle w:val="ListParagraph"/>
        <w:numPr>
          <w:ilvl w:val="0"/>
          <w:numId w:val="4"/>
        </w:numPr>
      </w:pPr>
      <w:r>
        <w:t>There was an</w:t>
      </w:r>
      <w:r w:rsidRPr="007E235C">
        <w:t xml:space="preserve"> unassociated fed fry release in 2016 due to an infrastructure malfunction in April. So</w:t>
      </w:r>
      <w:r>
        <w:t>,</w:t>
      </w:r>
      <w:r w:rsidRPr="007E235C">
        <w:t xml:space="preserve"> CWT expansions for escapement will be biased low in terms of ACTUAL enhanced contribution (as well as enhanced catch). Need to use thermal marks. Can this be rectified by MRP?</w:t>
      </w:r>
      <w:r>
        <w:t xml:space="preserve"> </w:t>
      </w:r>
      <w:r w:rsidR="0028366B">
        <w:br w:type="page"/>
      </w:r>
    </w:p>
    <w:p w:rsidR="0028366B" w:rsidRPr="0028366B" w:rsidRDefault="0028366B" w:rsidP="0028366B">
      <w:pPr>
        <w:rPr>
          <w:b/>
        </w:rPr>
      </w:pPr>
      <w:r>
        <w:rPr>
          <w:b/>
        </w:rPr>
        <w:lastRenderedPageBreak/>
        <w:t>APPENDIX</w:t>
      </w:r>
    </w:p>
    <w:p w:rsidR="0077431E" w:rsidRDefault="0028366B" w:rsidP="0028366B">
      <w:r>
        <w:t>Power analysis results indicate minimum sample of 14 females per age class for 80% power to estimate mean fecundities:</w:t>
      </w:r>
    </w:p>
    <w:p w:rsidR="0028366B" w:rsidRDefault="0028366B" w:rsidP="0028366B">
      <w:r>
        <w:rPr>
          <w:noProof/>
        </w:rPr>
        <w:drawing>
          <wp:inline distT="0" distB="0" distL="0" distR="0" wp14:anchorId="251B2126" wp14:editId="77A450D6">
            <wp:extent cx="5780598" cy="3252083"/>
            <wp:effectExtent l="0" t="0" r="0" b="5715"/>
            <wp:docPr id="3" name="Picture 1" descr="cid:image003.png@01D7A3DF.8B9BFF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id:image003.png@01D7A3DF.8B9BFF9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r="2737" b="3141"/>
                    <a:stretch/>
                  </pic:blipFill>
                  <pic:spPr bwMode="auto">
                    <a:xfrm>
                      <a:off x="0" y="0"/>
                      <a:ext cx="5780977" cy="325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FCB" w:rsidRDefault="00830FCB" w:rsidP="0028366B"/>
    <w:p w:rsidR="0028366B" w:rsidRDefault="0028366B" w:rsidP="0028366B">
      <w:r>
        <w:t>Precision curves suggest how confidence intervals will shrink with increasing sample size per age class:</w:t>
      </w:r>
    </w:p>
    <w:p w:rsidR="0028366B" w:rsidRDefault="0028366B" w:rsidP="0028366B">
      <w:r>
        <w:rPr>
          <w:noProof/>
        </w:rPr>
        <w:drawing>
          <wp:inline distT="0" distB="0" distL="0" distR="0" wp14:anchorId="2EB2DAAA" wp14:editId="040BCCE5">
            <wp:extent cx="5784850" cy="3467100"/>
            <wp:effectExtent l="0" t="0" r="6350" b="0"/>
            <wp:docPr id="2" name="Picture 2" descr="cid:image002.png@01D7A3DF.8B9BFF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2.png@01D7A3DF.8B9BFF9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" b="2098"/>
                    <a:stretch/>
                  </pic:blipFill>
                  <pic:spPr bwMode="auto">
                    <a:xfrm>
                      <a:off x="0" y="0"/>
                      <a:ext cx="5796451" cy="34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66B" w:rsidRDefault="0028366B" w:rsidP="0028366B">
      <w:r>
        <w:lastRenderedPageBreak/>
        <w:t xml:space="preserve">Distribution of POH lengths by age from Stamp river escapement </w:t>
      </w:r>
      <w:proofErr w:type="spellStart"/>
      <w:r>
        <w:t>biosamples</w:t>
      </w:r>
      <w:proofErr w:type="spellEnd"/>
      <w:r>
        <w:t xml:space="preserve"> and </w:t>
      </w:r>
      <w:proofErr w:type="spellStart"/>
      <w:r>
        <w:t>broodstock</w:t>
      </w:r>
      <w:proofErr w:type="spellEnd"/>
      <w:r>
        <w:t xml:space="preserve"> collections:</w:t>
      </w:r>
    </w:p>
    <w:p w:rsidR="0028366B" w:rsidRPr="001807E3" w:rsidRDefault="0028366B" w:rsidP="0028366B">
      <w:r>
        <w:rPr>
          <w:noProof/>
        </w:rPr>
        <w:drawing>
          <wp:inline distT="0" distB="0" distL="0" distR="0" wp14:anchorId="6563E9F5">
            <wp:extent cx="5924713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50" cy="403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366B" w:rsidRPr="001807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92" w:rsidRDefault="003B0092" w:rsidP="00830FCB">
      <w:pPr>
        <w:spacing w:after="0" w:line="240" w:lineRule="auto"/>
      </w:pPr>
      <w:r>
        <w:separator/>
      </w:r>
    </w:p>
  </w:endnote>
  <w:endnote w:type="continuationSeparator" w:id="0">
    <w:p w:rsidR="003B0092" w:rsidRDefault="003B0092" w:rsidP="0083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B" w:rsidRDefault="00830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3379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0FCB" w:rsidRDefault="00830F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3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3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0FCB" w:rsidRDefault="00830F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B" w:rsidRDefault="00830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92" w:rsidRDefault="003B0092" w:rsidP="00830FCB">
      <w:pPr>
        <w:spacing w:after="0" w:line="240" w:lineRule="auto"/>
      </w:pPr>
      <w:r>
        <w:separator/>
      </w:r>
    </w:p>
  </w:footnote>
  <w:footnote w:type="continuationSeparator" w:id="0">
    <w:p w:rsidR="003B0092" w:rsidRDefault="003B0092" w:rsidP="0083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B" w:rsidRDefault="00830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B" w:rsidRDefault="00830F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B" w:rsidRDefault="0083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167D"/>
    <w:multiLevelType w:val="hybridMultilevel"/>
    <w:tmpl w:val="CDFCF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6654"/>
    <w:multiLevelType w:val="hybridMultilevel"/>
    <w:tmpl w:val="F77E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47C9"/>
    <w:multiLevelType w:val="hybridMultilevel"/>
    <w:tmpl w:val="9F96C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47A4"/>
    <w:multiLevelType w:val="hybridMultilevel"/>
    <w:tmpl w:val="1F88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3"/>
    <w:rsid w:val="00026C5A"/>
    <w:rsid w:val="001807E3"/>
    <w:rsid w:val="0028366B"/>
    <w:rsid w:val="002F3177"/>
    <w:rsid w:val="003530FE"/>
    <w:rsid w:val="00397446"/>
    <w:rsid w:val="003A3367"/>
    <w:rsid w:val="003B0092"/>
    <w:rsid w:val="00552419"/>
    <w:rsid w:val="006A3BDD"/>
    <w:rsid w:val="006A73BD"/>
    <w:rsid w:val="006C5DC8"/>
    <w:rsid w:val="0077431E"/>
    <w:rsid w:val="007E235C"/>
    <w:rsid w:val="007F72D3"/>
    <w:rsid w:val="008307AE"/>
    <w:rsid w:val="00830FCB"/>
    <w:rsid w:val="00890880"/>
    <w:rsid w:val="00903CF5"/>
    <w:rsid w:val="009512DD"/>
    <w:rsid w:val="00992D02"/>
    <w:rsid w:val="00A527C7"/>
    <w:rsid w:val="00B20238"/>
    <w:rsid w:val="00B34EB6"/>
    <w:rsid w:val="00CC4346"/>
    <w:rsid w:val="00D35C0B"/>
    <w:rsid w:val="00E044FC"/>
    <w:rsid w:val="00E14F21"/>
    <w:rsid w:val="00E25A07"/>
    <w:rsid w:val="00E60D5B"/>
    <w:rsid w:val="00E6301A"/>
    <w:rsid w:val="00E82FF2"/>
    <w:rsid w:val="00F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62F90"/>
  <w15:chartTrackingRefBased/>
  <w15:docId w15:val="{D8C84B82-CD99-4EBD-8443-47984E2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B"/>
  </w:style>
  <w:style w:type="paragraph" w:styleId="Footer">
    <w:name w:val="footer"/>
    <w:basedOn w:val="Normal"/>
    <w:link w:val="FooterChar"/>
    <w:uiPriority w:val="99"/>
    <w:unhideWhenUsed/>
    <w:rsid w:val="008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8B9BFF90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8B9BFF90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7</cp:revision>
  <dcterms:created xsi:type="dcterms:W3CDTF">2021-09-14T18:58:00Z</dcterms:created>
  <dcterms:modified xsi:type="dcterms:W3CDTF">2021-09-21T18:00:00Z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2021-09-14T16:24:11Z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74e2bbbf-9b6a-42cf-ae45-0000e2ba6770</vt:lpwstr>
  </property>
</Properties>
</file>