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2C1FC" w14:textId="77777777" w:rsidR="006B51FB" w:rsidRDefault="00D64B2B">
      <w:pPr>
        <w:pStyle w:val="FirstParagraph"/>
      </w:pPr>
      <w:r>
        <w:rPr>
          <w:b/>
        </w:rPr>
        <w:t>Title:</w:t>
      </w:r>
      <w:r>
        <w:t xml:space="preserve"> Tree height and leaf drought tolerance traits shape growth responses across droughts in a temperate broadleaf forest</w:t>
      </w:r>
    </w:p>
    <w:p w14:paraId="23689A3E" w14:textId="77777777" w:rsidR="006B51FB" w:rsidRDefault="00D64B2B">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xml:space="preserve">, </w:t>
      </w:r>
      <w:proofErr w:type="spellStart"/>
      <w:r>
        <w:t>Lawren</w:t>
      </w:r>
      <w:proofErr w:type="spellEnd"/>
      <w:r>
        <w:t xml:space="preserve"> Sack</w:t>
      </w:r>
      <w:r>
        <w:rPr>
          <w:vertAlign w:val="superscript"/>
        </w:rPr>
        <w:t>9,10</w:t>
      </w:r>
      <w:r>
        <w:t>, Kristina J. Anderson-Teixeira</w:t>
      </w:r>
      <w:r>
        <w:rPr>
          <w:vertAlign w:val="superscript"/>
        </w:rPr>
        <w:t>1,3</w:t>
      </w:r>
      <w:r>
        <w:t>*</w:t>
      </w:r>
    </w:p>
    <w:p w14:paraId="7EF2111D" w14:textId="77777777" w:rsidR="006B51FB" w:rsidRDefault="00D64B2B">
      <w:pPr>
        <w:pStyle w:val="BodyText"/>
      </w:pPr>
      <w:r>
        <w:rPr>
          <w:b/>
        </w:rPr>
        <w:t>Author Affiliations:</w:t>
      </w:r>
    </w:p>
    <w:p w14:paraId="27878883" w14:textId="77777777" w:rsidR="006B51FB" w:rsidRDefault="00D64B2B">
      <w:pPr>
        <w:pStyle w:val="Compact"/>
        <w:numPr>
          <w:ilvl w:val="0"/>
          <w:numId w:val="2"/>
        </w:numPr>
      </w:pPr>
      <w:r>
        <w:t>Conservation Ecology Center; Smithsonian Conservation Biology Institute; National Zoological Park, Front Royal, VA 22630, USA</w:t>
      </w:r>
    </w:p>
    <w:p w14:paraId="158CD08D" w14:textId="77777777" w:rsidR="006B51FB" w:rsidRDefault="00D64B2B">
      <w:pPr>
        <w:pStyle w:val="Compact"/>
        <w:numPr>
          <w:ilvl w:val="0"/>
          <w:numId w:val="2"/>
        </w:numPr>
      </w:pPr>
      <w:r>
        <w:t>Center for Geospatial Analytics; North Carolina State University; Raleigh, NC 27607, USA</w:t>
      </w:r>
    </w:p>
    <w:p w14:paraId="56296539" w14:textId="77777777" w:rsidR="006B51FB" w:rsidRDefault="00D64B2B">
      <w:pPr>
        <w:pStyle w:val="Compact"/>
        <w:numPr>
          <w:ilvl w:val="0"/>
          <w:numId w:val="2"/>
        </w:numPr>
      </w:pPr>
      <w:r>
        <w:t>Center for Tropical Forest Science-Forest Global Earth Observatory; Smithsonian Tropical Research Institute; Panama, Republic of Panama</w:t>
      </w:r>
    </w:p>
    <w:p w14:paraId="0D1D17CC" w14:textId="77777777" w:rsidR="006B51FB" w:rsidRDefault="00D64B2B">
      <w:pPr>
        <w:pStyle w:val="Compact"/>
        <w:numPr>
          <w:ilvl w:val="0"/>
          <w:numId w:val="2"/>
        </w:numPr>
      </w:pPr>
      <w:r>
        <w:t>Canadian Forest Service, Northern Forestry Centre, Edmonton, Alberta, Canada T6H 3S5</w:t>
      </w:r>
    </w:p>
    <w:p w14:paraId="3026A9A7" w14:textId="77777777" w:rsidR="006B51FB" w:rsidRDefault="00D64B2B">
      <w:pPr>
        <w:pStyle w:val="Compact"/>
        <w:numPr>
          <w:ilvl w:val="0"/>
          <w:numId w:val="2"/>
        </w:numPr>
      </w:pPr>
      <w:r>
        <w:t>Biological Sciences Department; California State University; Los Angeles, CA 90032, USA</w:t>
      </w:r>
    </w:p>
    <w:p w14:paraId="56473C84" w14:textId="77777777" w:rsidR="006B51FB" w:rsidRDefault="00D64B2B">
      <w:pPr>
        <w:pStyle w:val="Compact"/>
        <w:numPr>
          <w:ilvl w:val="0"/>
          <w:numId w:val="2"/>
        </w:numPr>
      </w:pPr>
      <w:r>
        <w:t>Department of Environmental Sciences, University of Virginia, Charlottesville, VA 22903, USA</w:t>
      </w:r>
    </w:p>
    <w:p w14:paraId="05E96D6C" w14:textId="77777777" w:rsidR="006B51FB" w:rsidRDefault="00D64B2B">
      <w:pPr>
        <w:pStyle w:val="Compact"/>
        <w:numPr>
          <w:ilvl w:val="0"/>
          <w:numId w:val="2"/>
        </w:numPr>
      </w:pPr>
      <w:r>
        <w:t>NASA Goddard Space Flight Center; Greenbelt, MD 20771, USA</w:t>
      </w:r>
    </w:p>
    <w:p w14:paraId="67177710" w14:textId="77777777" w:rsidR="006B51FB" w:rsidRDefault="00D64B2B">
      <w:pPr>
        <w:pStyle w:val="Compact"/>
        <w:numPr>
          <w:ilvl w:val="0"/>
          <w:numId w:val="2"/>
        </w:numPr>
      </w:pPr>
      <w:r>
        <w:t xml:space="preserve">Harvard Forest, </w:t>
      </w:r>
      <w:proofErr w:type="spellStart"/>
      <w:r>
        <w:t>Petersham</w:t>
      </w:r>
      <w:proofErr w:type="spellEnd"/>
      <w:r>
        <w:t>, MA 01366, USA</w:t>
      </w:r>
    </w:p>
    <w:p w14:paraId="0A3F8ED0" w14:textId="77777777" w:rsidR="006B51FB" w:rsidRDefault="00D64B2B">
      <w:pPr>
        <w:pStyle w:val="Compact"/>
        <w:numPr>
          <w:ilvl w:val="0"/>
          <w:numId w:val="2"/>
        </w:numPr>
      </w:pPr>
      <w:r>
        <w:t>Department of Ecology and Evolutionary Biology; University of California, Los Angeles; Los Angeles, CA 90095, USA</w:t>
      </w:r>
    </w:p>
    <w:p w14:paraId="4356678D" w14:textId="77777777" w:rsidR="006B51FB" w:rsidRDefault="00D64B2B">
      <w:pPr>
        <w:pStyle w:val="Compact"/>
        <w:numPr>
          <w:ilvl w:val="0"/>
          <w:numId w:val="2"/>
        </w:numPr>
      </w:pPr>
      <w:r>
        <w:t>Institute of the Environment and Sustainability; University of California, Los Angeles; Los Angeles, CA 90095, USA</w:t>
      </w:r>
    </w:p>
    <w:p w14:paraId="64CF6995" w14:textId="77777777" w:rsidR="006B51FB" w:rsidRDefault="00D64B2B">
      <w:pPr>
        <w:pStyle w:val="FirstParagraph"/>
      </w:pPr>
      <w:r>
        <w:t xml:space="preserve">*corresponding author: </w:t>
      </w:r>
      <w:hyperlink r:id="rId7">
        <w:r>
          <w:t>teixeirak@si.edu</w:t>
        </w:r>
      </w:hyperlink>
      <w:r>
        <w:t>; +1 540 635 6546</w:t>
      </w:r>
    </w:p>
    <w:p w14:paraId="04125F69" w14:textId="77777777" w:rsidR="006B51FB" w:rsidRDefault="00D64B2B">
      <w:pPr>
        <w:pStyle w:val="BodyText"/>
      </w:pPr>
      <w:r>
        <w:rPr>
          <w:b/>
        </w:rPr>
        <w:t>Social Media:</w:t>
      </w:r>
    </w:p>
    <w:p w14:paraId="4FE2F04C" w14:textId="77777777" w:rsidR="006B51FB" w:rsidRDefault="00D64B2B">
      <w:pPr>
        <w:pStyle w:val="BodyText"/>
      </w:pPr>
      <w:r>
        <w:rPr>
          <w:b/>
        </w:rPr>
        <w:t>Brief Heading:</w:t>
      </w:r>
      <w:r>
        <w:t xml:space="preserve"> Tree-rings reveal how tree height and leaf traits shape drought tolerance in a broadleaf forest</w:t>
      </w:r>
    </w:p>
    <w:p w14:paraId="50297371" w14:textId="77777777" w:rsidR="006B51FB" w:rsidRDefault="00D64B2B">
      <w:pPr>
        <w:pStyle w:val="BodyText"/>
      </w:pPr>
      <w:r>
        <w:t>Ian R. McGregor:</w:t>
      </w:r>
    </w:p>
    <w:p w14:paraId="613E9C1A" w14:textId="77777777" w:rsidR="006B51FB" w:rsidRDefault="00B25CD5">
      <w:pPr>
        <w:pStyle w:val="BodyText"/>
      </w:pPr>
      <w:hyperlink r:id="rId8">
        <w:r w:rsidR="00D64B2B">
          <w:t>https://twitter.com/realclimatian</w:t>
        </w:r>
      </w:hyperlink>
    </w:p>
    <w:p w14:paraId="39F77A6C" w14:textId="77777777" w:rsidR="006B51FB" w:rsidRDefault="00D64B2B">
      <w:pPr>
        <w:pStyle w:val="BodyText"/>
      </w:pPr>
      <w:r>
        <w:t xml:space="preserve">Joseph </w:t>
      </w:r>
      <w:proofErr w:type="spellStart"/>
      <w:r>
        <w:t>Zailaa</w:t>
      </w:r>
      <w:proofErr w:type="spellEnd"/>
      <w:r>
        <w:t>:</w:t>
      </w:r>
    </w:p>
    <w:p w14:paraId="66204711" w14:textId="77777777" w:rsidR="006B51FB" w:rsidRDefault="00B25CD5">
      <w:pPr>
        <w:pStyle w:val="BodyText"/>
      </w:pPr>
      <w:hyperlink r:id="rId9">
        <w:r w:rsidR="00D64B2B">
          <w:t>https://twitter.com/ZailaaJ</w:t>
        </w:r>
      </w:hyperlink>
    </w:p>
    <w:p w14:paraId="7F533C1A" w14:textId="77777777" w:rsidR="006B51FB" w:rsidRDefault="00D64B2B">
      <w:pPr>
        <w:pStyle w:val="BodyText"/>
      </w:pPr>
      <w:r>
        <w:t>Atticus E.L. Stovall:</w:t>
      </w:r>
    </w:p>
    <w:p w14:paraId="3735A4FC" w14:textId="77777777" w:rsidR="006B51FB" w:rsidRDefault="00B25CD5">
      <w:pPr>
        <w:pStyle w:val="BodyText"/>
      </w:pPr>
      <w:hyperlink r:id="rId10">
        <w:r w:rsidR="00D64B2B">
          <w:t>https://twitter.com/StovallAtticus</w:t>
        </w:r>
      </w:hyperlink>
    </w:p>
    <w:p w14:paraId="200734FC" w14:textId="77777777" w:rsidR="006B51FB" w:rsidRDefault="00D64B2B">
      <w:pPr>
        <w:pStyle w:val="BodyText"/>
      </w:pPr>
      <w:r>
        <w:t>Neil Pederson:</w:t>
      </w:r>
    </w:p>
    <w:p w14:paraId="4F886E6E" w14:textId="77777777" w:rsidR="006B51FB" w:rsidRDefault="00B25CD5">
      <w:pPr>
        <w:pStyle w:val="BodyText"/>
      </w:pPr>
      <w:hyperlink r:id="rId11">
        <w:r w:rsidR="00D64B2B">
          <w:t>https://twitter.com/YellowBuckeye</w:t>
        </w:r>
      </w:hyperlink>
      <w:r w:rsidR="00D64B2B">
        <w:t>,</w:t>
      </w:r>
    </w:p>
    <w:p w14:paraId="4001455B" w14:textId="77777777" w:rsidR="006B51FB" w:rsidRDefault="00B25CD5">
      <w:pPr>
        <w:pStyle w:val="BodyText"/>
      </w:pPr>
      <w:hyperlink r:id="rId12">
        <w:r w:rsidR="00D64B2B">
          <w:t>https://www.facebook.com/neil.pederson.5</w:t>
        </w:r>
      </w:hyperlink>
      <w:r w:rsidR="00D64B2B">
        <w:t>,</w:t>
      </w:r>
    </w:p>
    <w:p w14:paraId="0BCE9445" w14:textId="77777777" w:rsidR="006B51FB" w:rsidRDefault="00B25CD5">
      <w:pPr>
        <w:pStyle w:val="BodyText"/>
      </w:pPr>
      <w:hyperlink r:id="rId13">
        <w:r w:rsidR="00D64B2B">
          <w:t>https://www.instagram.com/1yellowbuckeye/</w:t>
        </w:r>
      </w:hyperlink>
    </w:p>
    <w:p w14:paraId="0F1AD73D" w14:textId="77777777" w:rsidR="006B51FB" w:rsidRDefault="00D64B2B">
      <w:pPr>
        <w:pStyle w:val="BodyText"/>
      </w:pPr>
      <w:proofErr w:type="spellStart"/>
      <w:r>
        <w:lastRenderedPageBreak/>
        <w:t>Lawren</w:t>
      </w:r>
      <w:proofErr w:type="spellEnd"/>
      <w:r>
        <w:t xml:space="preserve"> Sack:</w:t>
      </w:r>
    </w:p>
    <w:p w14:paraId="13BFED2B" w14:textId="77777777" w:rsidR="006B51FB" w:rsidRDefault="00B25CD5">
      <w:pPr>
        <w:pStyle w:val="BodyText"/>
      </w:pPr>
      <w:hyperlink r:id="rId14">
        <w:r w:rsidR="00D64B2B">
          <w:t>https://twitter.com/lawrensack</w:t>
        </w:r>
      </w:hyperlink>
    </w:p>
    <w:p w14:paraId="44FA5254" w14:textId="77777777" w:rsidR="006B51FB" w:rsidRPr="00D64B2B" w:rsidRDefault="00D64B2B">
      <w:pPr>
        <w:pStyle w:val="BodyText"/>
        <w:rPr>
          <w:lang w:val="da-DK"/>
        </w:rPr>
      </w:pPr>
      <w:r w:rsidRPr="00D64B2B">
        <w:rPr>
          <w:lang w:val="da-DK"/>
        </w:rPr>
        <w:t>Kristina Anderson-</w:t>
      </w:r>
      <w:proofErr w:type="spellStart"/>
      <w:r w:rsidRPr="00D64B2B">
        <w:rPr>
          <w:lang w:val="da-DK"/>
        </w:rPr>
        <w:t>Teixiera</w:t>
      </w:r>
      <w:proofErr w:type="spellEnd"/>
      <w:r w:rsidRPr="00D64B2B">
        <w:rPr>
          <w:lang w:val="da-DK"/>
        </w:rPr>
        <w:t>:</w:t>
      </w:r>
    </w:p>
    <w:p w14:paraId="523533D6" w14:textId="77777777" w:rsidR="006B51FB" w:rsidRPr="00D64B2B" w:rsidRDefault="00B25CD5">
      <w:pPr>
        <w:pStyle w:val="BodyText"/>
        <w:rPr>
          <w:lang w:val="da-DK"/>
        </w:rPr>
      </w:pPr>
      <w:hyperlink r:id="rId15">
        <w:r w:rsidR="00D64B2B" w:rsidRPr="00D64B2B">
          <w:rPr>
            <w:lang w:val="da-DK"/>
          </w:rPr>
          <w:t>https://twitter.com/K_A_Teixeira</w:t>
        </w:r>
      </w:hyperlink>
    </w:p>
    <w:tbl>
      <w:tblPr>
        <w:tblStyle w:val="Table"/>
        <w:tblW w:w="5000" w:type="pct"/>
        <w:tblLook w:val="07E0" w:firstRow="1" w:lastRow="1" w:firstColumn="1" w:lastColumn="1" w:noHBand="1" w:noVBand="1"/>
      </w:tblPr>
      <w:tblGrid>
        <w:gridCol w:w="5246"/>
        <w:gridCol w:w="1207"/>
        <w:gridCol w:w="3007"/>
        <w:gridCol w:w="1360"/>
      </w:tblGrid>
      <w:tr w:rsidR="006B51FB" w14:paraId="39971264" w14:textId="77777777">
        <w:tc>
          <w:tcPr>
            <w:tcW w:w="0" w:type="auto"/>
            <w:tcBorders>
              <w:bottom w:val="single" w:sz="0" w:space="0" w:color="auto"/>
            </w:tcBorders>
            <w:vAlign w:val="bottom"/>
          </w:tcPr>
          <w:p w14:paraId="5E1271FB" w14:textId="77777777" w:rsidR="006B51FB" w:rsidRDefault="00D64B2B">
            <w:pPr>
              <w:pStyle w:val="Compact"/>
            </w:pPr>
            <w:r>
              <w:t>Text</w:t>
            </w:r>
          </w:p>
        </w:tc>
        <w:tc>
          <w:tcPr>
            <w:tcW w:w="0" w:type="auto"/>
            <w:tcBorders>
              <w:bottom w:val="single" w:sz="0" w:space="0" w:color="auto"/>
            </w:tcBorders>
            <w:vAlign w:val="bottom"/>
          </w:tcPr>
          <w:p w14:paraId="04AB90D7" w14:textId="77777777" w:rsidR="006B51FB" w:rsidRDefault="00D64B2B">
            <w:pPr>
              <w:pStyle w:val="Compact"/>
            </w:pPr>
            <w:r>
              <w:t>word count</w:t>
            </w:r>
          </w:p>
        </w:tc>
        <w:tc>
          <w:tcPr>
            <w:tcW w:w="0" w:type="auto"/>
            <w:tcBorders>
              <w:bottom w:val="single" w:sz="0" w:space="0" w:color="auto"/>
            </w:tcBorders>
            <w:vAlign w:val="bottom"/>
          </w:tcPr>
          <w:p w14:paraId="44E035BD" w14:textId="77777777" w:rsidR="006B51FB" w:rsidRDefault="00D64B2B">
            <w:pPr>
              <w:pStyle w:val="Compact"/>
            </w:pPr>
            <w:r>
              <w:t>other</w:t>
            </w:r>
          </w:p>
        </w:tc>
        <w:tc>
          <w:tcPr>
            <w:tcW w:w="0" w:type="auto"/>
            <w:tcBorders>
              <w:bottom w:val="single" w:sz="0" w:space="0" w:color="auto"/>
            </w:tcBorders>
            <w:vAlign w:val="bottom"/>
          </w:tcPr>
          <w:p w14:paraId="687A5EE3" w14:textId="77777777" w:rsidR="006B51FB" w:rsidRDefault="00D64B2B">
            <w:pPr>
              <w:pStyle w:val="Compact"/>
            </w:pPr>
            <w:r>
              <w:t>n</w:t>
            </w:r>
          </w:p>
        </w:tc>
      </w:tr>
      <w:tr w:rsidR="006B51FB" w14:paraId="69B7C584" w14:textId="77777777">
        <w:tc>
          <w:tcPr>
            <w:tcW w:w="0" w:type="auto"/>
          </w:tcPr>
          <w:p w14:paraId="73A95DB1" w14:textId="77777777" w:rsidR="006B51FB" w:rsidRDefault="00D64B2B">
            <w:pPr>
              <w:pStyle w:val="Compact"/>
            </w:pPr>
            <w:r>
              <w:t>Total word count (excluding summary, references and legends)</w:t>
            </w:r>
          </w:p>
        </w:tc>
        <w:tc>
          <w:tcPr>
            <w:tcW w:w="0" w:type="auto"/>
          </w:tcPr>
          <w:p w14:paraId="437C4790" w14:textId="77777777" w:rsidR="006B51FB" w:rsidRDefault="00D64B2B">
            <w:pPr>
              <w:pStyle w:val="Compact"/>
            </w:pPr>
            <w:r>
              <w:t>6,494</w:t>
            </w:r>
          </w:p>
        </w:tc>
        <w:tc>
          <w:tcPr>
            <w:tcW w:w="0" w:type="auto"/>
          </w:tcPr>
          <w:p w14:paraId="11D22752" w14:textId="77777777" w:rsidR="006B51FB" w:rsidRDefault="00D64B2B">
            <w:pPr>
              <w:pStyle w:val="Compact"/>
            </w:pPr>
            <w:r>
              <w:t>No. of figures</w:t>
            </w:r>
          </w:p>
        </w:tc>
        <w:tc>
          <w:tcPr>
            <w:tcW w:w="0" w:type="auto"/>
          </w:tcPr>
          <w:p w14:paraId="463B3D9F" w14:textId="77777777" w:rsidR="006B51FB" w:rsidRDefault="00D64B2B">
            <w:pPr>
              <w:pStyle w:val="Compact"/>
            </w:pPr>
            <w:r>
              <w:t xml:space="preserve">4 (all </w:t>
            </w:r>
            <w:proofErr w:type="spellStart"/>
            <w:r>
              <w:t>colour</w:t>
            </w:r>
            <w:proofErr w:type="spellEnd"/>
            <w:r>
              <w:t>)</w:t>
            </w:r>
          </w:p>
        </w:tc>
      </w:tr>
      <w:tr w:rsidR="006B51FB" w14:paraId="39BF22E8" w14:textId="77777777">
        <w:tc>
          <w:tcPr>
            <w:tcW w:w="0" w:type="auto"/>
          </w:tcPr>
          <w:p w14:paraId="4A21411A" w14:textId="77777777" w:rsidR="006B51FB" w:rsidRDefault="00D64B2B">
            <w:pPr>
              <w:pStyle w:val="Compact"/>
            </w:pPr>
            <w:r>
              <w:t>Summary</w:t>
            </w:r>
          </w:p>
        </w:tc>
        <w:tc>
          <w:tcPr>
            <w:tcW w:w="0" w:type="auto"/>
          </w:tcPr>
          <w:p w14:paraId="78CB6EB7" w14:textId="77777777" w:rsidR="006B51FB" w:rsidRDefault="00D64B2B">
            <w:pPr>
              <w:pStyle w:val="Compact"/>
            </w:pPr>
            <w:r>
              <w:t>200</w:t>
            </w:r>
          </w:p>
        </w:tc>
        <w:tc>
          <w:tcPr>
            <w:tcW w:w="0" w:type="auto"/>
          </w:tcPr>
          <w:p w14:paraId="2F634E61" w14:textId="77777777" w:rsidR="006B51FB" w:rsidRDefault="00D64B2B">
            <w:pPr>
              <w:pStyle w:val="Compact"/>
            </w:pPr>
            <w:r>
              <w:t>No. of Tables</w:t>
            </w:r>
          </w:p>
        </w:tc>
        <w:tc>
          <w:tcPr>
            <w:tcW w:w="0" w:type="auto"/>
          </w:tcPr>
          <w:p w14:paraId="0FC2A84C" w14:textId="77777777" w:rsidR="006B51FB" w:rsidRDefault="00D64B2B">
            <w:pPr>
              <w:pStyle w:val="Compact"/>
            </w:pPr>
            <w:r>
              <w:t>3</w:t>
            </w:r>
          </w:p>
        </w:tc>
      </w:tr>
      <w:tr w:rsidR="006B51FB" w14:paraId="51733899" w14:textId="77777777">
        <w:tc>
          <w:tcPr>
            <w:tcW w:w="0" w:type="auto"/>
          </w:tcPr>
          <w:p w14:paraId="74AAFA11" w14:textId="77777777" w:rsidR="006B51FB" w:rsidRDefault="00D64B2B">
            <w:pPr>
              <w:pStyle w:val="Compact"/>
            </w:pPr>
            <w:r>
              <w:t>Introduction</w:t>
            </w:r>
          </w:p>
        </w:tc>
        <w:tc>
          <w:tcPr>
            <w:tcW w:w="0" w:type="auto"/>
          </w:tcPr>
          <w:p w14:paraId="5E484B92" w14:textId="77777777" w:rsidR="006B51FB" w:rsidRDefault="00D64B2B">
            <w:pPr>
              <w:pStyle w:val="Compact"/>
            </w:pPr>
            <w:r>
              <w:t>1,347</w:t>
            </w:r>
          </w:p>
        </w:tc>
        <w:tc>
          <w:tcPr>
            <w:tcW w:w="0" w:type="auto"/>
          </w:tcPr>
          <w:p w14:paraId="16880160" w14:textId="77777777" w:rsidR="006B51FB" w:rsidRDefault="00D64B2B">
            <w:pPr>
              <w:pStyle w:val="Compact"/>
            </w:pPr>
            <w:r>
              <w:t>No of Supporting Information files</w:t>
            </w:r>
          </w:p>
        </w:tc>
        <w:tc>
          <w:tcPr>
            <w:tcW w:w="0" w:type="auto"/>
          </w:tcPr>
          <w:p w14:paraId="7AA97179" w14:textId="77777777" w:rsidR="006B51FB" w:rsidRDefault="00D64B2B">
            <w:pPr>
              <w:pStyle w:val="Compact"/>
            </w:pPr>
            <w:r>
              <w:t>19</w:t>
            </w:r>
          </w:p>
        </w:tc>
      </w:tr>
      <w:tr w:rsidR="006B51FB" w14:paraId="7B747F8A" w14:textId="77777777">
        <w:tc>
          <w:tcPr>
            <w:tcW w:w="0" w:type="auto"/>
          </w:tcPr>
          <w:p w14:paraId="4C4F3959" w14:textId="77777777" w:rsidR="006B51FB" w:rsidRDefault="00D64B2B">
            <w:pPr>
              <w:pStyle w:val="Compact"/>
            </w:pPr>
            <w:r>
              <w:t>Materials and Methods</w:t>
            </w:r>
          </w:p>
        </w:tc>
        <w:tc>
          <w:tcPr>
            <w:tcW w:w="0" w:type="auto"/>
          </w:tcPr>
          <w:p w14:paraId="1657D72A" w14:textId="77777777" w:rsidR="006B51FB" w:rsidRDefault="00D64B2B">
            <w:pPr>
              <w:pStyle w:val="Compact"/>
            </w:pPr>
            <w:r>
              <w:t>2,057</w:t>
            </w:r>
          </w:p>
        </w:tc>
        <w:tc>
          <w:tcPr>
            <w:tcW w:w="0" w:type="auto"/>
          </w:tcPr>
          <w:p w14:paraId="42E612D7" w14:textId="77777777" w:rsidR="006B51FB" w:rsidRDefault="006B51FB"/>
        </w:tc>
        <w:tc>
          <w:tcPr>
            <w:tcW w:w="0" w:type="auto"/>
          </w:tcPr>
          <w:p w14:paraId="0F6D9EDF" w14:textId="77777777" w:rsidR="006B51FB" w:rsidRDefault="006B51FB"/>
        </w:tc>
      </w:tr>
      <w:tr w:rsidR="006B51FB" w14:paraId="591F28FA" w14:textId="77777777">
        <w:tc>
          <w:tcPr>
            <w:tcW w:w="0" w:type="auto"/>
          </w:tcPr>
          <w:p w14:paraId="3F4DC99E" w14:textId="77777777" w:rsidR="006B51FB" w:rsidRDefault="00D64B2B">
            <w:pPr>
              <w:pStyle w:val="Compact"/>
            </w:pPr>
            <w:r>
              <w:t>Results</w:t>
            </w:r>
          </w:p>
        </w:tc>
        <w:tc>
          <w:tcPr>
            <w:tcW w:w="0" w:type="auto"/>
          </w:tcPr>
          <w:p w14:paraId="263C8F3D" w14:textId="77777777" w:rsidR="006B51FB" w:rsidRDefault="00D64B2B">
            <w:pPr>
              <w:pStyle w:val="Compact"/>
            </w:pPr>
            <w:r>
              <w:t>1129</w:t>
            </w:r>
          </w:p>
        </w:tc>
        <w:tc>
          <w:tcPr>
            <w:tcW w:w="0" w:type="auto"/>
          </w:tcPr>
          <w:p w14:paraId="7C4FCCA8" w14:textId="77777777" w:rsidR="006B51FB" w:rsidRDefault="006B51FB"/>
        </w:tc>
        <w:tc>
          <w:tcPr>
            <w:tcW w:w="0" w:type="auto"/>
          </w:tcPr>
          <w:p w14:paraId="1C6B3D66" w14:textId="77777777" w:rsidR="006B51FB" w:rsidRDefault="006B51FB"/>
        </w:tc>
      </w:tr>
      <w:tr w:rsidR="006B51FB" w14:paraId="4B91999B" w14:textId="77777777">
        <w:tc>
          <w:tcPr>
            <w:tcW w:w="0" w:type="auto"/>
          </w:tcPr>
          <w:p w14:paraId="1B73DE22" w14:textId="77777777" w:rsidR="006B51FB" w:rsidRDefault="00D64B2B">
            <w:pPr>
              <w:pStyle w:val="Compact"/>
            </w:pPr>
            <w:r>
              <w:t>Discussion</w:t>
            </w:r>
          </w:p>
        </w:tc>
        <w:tc>
          <w:tcPr>
            <w:tcW w:w="0" w:type="auto"/>
          </w:tcPr>
          <w:p w14:paraId="471D73A0" w14:textId="77777777" w:rsidR="006B51FB" w:rsidRDefault="00D64B2B">
            <w:pPr>
              <w:pStyle w:val="Compact"/>
            </w:pPr>
            <w:r>
              <w:t>1955</w:t>
            </w:r>
          </w:p>
        </w:tc>
        <w:tc>
          <w:tcPr>
            <w:tcW w:w="0" w:type="auto"/>
          </w:tcPr>
          <w:p w14:paraId="4FE9A095" w14:textId="77777777" w:rsidR="006B51FB" w:rsidRDefault="006B51FB"/>
        </w:tc>
        <w:tc>
          <w:tcPr>
            <w:tcW w:w="0" w:type="auto"/>
          </w:tcPr>
          <w:p w14:paraId="50C25DB4" w14:textId="77777777" w:rsidR="006B51FB" w:rsidRDefault="006B51FB"/>
        </w:tc>
      </w:tr>
      <w:tr w:rsidR="006B51FB" w14:paraId="0703C5E7" w14:textId="77777777">
        <w:tc>
          <w:tcPr>
            <w:tcW w:w="0" w:type="auto"/>
          </w:tcPr>
          <w:p w14:paraId="2BBEB9A2" w14:textId="77777777" w:rsidR="006B51FB" w:rsidRDefault="00D64B2B">
            <w:pPr>
              <w:pStyle w:val="Compact"/>
            </w:pPr>
            <w:r>
              <w:t>Acknowledgments</w:t>
            </w:r>
          </w:p>
        </w:tc>
        <w:tc>
          <w:tcPr>
            <w:tcW w:w="0" w:type="auto"/>
          </w:tcPr>
          <w:p w14:paraId="4EE44C06" w14:textId="77777777" w:rsidR="006B51FB" w:rsidRDefault="00D64B2B">
            <w:pPr>
              <w:pStyle w:val="Compact"/>
            </w:pPr>
            <w:r>
              <w:t>142</w:t>
            </w:r>
          </w:p>
        </w:tc>
        <w:tc>
          <w:tcPr>
            <w:tcW w:w="0" w:type="auto"/>
          </w:tcPr>
          <w:p w14:paraId="274569A8" w14:textId="77777777" w:rsidR="006B51FB" w:rsidRDefault="006B51FB"/>
        </w:tc>
        <w:tc>
          <w:tcPr>
            <w:tcW w:w="0" w:type="auto"/>
          </w:tcPr>
          <w:p w14:paraId="2CF325F4" w14:textId="77777777" w:rsidR="006B51FB" w:rsidRDefault="006B51FB"/>
        </w:tc>
      </w:tr>
    </w:tbl>
    <w:p w14:paraId="36CBF49A" w14:textId="77777777" w:rsidR="006B51FB" w:rsidRDefault="00D64B2B">
      <w:r>
        <w:br w:type="page"/>
      </w:r>
    </w:p>
    <w:p w14:paraId="49738EF0" w14:textId="77777777" w:rsidR="006B51FB" w:rsidRDefault="00D64B2B">
      <w:pPr>
        <w:pStyle w:val="Heading3"/>
      </w:pPr>
      <w:bookmarkStart w:id="0" w:name="summary"/>
      <w:r>
        <w:lastRenderedPageBreak/>
        <w:t>Summary</w:t>
      </w:r>
      <w:bookmarkEnd w:id="0"/>
    </w:p>
    <w:p w14:paraId="713F629A" w14:textId="77777777" w:rsidR="006B51FB" w:rsidRDefault="00D64B2B">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14:paraId="27B6B0D9" w14:textId="77777777" w:rsidR="006B51FB" w:rsidRDefault="00D64B2B">
      <w:pPr>
        <w:numPr>
          <w:ilvl w:val="0"/>
          <w:numId w:val="3"/>
        </w:numPr>
      </w:pPr>
      <w:r>
        <w:t>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14:paraId="26AB34E6" w14:textId="77777777" w:rsidR="006B51FB" w:rsidRDefault="00D64B2B">
      <w:pPr>
        <w:numPr>
          <w:ilvl w:val="0"/>
          <w:numId w:val="3"/>
        </w:numPr>
      </w:pPr>
      <w:r>
        <w:t>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14:paraId="11191AA6" w14:textId="77777777" w:rsidR="006B51FB" w:rsidRDefault="00D64B2B">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14:paraId="0B200389" w14:textId="77777777" w:rsidR="006B51FB" w:rsidRDefault="00D64B2B">
      <w:pPr>
        <w:pStyle w:val="FirstParagraph"/>
      </w:pPr>
      <w:r>
        <w:rPr>
          <w:i/>
        </w:rPr>
        <w:t>Key words</w:t>
      </w:r>
      <w:r>
        <w:t>: annual growth; crown exposure; drought; Forest Global Earth Observatory (ForestGEO); leaf drought tolerance traits; temperate broadleaf deciduous forest; tree height; tree-ring</w:t>
      </w:r>
    </w:p>
    <w:p w14:paraId="66345F35" w14:textId="77777777" w:rsidR="006B51FB" w:rsidRDefault="00D64B2B">
      <w:r>
        <w:br w:type="page"/>
      </w:r>
    </w:p>
    <w:p w14:paraId="02355630" w14:textId="77777777" w:rsidR="006B51FB" w:rsidRDefault="00D64B2B">
      <w:pPr>
        <w:pStyle w:val="Heading3"/>
      </w:pPr>
      <w:bookmarkStart w:id="1" w:name="introduction"/>
      <w:r>
        <w:lastRenderedPageBreak/>
        <w:t>Introduction</w:t>
      </w:r>
      <w:bookmarkEnd w:id="1"/>
    </w:p>
    <w:p w14:paraId="5338326C" w14:textId="77777777" w:rsidR="006B51FB" w:rsidRDefault="00D64B2B">
      <w:pPr>
        <w:pStyle w:val="FirstParagraph"/>
      </w:pPr>
      <w:r>
        <w:t>Forests play a critical global role in climate regulation (</w:t>
      </w:r>
      <w:proofErr w:type="spellStart"/>
      <w:r>
        <w:t>Bonan</w:t>
      </w:r>
      <w:proofErr w:type="spellEnd"/>
      <w:r>
        <w:t xml:space="preserve"> </w:t>
      </w:r>
      <w:hyperlink w:anchor="ref-bonan_forests_2008">
        <w:r>
          <w:t>2008</w:t>
        </w:r>
      </w:hyperlink>
      <w:r>
        <w:t>), yet there remains enormous uncertainty as to how the forest-dominated terrestrial carbon sink will respond to climate change (</w:t>
      </w:r>
      <w:proofErr w:type="spellStart"/>
      <w:r>
        <w:t>Friedlingstein</w:t>
      </w:r>
      <w:proofErr w:type="spellEnd"/>
      <w:r>
        <w:t xml:space="preserve"> et al. </w:t>
      </w:r>
      <w:hyperlink w:anchor="ref-friedlingstein_climatecarbon_2006">
        <w:r>
          <w:t>2006</w:t>
        </w:r>
      </w:hyperlink>
      <w:r>
        <w:t xml:space="preserve">). An important aspect of this uncertainty lies with physiological responses of trees to drought (Kennedy et al. </w:t>
      </w:r>
      <w:hyperlink w:anchor="ref-kennedy_implementing_2019">
        <w:r>
          <w:t>2019</w:t>
        </w:r>
      </w:hyperlink>
      <w:r>
        <w:t xml:space="preserve">). In many forested regions around the world, the risk of severe drought is increasing (Trenberth et al. </w:t>
      </w:r>
      <w:hyperlink w:anchor="ref-trenberth_global_2014">
        <w:r>
          <w:t>2014</w:t>
        </w:r>
      </w:hyperlink>
      <w:r>
        <w:t xml:space="preserve">; Dai, Zhao, and Chen </w:t>
      </w:r>
      <w:hyperlink w:anchor="ref-dai_climate_2018">
        <w:r>
          <w:t>2018</w:t>
        </w:r>
      </w:hyperlink>
      <w:r>
        <w:t xml:space="preserve">), often despite increasing precipitation (Intergovernmental Panel on Climate Change </w:t>
      </w:r>
      <w:hyperlink w:anchor="X024671904173f8aa2e787e9047683bd848398fb">
        <w:r>
          <w:t>2015</w:t>
        </w:r>
      </w:hyperlink>
      <w:r>
        <w:t xml:space="preserve">; Cook, Ault, and </w:t>
      </w:r>
      <w:proofErr w:type="spellStart"/>
      <w:r>
        <w:t>Smerdon</w:t>
      </w:r>
      <w:proofErr w:type="spellEnd"/>
      <w:r>
        <w:t xml:space="preserve"> </w:t>
      </w:r>
      <w:hyperlink w:anchor="ref-cook_unprecedented_2015">
        <w:r>
          <w:t>2015</w:t>
        </w:r>
      </w:hyperlink>
      <w:r>
        <w:t xml:space="preserve">). Droughts, intensified by climate change, have been affecting forests worldwide and are expected to continue as an important driver of forest change (Allen et al. </w:t>
      </w:r>
      <w:hyperlink w:anchor="ref-allen_global_2010">
        <w:r>
          <w:t>2010</w:t>
        </w:r>
      </w:hyperlink>
      <w:r>
        <w:t xml:space="preserve">; Allen, </w:t>
      </w:r>
      <w:proofErr w:type="spellStart"/>
      <w:r>
        <w:t>Breshears</w:t>
      </w:r>
      <w:proofErr w:type="spellEnd"/>
      <w:r>
        <w:t xml:space="preserve">, and McDowell </w:t>
      </w:r>
      <w:hyperlink w:anchor="ref-allen_underestimation_2015">
        <w:r>
          <w:t>2015</w:t>
        </w:r>
      </w:hyperlink>
      <w:r>
        <w:t xml:space="preserve">; McDowell et al. </w:t>
      </w:r>
      <w:hyperlink w:anchor="ref-mcdowell_pervasive_2020">
        <w:r>
          <w:t>2020</w:t>
        </w:r>
      </w:hyperlink>
      <w:r>
        <w:t>).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increase growth relative to drought minimum (</w:t>
      </w:r>
      <w:r>
        <w:rPr>
          <w:i/>
        </w:rPr>
        <w:t>recovery</w:t>
      </w:r>
      <w:r>
        <w:t>), and re-establish its pre-drought growth rate (</w:t>
      </w:r>
      <w:r>
        <w:rPr>
          <w:i/>
        </w:rPr>
        <w:t>resilience</w:t>
      </w:r>
      <w:r>
        <w:t xml:space="preserve">; </w:t>
      </w:r>
      <w:proofErr w:type="spellStart"/>
      <w:r>
        <w:t>Lloret</w:t>
      </w:r>
      <w:proofErr w:type="spellEnd"/>
      <w:r>
        <w:t xml:space="preserve">, Keeling, and Sala </w:t>
      </w:r>
      <w:hyperlink w:anchor="ref-lloret_components_2011">
        <w:r>
          <w:t>2011</w:t>
        </w:r>
      </w:hyperlink>
      <w:r>
        <w:t xml:space="preserve">). Survival has been shown to be linked to resistance, recovery, and resilience (DeSoto et al. </w:t>
      </w:r>
      <w:hyperlink w:anchor="ref-desoto_low_2020">
        <w:r>
          <w:t>2020</w:t>
        </w:r>
      </w:hyperlink>
      <w:r>
        <w:t xml:space="preserve">; Gessler et al. </w:t>
      </w:r>
      <w:hyperlink w:anchor="ref-gessler_way_2020">
        <w:r>
          <w:t>2020</w:t>
        </w:r>
      </w:hyperlink>
      <w:r>
        <w:t>),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14:paraId="2DF341EA" w14:textId="77777777" w:rsidR="006B51FB" w:rsidRDefault="00D64B2B">
      <w:pPr>
        <w:pStyle w:val="BodyText"/>
      </w:pPr>
      <w:r>
        <w:t>Many studies have shown that within and across species, large trees tend to be more affected by drought. Greater growth reductions (</w:t>
      </w:r>
      <w:r>
        <w:rPr>
          <w:i/>
        </w:rPr>
        <w:t>i.e.</w:t>
      </w:r>
      <w:r>
        <w:t>, lower drought resistance) in larger trees were first shown on a global scale by Bennett et al. (</w:t>
      </w:r>
      <w:hyperlink w:anchor="ref-bennett_larger_2015">
        <w:r>
          <w:t>2015</w:t>
        </w:r>
      </w:hyperlink>
      <w:r>
        <w:t>), and subsequent studies have reinforced this finding (</w:t>
      </w:r>
      <w:r>
        <w:rPr>
          <w:i/>
        </w:rPr>
        <w:t>e.g.</w:t>
      </w:r>
      <w:r>
        <w:t xml:space="preserve">, </w:t>
      </w:r>
      <w:proofErr w:type="spellStart"/>
      <w:r>
        <w:t>Pretzsch</w:t>
      </w:r>
      <w:proofErr w:type="spellEnd"/>
      <w:r>
        <w:t xml:space="preserve">, </w:t>
      </w:r>
      <w:proofErr w:type="spellStart"/>
      <w:r>
        <w:t>Schütze</w:t>
      </w:r>
      <w:proofErr w:type="spellEnd"/>
      <w:r>
        <w:t xml:space="preserve">, and </w:t>
      </w:r>
      <w:proofErr w:type="spellStart"/>
      <w:r>
        <w:t>Biber</w:t>
      </w:r>
      <w:proofErr w:type="spellEnd"/>
      <w:r>
        <w:t xml:space="preserve"> </w:t>
      </w:r>
      <w:hyperlink w:anchor="ref-pretzsch_drought_2018">
        <w:r>
          <w:t>2018</w:t>
        </w:r>
      </w:hyperlink>
      <w:r>
        <w:t xml:space="preserve">; </w:t>
      </w:r>
      <w:proofErr w:type="spellStart"/>
      <w:r>
        <w:t>Gillerot</w:t>
      </w:r>
      <w:proofErr w:type="spellEnd"/>
      <w:r>
        <w:t xml:space="preserve"> et al. </w:t>
      </w:r>
      <w:hyperlink w:anchor="ref-gillerot_tree_2020">
        <w:r>
          <w:t>2020</w:t>
        </w:r>
      </w:hyperlink>
      <w:r>
        <w:t>). Although lower recovery and resilience of larger trees have also been observed (</w:t>
      </w:r>
      <w:proofErr w:type="spellStart"/>
      <w:r>
        <w:t>Gillerot</w:t>
      </w:r>
      <w:proofErr w:type="spellEnd"/>
      <w:r>
        <w:t xml:space="preserve"> et al. </w:t>
      </w:r>
      <w:hyperlink w:anchor="ref-gillerot_tree_2020">
        <w:r>
          <w:t>2020</w:t>
        </w:r>
      </w:hyperlink>
      <w:r>
        <w:t xml:space="preserve">), results were mixed (Merlin et al. </w:t>
      </w:r>
      <w:hyperlink w:anchor="ref-merlin_effects_2015">
        <w:r>
          <w:t>2015</w:t>
        </w:r>
      </w:hyperlink>
      <w:r>
        <w:t>), and a recent physiological model suggests that large trees destined to die following drought may still exhibit high recovery and resilience (</w:t>
      </w:r>
      <w:proofErr w:type="spellStart"/>
      <w:r>
        <w:t>Trugman</w:t>
      </w:r>
      <w:proofErr w:type="spellEnd"/>
      <w:r>
        <w:t xml:space="preserve"> et al. </w:t>
      </w:r>
      <w:hyperlink w:anchor="ref-trugman_tree_2018">
        <w:r>
          <w:t>2018</w:t>
        </w:r>
      </w:hyperlink>
      <w:r>
        <w:t>). Thus, in general we have much more limited understanding of how and why drought resilience scales with tree size.</w:t>
      </w:r>
    </w:p>
    <w:p w14:paraId="68346EF8" w14:textId="77777777" w:rsidR="006B51FB" w:rsidRDefault="00D64B2B">
      <w:pPr>
        <w:pStyle w:val="BodyText"/>
      </w:pPr>
      <w:r>
        <w:t xml:space="preserve">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(McDowell et al. </w:t>
      </w:r>
      <w:hyperlink w:anchor="ref-mcdowell_relationships_2011">
        <w:r>
          <w:t>2011</w:t>
        </w:r>
      </w:hyperlink>
      <w:r>
        <w:t xml:space="preserve">; McDowell and Allen </w:t>
      </w:r>
      <w:hyperlink w:anchor="ref-mcdowell_darcys_2015">
        <w:r>
          <w:t>2015</w:t>
        </w:r>
      </w:hyperlink>
      <w:r>
        <w:t xml:space="preserve">; Ryan, Phillips, and Bond </w:t>
      </w:r>
      <w:hyperlink w:anchor="ref-ryan_hydraulic_2006">
        <w:r>
          <w:t>2006</w:t>
        </w:r>
      </w:hyperlink>
      <w:r>
        <w:t xml:space="preserve">; </w:t>
      </w:r>
      <w:proofErr w:type="spellStart"/>
      <w:r>
        <w:t>Couvreur</w:t>
      </w:r>
      <w:proofErr w:type="spellEnd"/>
      <w:r>
        <w:t xml:space="preserve"> et al. </w:t>
      </w:r>
      <w:hyperlink w:anchor="ref-couvreur_water_2018">
        <w:r>
          <w:t>2018</w:t>
        </w:r>
      </w:hyperlink>
      <w:r>
        <w:t>). Vertical gradients in stem and leaf traits–including smaller and thicker leaves (higher leaf mass per area), greater resistance to hydraulic dysfunction (</w:t>
      </w:r>
      <w:r>
        <w:rPr>
          <w:i/>
        </w:rPr>
        <w:t>i.e.</w:t>
      </w:r>
      <w:r>
        <w:t>, more negative water potential at 50% loss of hydraulic conductivity, more negative P50), and the tapering of hydraulic conductivity at greater heights (</w:t>
      </w:r>
      <w:proofErr w:type="spellStart"/>
      <w:r>
        <w:t>Couvreur</w:t>
      </w:r>
      <w:proofErr w:type="spellEnd"/>
      <w:r>
        <w:t xml:space="preserve"> et al. </w:t>
      </w:r>
      <w:hyperlink w:anchor="ref-couvreur_water_2018">
        <w:r>
          <w:t>2018</w:t>
        </w:r>
      </w:hyperlink>
      <w:r>
        <w:t xml:space="preserve">; Koike et al. </w:t>
      </w:r>
      <w:hyperlink w:anchor="ref-koike_leaf_2001">
        <w:r>
          <w:t>2001</w:t>
        </w:r>
      </w:hyperlink>
      <w:r>
        <w:t xml:space="preserve">; McDowell et al. </w:t>
      </w:r>
      <w:hyperlink w:anchor="ref-mcdowell_relationships_2011">
        <w:r>
          <w:t>2011</w:t>
        </w:r>
      </w:hyperlink>
      <w:r>
        <w:t>)–enable trees to become tall (</w:t>
      </w:r>
      <w:proofErr w:type="spellStart"/>
      <w:r>
        <w:t>Couvreur</w:t>
      </w:r>
      <w:proofErr w:type="spellEnd"/>
      <w:r>
        <w:t xml:space="preserve"> et al. </w:t>
      </w:r>
      <w:hyperlink w:anchor="ref-couvreur_water_2018">
        <w:r>
          <w:t>2018</w:t>
        </w:r>
      </w:hyperlink>
      <w:r>
        <w:t>). Greater stem capacitance (</w:t>
      </w:r>
      <w:r>
        <w:rPr>
          <w:i/>
        </w:rPr>
        <w:t>i.e.</w:t>
      </w:r>
      <w:r>
        <w:t xml:space="preserve">, water storage capacity) of larger trees may also confer resistance to transient droughts (Phillips et al. </w:t>
      </w:r>
      <w:hyperlink w:anchor="ref-phillips_reliance_2003">
        <w:r>
          <w:t>2003</w:t>
        </w:r>
      </w:hyperlink>
      <w:r>
        <w:t xml:space="preserve">; Scholz et al. </w:t>
      </w:r>
      <w:hyperlink w:anchor="ref-scholz_hydraulic_2011">
        <w:r>
          <w:t>2011</w:t>
        </w:r>
      </w:hyperlink>
      <w:r>
        <w:t xml:space="preserve">). Taller trees have wider conduits in the basal portions of taller trees, both within and across species (Olson et al. </w:t>
      </w:r>
      <w:hyperlink w:anchor="ref-olson_plant_2018">
        <w:r>
          <w:t>2018</w:t>
        </w:r>
      </w:hyperlink>
      <w:r>
        <w:t xml:space="preserve">; Liu et al. </w:t>
      </w:r>
      <w:hyperlink w:anchor="ref-liu_hydraulic_2019">
        <w:r>
          <w:t>2019</w:t>
        </w:r>
      </w:hyperlink>
      <w:r>
        <w:t xml:space="preserve">) and throughout the conductive systems of angiosperms (Zach et al. </w:t>
      </w:r>
      <w:hyperlink w:anchor="ref-zach_vessel_2010">
        <w:r>
          <w:t>2010</w:t>
        </w:r>
      </w:hyperlink>
      <w:r>
        <w:t xml:space="preserve">; Olson et al. </w:t>
      </w:r>
      <w:hyperlink w:anchor="ref-olson_universal_2014">
        <w:r>
          <w:t>2014</w:t>
        </w:r>
      </w:hyperlink>
      <w:r>
        <w:t xml:space="preserve">, </w:t>
      </w:r>
      <w:hyperlink w:anchor="ref-olson_plant_2018">
        <w:r>
          <w:t>2018</w:t>
        </w:r>
      </w:hyperlink>
      <w:r>
        <w:t xml:space="preserve">), which help maintain constant the resistance that would otherwise increase as trees grow taller. Wider xylem conduits plausibly make large trees more vulnerable to embolism during drought (Olson et al. </w:t>
      </w:r>
      <w:hyperlink w:anchor="ref-olson_plant_2018">
        <w:r>
          <w:t>2018</w:t>
        </w:r>
      </w:hyperlink>
      <w:r>
        <w:t>), and traits conducive to efficient water transport may also lead to poor ability to recover from or re-route water around embolisms (</w:t>
      </w:r>
      <w:proofErr w:type="spellStart"/>
      <w:r>
        <w:t>Roskilly</w:t>
      </w:r>
      <w:proofErr w:type="spellEnd"/>
      <w:r>
        <w:t xml:space="preserve"> et al. </w:t>
      </w:r>
      <w:hyperlink w:anchor="ref-roskilly_conflicting_2019">
        <w:r>
          <w:t>2019</w:t>
        </w:r>
      </w:hyperlink>
      <w:r>
        <w:t>).</w:t>
      </w:r>
    </w:p>
    <w:p w14:paraId="3E920C71" w14:textId="77777777" w:rsidR="006B51FB" w:rsidRDefault="00D64B2B">
      <w:pPr>
        <w:pStyle w:val="BodyText"/>
      </w:pPr>
      <w:r>
        <w:lastRenderedPageBreak/>
        <w:t>Larger trees may also have lower drought tolerance because of microenvironmental and ecological factors. Their crowns tend to occupy more exposed canopy positions, which are associated with higher evaporative demand (</w:t>
      </w:r>
      <w:proofErr w:type="spellStart"/>
      <w:r>
        <w:t>Kunert</w:t>
      </w:r>
      <w:proofErr w:type="spellEnd"/>
      <w:r>
        <w:t xml:space="preserve"> et al. </w:t>
      </w:r>
      <w:hyperlink w:anchor="ref-kunert_revised_2017">
        <w:r>
          <w:t>2017</w:t>
        </w:r>
      </w:hyperlink>
      <w:r>
        <w:t>). Counteracting the liabilities associated with tall height, large trees tend to have larger root systems (</w:t>
      </w:r>
      <w:proofErr w:type="spellStart"/>
      <w:r>
        <w:t>Enquist</w:t>
      </w:r>
      <w:proofErr w:type="spellEnd"/>
      <w:r>
        <w:t xml:space="preserve"> and </w:t>
      </w:r>
      <w:proofErr w:type="spellStart"/>
      <w:r>
        <w:t>Niklas</w:t>
      </w:r>
      <w:proofErr w:type="spellEnd"/>
      <w:r>
        <w:t xml:space="preserve"> </w:t>
      </w:r>
      <w:hyperlink w:anchor="ref-enquist_global_2002">
        <w:r>
          <w:t>2002</w:t>
        </w:r>
      </w:hyperlink>
      <w:r>
        <w:t xml:space="preserve">; Hui et al. </w:t>
      </w:r>
      <w:hyperlink w:anchor="ref-hui_near_2014">
        <w:r>
          <w:t>2014</w:t>
        </w:r>
      </w:hyperlink>
      <w:r>
        <w:t xml:space="preserve">),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(Meakem et al. </w:t>
      </w:r>
      <w:hyperlink w:anchor="ref-meakem_role_2018">
        <w:r>
          <w:t>2018</w:t>
        </w:r>
      </w:hyperlink>
      <w:r>
        <w:t xml:space="preserve">; Liu et al. </w:t>
      </w:r>
      <w:hyperlink w:anchor="ref-liu_hydraulic_2019">
        <w:r>
          <w:t>2019</w:t>
        </w:r>
      </w:hyperlink>
      <w:r>
        <w:t>). Understanding the mechanisms driving the greater relative growth reductions of larger trees during drought requires disentangling the interactive effects of height and associated exposure, root water access, and species’ traits.</w:t>
      </w:r>
    </w:p>
    <w:p w14:paraId="03F4178E" w14:textId="77777777" w:rsidR="006B51FB" w:rsidRDefault="00D64B2B">
      <w:pPr>
        <w:pStyle w:val="BodyText"/>
      </w:pPr>
      <w:r>
        <w:t xml:space="preserve">Debates have also arisen regarding the traits influencing tree growth responses to drought. Studies within temperate broadleaf forests have observed ring-porous species showing higher drought tolerance than diffuse-porous species (Friedrichs et al. </w:t>
      </w:r>
      <w:hyperlink w:anchor="ref-friedrichs_species-specific_2009">
        <w:r>
          <w:t>2009</w:t>
        </w:r>
      </w:hyperlink>
      <w:r>
        <w:t xml:space="preserve">; Elliott et al. </w:t>
      </w:r>
      <w:hyperlink w:anchor="ref-elliott_forest_2015">
        <w:r>
          <w:t>2015</w:t>
        </w:r>
      </w:hyperlink>
      <w:r>
        <w:t xml:space="preserve">; </w:t>
      </w:r>
      <w:proofErr w:type="spellStart"/>
      <w:r>
        <w:t>Kannenberg</w:t>
      </w:r>
      <w:proofErr w:type="spellEnd"/>
      <w:r>
        <w:t xml:space="preserve"> et al. </w:t>
      </w:r>
      <w:hyperlink w:anchor="ref-kannenberg_linking_2019">
        <w:r>
          <w:t>2019</w:t>
        </w:r>
      </w:hyperlink>
      <w:r>
        <w:t xml:space="preserve">). However, this differentiation is not universal within the biome (Martin-Benito and Pederson </w:t>
      </w:r>
      <w:hyperlink w:anchor="ref-martin-benito_convergence_2015">
        <w:r>
          <w:t>2015</w:t>
        </w:r>
      </w:hyperlink>
      <w:r>
        <w:t xml:space="preserve">), does not hold in the global context (Wheeler, Baas, and Rodgers </w:t>
      </w:r>
      <w:hyperlink w:anchor="ref-wheeler_variations_2007">
        <w:r>
          <w:t>2007</w:t>
        </w:r>
      </w:hyperlink>
      <w:r>
        <w:t xml:space="preserve">; Olson et al. </w:t>
      </w:r>
      <w:hyperlink w:anchor="ref-olson_xylem_2020">
        <w:r>
          <w:t>2020</w:t>
        </w:r>
      </w:hyperlink>
      <w:r>
        <w:t>), and does not resolve differences among the many species within each category.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within some temperate deciduous forests (Abrams </w:t>
      </w:r>
      <w:hyperlink w:anchor="ref-abrams_adaptations_1990">
        <w:r>
          <w:t>1990</w:t>
        </w:r>
      </w:hyperlink>
      <w:r>
        <w:t xml:space="preserve">; </w:t>
      </w:r>
      <w:proofErr w:type="spellStart"/>
      <w:r>
        <w:t>Guerfel</w:t>
      </w:r>
      <w:proofErr w:type="spellEnd"/>
      <w:r>
        <w:t xml:space="preserve"> et al. </w:t>
      </w:r>
      <w:hyperlink w:anchor="ref-guerfel_impacts_2009">
        <w:r>
          <w:t>2009</w:t>
        </w:r>
      </w:hyperlink>
      <w:r>
        <w:t xml:space="preserve">; Hoffmann et al. </w:t>
      </w:r>
      <w:hyperlink w:anchor="ref-hoffmann_hydraulic_2011">
        <w:r>
          <w:t>2011</w:t>
        </w:r>
      </w:hyperlink>
      <w:r>
        <w:t xml:space="preserve">; Martin‐Benito and Pederson </w:t>
      </w:r>
      <w:hyperlink w:anchor="ref-martinbenito_convergence_2015">
        <w:r>
          <w:t>2015</w:t>
        </w:r>
      </w:hyperlink>
      <w:r>
        <w:t xml:space="preserve">) and across forests worldwide (Greenwood et al. </w:t>
      </w:r>
      <w:hyperlink w:anchor="ref-greenwood_tree_2017">
        <w:r>
          <w:t>2017</w:t>
        </w:r>
      </w:hyperlink>
      <w:r>
        <w:t xml:space="preserve">). However, in other cases these traits could not explain drought tolerance (e.g., in a tropical rainforest; </w:t>
      </w:r>
      <w:proofErr w:type="spellStart"/>
      <w:r>
        <w:t>Maréchaux</w:t>
      </w:r>
      <w:proofErr w:type="spellEnd"/>
      <w:r>
        <w:t xml:space="preserve"> et al. </w:t>
      </w:r>
      <w:hyperlink w:anchor="ref-marechaux_leaf_2020">
        <w:r>
          <w:t>2020</w:t>
        </w:r>
      </w:hyperlink>
      <w:r>
        <w:t xml:space="preserve">), or the direction of response was not always consistent. For instance, higher wood density has been associated with greater drought resistance at a global scale (Greenwood et al. </w:t>
      </w:r>
      <w:hyperlink w:anchor="ref-greenwood_tree_2017">
        <w:r>
          <w:t>2017</w:t>
        </w:r>
      </w:hyperlink>
      <w:r>
        <w:t xml:space="preserve">), but correlated negatively with tree performance during drought in a broadleaf deciduous forest in the southeastern United States (Hoffmann et al. </w:t>
      </w:r>
      <w:hyperlink w:anchor="ref-hoffmann_hydraulic_2011">
        <w:r>
          <w:t>2011</w:t>
        </w:r>
      </w:hyperlink>
      <w:r>
        <w:t xml:space="preserve">). Thus, the perceived influence of these traits on drought resistance may actually reflect indirect correlations with other traits that more directly drive drought responses (Hoffmann et al. </w:t>
      </w:r>
      <w:hyperlink w:anchor="ref-hoffmann_hydraulic_2011">
        <w:r>
          <w:t>2011</w:t>
        </w:r>
      </w:hyperlink>
      <w:r>
        <w:t>).</w:t>
      </w:r>
    </w:p>
    <w:p w14:paraId="46386785" w14:textId="77777777" w:rsidR="006B51FB" w:rsidRDefault="00D64B2B">
      <w:pPr>
        <w:pStyle w:val="BodyText"/>
      </w:pPr>
      <w:r>
        <w:t>In contrast, hydraulic traits have direct physiological linkages to tree growth and mortality responses to drought. For instance, water potentials at which the percent loss of conductivity surpasses a certain threshold (e.g., P50 and P88, representing 50 and 88% loss of conductivity, respectively) and hydraulic safety margin (</w:t>
      </w:r>
      <w:r>
        <w:rPr>
          <w:i/>
        </w:rPr>
        <w:t>i.e.</w:t>
      </w:r>
      <w:r>
        <w:t xml:space="preserve">, difference between typical minimum water potentials and P50 or P88) correlate with drought performance across global forests (Anderegg et al. </w:t>
      </w:r>
      <w:hyperlink w:anchor="ref-anderegg_meta-analysis_2016">
        <w:r>
          <w:t>2016</w:t>
        </w:r>
      </w:hyperlink>
      <w:r>
        <w:t>). However, these are time-consuming to measure and therefore often infeasible for predicting or modeling drought responses in highly diverse forests (</w:t>
      </w:r>
      <w:r>
        <w:rPr>
          <w:i/>
        </w:rPr>
        <w:t>e.g.</w:t>
      </w:r>
      <w:r>
        <w:t xml:space="preserve">, in the tropics). More easily-measurable leaf drought tolerance traits that have direct linkage to plant hydraulic function can explain variation in plant distribution and function (Medeiros et al. </w:t>
      </w:r>
      <w:hyperlink w:anchor="ref-medeiros_extensive_2019">
        <w:r>
          <w:t>2019</w:t>
        </w:r>
      </w:hyperlink>
      <w:r>
        <w:t>).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et al. </w:t>
      </w:r>
      <w:hyperlink w:anchor="ref-scoffoni_leaf_2014">
        <w: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 et al. </w:t>
      </w:r>
      <w:hyperlink w:anchor="ref-bartlett_correlations_2016">
        <w:r>
          <w:t>2016</w:t>
        </w:r>
      </w:hyperlink>
      <w:hyperlink w:anchor="ref-bartlett_correlations_2016">
        <w:r>
          <w:t>a</w:t>
        </w:r>
      </w:hyperlink>
      <w:r>
        <w:t xml:space="preserve">; Zhu et al. </w:t>
      </w:r>
      <w:hyperlink w:anchor="ref-zhu_leaf_2018">
        <w:r>
          <w:t>2018</w:t>
        </w:r>
      </w:hyperlink>
      <w:r>
        <w:t>). Both traits correlate with hydraulic vulnerability and drought tolerance as part of unified plant hydraulic systems (</w:t>
      </w:r>
      <w:proofErr w:type="spellStart"/>
      <w:r>
        <w:t>Scoffoni</w:t>
      </w:r>
      <w:proofErr w:type="spellEnd"/>
      <w:r>
        <w:t xml:space="preserve"> et al. </w:t>
      </w:r>
      <w:hyperlink w:anchor="ref-scoffoni_leaf_2014">
        <w:r w:rsidRPr="00D64B2B">
          <w:rPr>
            <w:lang w:val="da-DK"/>
          </w:rPr>
          <w:t>2014</w:t>
        </w:r>
      </w:hyperlink>
      <w:r w:rsidRPr="00D64B2B">
        <w:rPr>
          <w:lang w:val="da-DK"/>
        </w:rPr>
        <w:t xml:space="preserve">; </w:t>
      </w:r>
      <w:proofErr w:type="spellStart"/>
      <w:r w:rsidRPr="00D64B2B">
        <w:rPr>
          <w:lang w:val="da-DK"/>
        </w:rPr>
        <w:t>Bartlett</w:t>
      </w:r>
      <w:proofErr w:type="spellEnd"/>
      <w:r w:rsidRPr="00D64B2B">
        <w:rPr>
          <w:lang w:val="da-DK"/>
        </w:rPr>
        <w:t xml:space="preserve"> et al. </w:t>
      </w:r>
      <w:hyperlink w:anchor="ref-bartlett_correlations_2016">
        <w:r w:rsidRPr="00D64B2B">
          <w:rPr>
            <w:lang w:val="da-DK"/>
          </w:rPr>
          <w:t>2016</w:t>
        </w:r>
      </w:hyperlink>
      <w:hyperlink w:anchor="ref-bartlett_correlations_2016">
        <w:r w:rsidRPr="00D64B2B">
          <w:rPr>
            <w:lang w:val="da-DK"/>
          </w:rPr>
          <w:t>a</w:t>
        </w:r>
      </w:hyperlink>
      <w:r w:rsidRPr="00D64B2B">
        <w:rPr>
          <w:lang w:val="da-DK"/>
        </w:rPr>
        <w:t xml:space="preserve">; Zhu et al. </w:t>
      </w:r>
      <w:hyperlink w:anchor="ref-zhu_leaf_2018">
        <w:r w:rsidRPr="00D64B2B">
          <w:rPr>
            <w:lang w:val="da-DK"/>
          </w:rPr>
          <w:t>2018</w:t>
        </w:r>
      </w:hyperlink>
      <w:r w:rsidRPr="00D64B2B">
        <w:rPr>
          <w:lang w:val="da-DK"/>
        </w:rPr>
        <w:t xml:space="preserve">; Farrell, </w:t>
      </w:r>
      <w:proofErr w:type="spellStart"/>
      <w:r w:rsidRPr="00D64B2B">
        <w:rPr>
          <w:lang w:val="da-DK"/>
        </w:rPr>
        <w:t>Szota</w:t>
      </w:r>
      <w:proofErr w:type="spellEnd"/>
      <w:r w:rsidRPr="00D64B2B">
        <w:rPr>
          <w:lang w:val="da-DK"/>
        </w:rPr>
        <w:t xml:space="preserve">, and Arndt </w:t>
      </w:r>
      <w:hyperlink w:anchor="ref-farrell_does_2017">
        <w:r w:rsidRPr="00D64B2B">
          <w:rPr>
            <w:lang w:val="da-DK"/>
          </w:rPr>
          <w:t>2017</w:t>
        </w:r>
      </w:hyperlink>
      <w:r w:rsidRPr="00D64B2B">
        <w:rPr>
          <w:lang w:val="da-DK"/>
        </w:rPr>
        <w:t xml:space="preserve">). </w:t>
      </w:r>
      <w:r>
        <w:t xml:space="preserve">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 et al. </w:t>
      </w:r>
      <w:hyperlink w:anchor="ref-powers_catastrophic_2020">
        <w: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14:paraId="7CE83759" w14:textId="77777777" w:rsidR="006B51FB" w:rsidRDefault="00D64B2B">
      <w:pPr>
        <w:pStyle w:val="BodyText"/>
      </w:pPr>
      <w:r>
        <w:t xml:space="preserve">Here, we examine how tree height, microenvironment characteristics, and species’ traits collectively shape three metrics of drought tolerance: (1) resistance, defined as the ratio of annual stem growth in a drought year to that which would be expected in the absence of drought from previous growth; (2) recovery, defined as the ratio of post-drought growth to growth during the drought year; and (3) </w:t>
      </w:r>
      <w:r>
        <w:lastRenderedPageBreak/>
        <w:t>resilience, defined as the ratio of post-drought to pre-drought growth (</w:t>
      </w:r>
      <w:proofErr w:type="spellStart"/>
      <w:r>
        <w:t>Lloret</w:t>
      </w:r>
      <w:proofErr w:type="spellEnd"/>
      <w:r>
        <w:t xml:space="preserve">, Keeling, and Sala </w:t>
      </w:r>
      <w:hyperlink w:anchor="ref-lloret_components_2011">
        <w:r>
          <w:t>2011</w:t>
        </w:r>
      </w:hyperlink>
      <w:r>
        <w:t xml:space="preserve">). We test a series of hypotheses and associated specific predictions (Table 1) based on the combination of tree-ring records from the three strongest droughts over a 60-year period (1950 - 2009), species trait measurements, and census and microenvironmental data from a </w:t>
      </w:r>
      <w:proofErr w:type="gramStart"/>
      <w:r>
        <w:t>large forest dynamics</w:t>
      </w:r>
      <w:proofErr w:type="gramEnd"/>
      <w:r>
        <w:t xml:space="preserve">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 et al. </w:t>
      </w:r>
      <w:hyperlink w:anchor="ref-bennett_larger_2015">
        <w:r>
          <w:t>2015</w:t>
        </w:r>
      </w:hyperlink>
      <w:r>
        <w:t xml:space="preserve">). We also test for an influence of potential access to available soil water, which should be greater for larger trees in dry but not in consistently wet microsites. Finally, we focus on the role of species’ traits, testing the hypothesis that species’ traits-–particularly leaf drought tolerance traits-–predict drought tolerance. We test predictions that drought tolerance is higher in ring-porous than semi-ring and diffuse-porous species and that it is correlated with wood density–either positively (Greenwood et al. </w:t>
      </w:r>
      <w:hyperlink w:anchor="ref-greenwood_tree_2017">
        <w:r>
          <w:t>2017</w:t>
        </w:r>
      </w:hyperlink>
      <w:r>
        <w:t xml:space="preserve">) or negatively (Hoffmann et al. </w:t>
      </w:r>
      <w:hyperlink w:anchor="ref-hoffmann_hydraulic_2011">
        <w:r>
          <w:t>2011</w:t>
        </w:r>
      </w:hyperlink>
      <w:r>
        <w:t xml:space="preserve">)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73A04FF5" w14:textId="77777777" w:rsidR="006B51FB" w:rsidRDefault="00D64B2B">
      <w:pPr>
        <w:pStyle w:val="Heading3"/>
      </w:pPr>
      <w:bookmarkStart w:id="2" w:name="materials-and-methods"/>
      <w:r>
        <w:t>Materials and Methods</w:t>
      </w:r>
      <w:bookmarkEnd w:id="2"/>
    </w:p>
    <w:p w14:paraId="6828694E" w14:textId="77777777" w:rsidR="006B51FB" w:rsidRDefault="00D64B2B">
      <w:pPr>
        <w:pStyle w:val="FirstParagraph"/>
      </w:pPr>
      <w:r>
        <w:rPr>
          <w:i/>
        </w:rPr>
        <w:t>Study site and microclimate</w:t>
      </w:r>
    </w:p>
    <w:p w14:paraId="715CC68D" w14:textId="77777777" w:rsidR="006B51FB" w:rsidRDefault="00D64B2B">
      <w:pPr>
        <w:pStyle w:val="BodyText"/>
      </w:pPr>
      <w:r>
        <w:t xml:space="preserve">Research was conducted at the 25.6-ha ForestGEO (Forest Global Earth Observatory) study plot at the Smithsonian Conservation Biology Institute (SCBI) in Virginia, USA (38°53’36.6“N, 78°08’43.4”W, elevation 273-338 </w:t>
      </w:r>
      <w:proofErr w:type="spellStart"/>
      <w:r>
        <w:t>m.a.s.l</w:t>
      </w:r>
      <w:proofErr w:type="spellEnd"/>
      <w:r>
        <w:t xml:space="preserve">.; Fig. </w:t>
      </w:r>
      <w:r>
        <w:rPr>
          <w:b/>
        </w:rPr>
        <w:t>S1</w:t>
      </w:r>
      <w:r>
        <w:t xml:space="preserve">) (Bourg et al. </w:t>
      </w:r>
      <w:hyperlink w:anchor="ref-bourg_initial_2013">
        <w:r>
          <w:t>2013</w:t>
        </w:r>
      </w:hyperlink>
      <w:r>
        <w:t xml:space="preserve">; Anderson‐Teixeira, Davies, et al. </w:t>
      </w:r>
      <w:hyperlink w:anchor="ref-andersonteixeira_ctfs-forestgeo_2015">
        <w:r>
          <w:t>2015</w:t>
        </w:r>
      </w:hyperlink>
      <w:r>
        <w:t>). Climate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et al. </w:t>
      </w:r>
      <w:hyperlink w:anchor="ref-harris_updated_2014">
        <w:r>
          <w:t>2014</w:t>
        </w:r>
      </w:hyperlink>
      <w:r>
        <w:t xml:space="preserve">). Dominant tree taxa within this secondary forest include </w:t>
      </w:r>
      <w:r>
        <w:rPr>
          <w:i/>
        </w:rPr>
        <w:t>Liriodendron tulipifera</w:t>
      </w:r>
      <w:r>
        <w:t>, oaks (</w:t>
      </w:r>
      <w:r>
        <w:rPr>
          <w:i/>
        </w:rPr>
        <w:t>Quercus</w:t>
      </w:r>
      <w:r>
        <w:t xml:space="preserve"> spp.), and hickories (</w:t>
      </w:r>
      <w:r>
        <w:rPr>
          <w:i/>
        </w:rPr>
        <w:t>Carya</w:t>
      </w:r>
      <w:r>
        <w:t xml:space="preserve"> spp.; Table 2).</w:t>
      </w:r>
    </w:p>
    <w:p w14:paraId="0F39FAAC" w14:textId="77777777" w:rsidR="006B51FB" w:rsidRDefault="00D64B2B">
      <w:pPr>
        <w:pStyle w:val="BodyText"/>
      </w:pPr>
      <w:r>
        <w:rPr>
          <w:i/>
        </w:rPr>
        <w:t>Identifying drought years</w:t>
      </w:r>
    </w:p>
    <w:p w14:paraId="3E525E3E" w14:textId="77777777" w:rsidR="006B51FB" w:rsidRDefault="00D64B2B">
      <w:pPr>
        <w:pStyle w:val="BodyText"/>
      </w:pPr>
      <w:r>
        <w:t>We identified the three largest droughts within the time period 1960-2009, defining drought (</w:t>
      </w:r>
      <w:proofErr w:type="spellStart"/>
      <w:r>
        <w:t>Slette</w:t>
      </w:r>
      <w:proofErr w:type="spellEnd"/>
      <w:r>
        <w:t xml:space="preserve"> et al. </w:t>
      </w:r>
      <w:hyperlink w:anchor="ref-slette_how_2019">
        <w:r>
          <w:t>2019</w:t>
        </w:r>
      </w:hyperlink>
      <w:r>
        <w:t>) based on Palmer Drought Severity Index (PDSI) during May-August (MJJA; Table S1), which were identified by Helcoski et al. (</w:t>
      </w:r>
      <w:hyperlink w:anchor="ref-helcoski_growing_2019">
        <w:r>
          <w:t>2019</w:t>
        </w:r>
      </w:hyperlink>
      <w:r>
        <w:t>) as the months to which annual tree growth was most sensitive at this site. PDSI divisional data for Northern Virginia were obtained in December 2017 from NOAA (</w:t>
      </w:r>
      <w:hyperlink r:id="rId16">
        <w:r>
          <w:t>https://www7.ncdc.noaa.gov/CDO/CDODivisionalSelect.jsp</w:t>
        </w:r>
      </w:hyperlink>
      <w:r>
        <w:t xml:space="preserve">), from which we determined the three strongest droughts during the study period occurred in 1966, 1977, and 1999 (Figs. </w:t>
      </w:r>
      <w:r>
        <w:rPr>
          <w:b/>
        </w:rPr>
        <w:t>1, S1</w:t>
      </w:r>
      <w:r>
        <w:t>; Table S1).</w:t>
      </w:r>
    </w:p>
    <w:p w14:paraId="78F64E7B" w14:textId="77777777" w:rsidR="006B51FB" w:rsidRDefault="00D64B2B">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1C2DBC59" w14:textId="77777777" w:rsidR="006B51FB" w:rsidRDefault="00D64B2B">
      <w:pPr>
        <w:pStyle w:val="BodyText"/>
      </w:pPr>
      <w:r>
        <w:rPr>
          <w:i/>
        </w:rPr>
        <w:t>Data collection and preparation</w:t>
      </w:r>
    </w:p>
    <w:p w14:paraId="219F58F5" w14:textId="77777777" w:rsidR="006B51FB" w:rsidRDefault="00D64B2B">
      <w:pPr>
        <w:pStyle w:val="BodyText"/>
      </w:pPr>
      <w:r>
        <w:lastRenderedPageBreak/>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 </w:t>
      </w:r>
      <w:hyperlink w:anchor="ref-condit_tropical_1998">
        <w:r>
          <w:t>1998</w:t>
        </w:r>
      </w:hyperlink>
      <w:r>
        <w:t xml:space="preserve">).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79247270" w14:textId="77777777" w:rsidR="006B51FB" w:rsidRDefault="00D64B2B">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et al. </w:t>
      </w:r>
      <w:hyperlink w:anchor="ref-helcoski_growing_2019">
        <w:r>
          <w:t>2019</w:t>
        </w:r>
      </w:hyperlink>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 et al. </w:t>
      </w:r>
      <w:hyperlink w:anchor="ref-bourg_initial_2013">
        <w:r>
          <w:t>2013</w:t>
        </w:r>
      </w:hyperlink>
      <w:r>
        <w:t xml:space="preserve">). In summers of 2016 and 2017, cores were collected from all trees found to have died within the preceding year based on annual tree mortality censuses (Gonzalez‐Akre et al. </w:t>
      </w:r>
      <w:hyperlink w:anchor="ref-gonzalezakre_patterns_2016">
        <w:r>
          <w:t>2016</w:t>
        </w:r>
      </w:hyperlink>
      <w:r>
        <w:t xml:space="preserve">).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recent major drought (1999), whereas the meta-analysis of </w:t>
      </w:r>
      <w:proofErr w:type="spellStart"/>
      <w:r>
        <w:t>Trugman</w:t>
      </w:r>
      <w:proofErr w:type="spellEnd"/>
      <w:r>
        <w:t xml:space="preserve"> et al. (</w:t>
      </w:r>
      <w:hyperlink w:anchor="ref-trugman_tree_2018">
        <w:r>
          <w:t>2018</w:t>
        </w:r>
      </w:hyperlink>
      <w:r>
        <w:t xml:space="preserve">) indicates that &gt;10-year lags in drought-attributed mortality are rare. Having found that trees cored dead displayed similar climate sensitivity to trees cored live (Helcoski et al. </w:t>
      </w:r>
      <w:hyperlink w:anchor="ref-helcoski_growing_2019">
        <w:r>
          <w:t>2019</w:t>
        </w:r>
      </w:hyperlink>
      <w:r>
        <w:t xml:space="preserve">), we pooled the samples for this analysis. Cores were sanded, measured, and </w:t>
      </w:r>
      <w:proofErr w:type="spellStart"/>
      <w:r>
        <w:t>crossdated</w:t>
      </w:r>
      <w:proofErr w:type="spellEnd"/>
      <w:r>
        <w:t xml:space="preserve"> using standard procedures, as detailed in (Helcoski et al. </w:t>
      </w:r>
      <w:hyperlink w:anchor="ref-helcoski_growing_2019">
        <w:r>
          <w:t>2019</w:t>
        </w:r>
      </w:hyperlink>
      <w:r>
        <w:t xml:space="preserve">). The resulting chronologies (Fig. </w:t>
      </w:r>
      <w:r>
        <w:rPr>
          <w:b/>
        </w:rPr>
        <w:t>1a</w:t>
      </w:r>
      <w:r>
        <w:t xml:space="preserve">) were published in </w:t>
      </w:r>
      <w:proofErr w:type="spellStart"/>
      <w:r>
        <w:t>Zenodo</w:t>
      </w:r>
      <w:proofErr w:type="spellEnd"/>
      <w:r>
        <w:t xml:space="preserve"> (Gonzalez-Akre et al. </w:t>
      </w:r>
      <w:hyperlink w:anchor="X8f6fa8bad1d382086fb2e32eaf2ec910f35620a">
        <w:r>
          <w:t>2019</w:t>
        </w:r>
      </w:hyperlink>
      <w:r>
        <w:t>).</w:t>
      </w:r>
    </w:p>
    <w:p w14:paraId="06471ED0" w14:textId="77777777" w:rsidR="006B51FB" w:rsidRDefault="00D64B2B">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7175C93B" w14:textId="77777777" w:rsidR="006B51FB" w:rsidRDefault="00D64B2B">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14:paraId="4EB5DB10" w14:textId="77777777" w:rsidR="006B51FB" w:rsidRDefault="00D64B2B">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Anderson‐Teixeira, McGarvey, et al. </w:t>
      </w:r>
      <w:hyperlink w:anchor="ref-andersonteixeira_size-related_2015">
        <w:r>
          <w:t>2015</w:t>
        </w:r>
      </w:hyperlink>
      <w:r>
        <w:t>).</w:t>
      </w:r>
    </w:p>
    <w:p w14:paraId="31A1CDC1" w14:textId="77777777" w:rsidR="006B51FB" w:rsidRDefault="00D64B2B">
      <w:pPr>
        <w:pStyle w:val="BodyText"/>
      </w:pPr>
      <w:r>
        <w:t>Tree heights (</w:t>
      </w:r>
      <m:oMath>
        <m:r>
          <w:rPr>
            <w:rFonts w:ascii="Cambria Math" w:hAnsi="Cambria Math"/>
          </w:rPr>
          <m:t>H</m:t>
        </m:r>
      </m:oMath>
      <w:r>
        <w:t xml:space="preserve">) were measured by several researchers for a variety of purposes between 2012 and 2019 (n=1,518 trees). Methods included direct measurements using a collapsible measurement rod on small trees (NEON </w:t>
      </w:r>
      <w:hyperlink w:anchor="ref-neon_national_2018">
        <w:r>
          <w:t>2018</w:t>
        </w:r>
      </w:hyperlink>
      <w:r>
        <w:t xml:space="preserve">) or a tape measure on recently fallen trees (this study); geometric calculations using clinometer and tape measure (Stovall, Anderson-Teixeira, and Shugart </w:t>
      </w:r>
      <w:hyperlink w:anchor="ref-stovall_assessing_2018">
        <w:r>
          <w:t>2018</w:t>
        </w:r>
      </w:hyperlink>
      <w:hyperlink w:anchor="ref-stovall_assessing_2018">
        <w:r>
          <w:t>b</w:t>
        </w:r>
      </w:hyperlink>
      <w:r>
        <w:t xml:space="preserve">) or digital rangefinders (Anderson‐Teixeira, McGarvey, et al. </w:t>
      </w:r>
      <w:hyperlink w:anchor="ref-andersonteixeira_size-related_2015">
        <w:r>
          <w:t>2015</w:t>
        </w:r>
      </w:hyperlink>
      <w:r>
        <w:t xml:space="preserve">; NEON </w:t>
      </w:r>
      <w:hyperlink w:anchor="ref-neon_national_2018">
        <w:r>
          <w:t>2018</w:t>
        </w:r>
      </w:hyperlink>
      <w:r>
        <w:t xml:space="preserve">); and ground-based LiDAR (Stovall, Anderson-Teixeira, and Shugart </w:t>
      </w:r>
      <w:hyperlink w:anchor="ref-stovall_terrestrial_2018">
        <w:r>
          <w:t>2018</w:t>
        </w:r>
      </w:hyperlink>
      <w:hyperlink w:anchor="ref-stovall_terrestrial_2018">
        <w:r>
          <w:t>a</w:t>
        </w:r>
      </w:hyperlink>
      <w:r>
        <w:t xml:space="preserve">).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w:t>
      </w:r>
      <w:proofErr w:type="spellStart"/>
      <w:r>
        <w:t>Larjavaara</w:t>
      </w:r>
      <w:proofErr w:type="spellEnd"/>
      <w:r>
        <w:t xml:space="preserve"> and Muller‐Landau </w:t>
      </w:r>
      <w:hyperlink w:anchor="ref-larjavaara_measuring_2013">
        <w:r>
          <w:t>2013</w:t>
        </w:r>
      </w:hyperlink>
      <w:r>
        <w:t>),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w:t>
      </w:r>
      <w:r>
        <w:rPr>
          <w:i/>
        </w:rPr>
        <w:t>Juglans nigra</w:t>
      </w:r>
      <w:r>
        <w:t xml:space="preserve"> (JUNI) and </w:t>
      </w:r>
      <w:r>
        <w:rPr>
          <w:i/>
        </w:rPr>
        <w:t>Fraxinus americana</w:t>
      </w:r>
      <w:r>
        <w:t xml:space="preserve"> (FRAM)), heights were calculated from an equation </w:t>
      </w:r>
      <w:r>
        <w:lastRenderedPageBreak/>
        <w:t xml:space="preserve">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275F2FE5" w14:textId="77777777" w:rsidR="006B51FB" w:rsidRDefault="00D64B2B">
      <w:pPr>
        <w:pStyle w:val="BodyText"/>
      </w:pPr>
      <w:r>
        <w:t xml:space="preserve">To characterize how environmental conditions vary with height, data were obtained from the NEON tower located &lt;1km from the study area via the </w:t>
      </w:r>
      <w:proofErr w:type="spellStart"/>
      <w:r>
        <w:t>neonUtilities</w:t>
      </w:r>
      <w:proofErr w:type="spellEnd"/>
      <w:r>
        <w:t xml:space="preserve"> package (Lunch et al. </w:t>
      </w:r>
      <w:hyperlink w:anchor="ref-R-neonUtilities">
        <w:r>
          <w:t>2020</w:t>
        </w:r>
      </w:hyperlink>
      <w:r>
        <w:t xml:space="preserve">). We used wind speed, relative humidity, and air temperature data, all measured over a vertical profile spanning heights from 7.2 m to above the top of the tree canopy (31.0 or 51.8m, depending on censor), for the years 2016-2018 (NEON </w:t>
      </w:r>
      <w:hyperlink w:anchor="ref-neon_national_2018">
        <w:r>
          <w:t>2018</w:t>
        </w:r>
      </w:hyperlink>
      <w:r>
        <w:t>). After filtering for missing and outlier values, we determined the daily minima and maxima, which we then aggregated at the monthly scale.</w:t>
      </w:r>
    </w:p>
    <w:p w14:paraId="09BD2250" w14:textId="77777777" w:rsidR="006B51FB" w:rsidRDefault="00D64B2B">
      <w:pPr>
        <w:pStyle w:val="BodyText"/>
      </w:pPr>
      <w:r>
        <w:t xml:space="preserve">Crown position–a categorical variable classifying trees based on exposure to sunlight–was recorded for all cored trees that remained standing during the growing season of 2018 following the protocol of Jennings, Brown, and </w:t>
      </w:r>
      <w:proofErr w:type="spellStart"/>
      <w:r>
        <w:t>Sheil</w:t>
      </w:r>
      <w:proofErr w:type="spellEnd"/>
      <w:r>
        <w:t xml:space="preserve"> (</w:t>
      </w:r>
      <w:hyperlink w:anchor="ref-jennings_assessing_1999">
        <w: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trees as those with crowns within the </w:t>
      </w:r>
      <w:proofErr w:type="spellStart"/>
      <w:r>
        <w:t>the</w:t>
      </w:r>
      <w:proofErr w:type="spellEnd"/>
      <w:r>
        <w:t xml:space="preserve"> canopy; </w:t>
      </w:r>
      <w:r>
        <w:rPr>
          <w:i/>
        </w:rPr>
        <w:t>intermediate</w:t>
      </w:r>
      <w:r>
        <w:t xml:space="preserve"> trees as those with crowns below the canopy level, but illuminated from above; and </w:t>
      </w:r>
      <w:r>
        <w:rPr>
          <w:i/>
        </w:rPr>
        <w:t>suppressed</w:t>
      </w:r>
      <w:r>
        <w:t xml:space="preserve"> as those below the canopy and receiving minimal direct illumination from above.</w:t>
      </w:r>
    </w:p>
    <w:p w14:paraId="37D9FA6E" w14:textId="77777777" w:rsidR="006B51FB" w:rsidRDefault="00D64B2B">
      <w:pPr>
        <w:pStyle w:val="BodyText"/>
      </w:pPr>
      <w:r>
        <w:t xml:space="preserve">Topographic wetness index (TWI), used here as a metric of long-term mean moisture availability, was calculated using the </w:t>
      </w:r>
      <w:proofErr w:type="spellStart"/>
      <w:r>
        <w:t>dynatopmodel</w:t>
      </w:r>
      <w:proofErr w:type="spellEnd"/>
      <w:r>
        <w:t xml:space="preserve"> package in R (Fig. </w:t>
      </w:r>
      <w:r>
        <w:rPr>
          <w:b/>
        </w:rPr>
        <w:t>S2</w:t>
      </w:r>
      <w:r>
        <w:t xml:space="preserve">) (Metcalfe, </w:t>
      </w:r>
      <w:proofErr w:type="spellStart"/>
      <w:r>
        <w:t>Beven</w:t>
      </w:r>
      <w:proofErr w:type="spellEnd"/>
      <w:r>
        <w:t xml:space="preserve">, and Freer </w:t>
      </w:r>
      <w:hyperlink w:anchor="ref-R-dynatopmodel">
        <w:r>
          <w:t>2018</w:t>
        </w:r>
      </w:hyperlink>
      <w:r>
        <w:t xml:space="preserve">). Originally developed by </w:t>
      </w:r>
      <w:proofErr w:type="spellStart"/>
      <w:r>
        <w:t>Beven</w:t>
      </w:r>
      <w:proofErr w:type="spellEnd"/>
      <w:r>
        <w:t xml:space="preserve"> and </w:t>
      </w:r>
      <w:proofErr w:type="spellStart"/>
      <w:r>
        <w:t>Kirkby</w:t>
      </w:r>
      <w:proofErr w:type="spellEnd"/>
      <w:r>
        <w:t xml:space="preserve"> (</w:t>
      </w:r>
      <w:hyperlink w:anchor="ref-beven_physically_1979">
        <w:r>
          <w:t>1979</w:t>
        </w:r>
      </w:hyperlink>
      <w:r>
        <w:t>), TWI was part of a hydrological run-off model and has since been used for a number of purposes in hydrology and ecology (</w:t>
      </w:r>
      <w:proofErr w:type="spellStart"/>
      <w:r>
        <w:t>Sørensen</w:t>
      </w:r>
      <w:proofErr w:type="spellEnd"/>
      <w:r>
        <w:t xml:space="preserve">, </w:t>
      </w:r>
      <w:proofErr w:type="spellStart"/>
      <w:r>
        <w:t>Zinko</w:t>
      </w:r>
      <w:proofErr w:type="spellEnd"/>
      <w:r>
        <w:t xml:space="preserve">, and Seibert </w:t>
      </w:r>
      <w:hyperlink w:anchor="ref-sorensen_calculation_2006">
        <w:r>
          <w:t>2006</w:t>
        </w:r>
      </w:hyperlink>
      <w:r>
        <w:t xml:space="preserve">). TWI calculation depends on an input of a digital elevation model [DEM; ~3.7 m resolution from the </w:t>
      </w:r>
      <w:proofErr w:type="spellStart"/>
      <w:r>
        <w:t>elevatr</w:t>
      </w:r>
      <w:proofErr w:type="spellEnd"/>
      <w:r>
        <w:t xml:space="preserve"> package (Hollister </w:t>
      </w:r>
      <w:hyperlink w:anchor="ref-R-elevatr">
        <w:r>
          <w:t>2018</w:t>
        </w:r>
      </w:hyperlink>
      <w:r>
        <w:t>), and from this yields a quantitative assessment defined by how “wet” an area is, based on areas where run-off is more likely. From our observations in the plot, TWI performed better at categorizing wet areas than the Euclidean distance from the stream.</w:t>
      </w:r>
    </w:p>
    <w:p w14:paraId="40691D9C" w14:textId="77777777" w:rsidR="006B51FB" w:rsidRDefault="00D64B2B">
      <w:pPr>
        <w:pStyle w:val="BodyText"/>
      </w:pPr>
      <w:r>
        <w:t xml:space="preserve">Species’ trait data were collected in August 2018 (Tables 2-3; Fig. </w:t>
      </w:r>
      <w:r>
        <w:rPr>
          <w:b/>
        </w:rPr>
        <w:t>S4</w:t>
      </w:r>
      <w:r>
        <w:t>).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(Katabuchi </w:t>
      </w:r>
      <w:hyperlink w:anchor="ref-R-LeafArea">
        <w: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fresh volume, which was estimated using Archimedes’ displacement. We used the rapid determination method of Bartlett et al. (</w:t>
      </w:r>
      <w:hyperlink w:anchor="ref-bartlett_rapid_2012">
        <w:r>
          <w:t>2012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 mm diameter leaf discs were cut from each leaf, tightly wrapped in foil, submerged in liquid nitrogen, perforated 10-15 times with a dissection needle, and then measured using a vapor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 et al. </w:t>
      </w:r>
      <w:hyperlink w:anchor="ref-bartlett_rapid_2012">
        <w:r>
          <w:t>2012</w:t>
        </w:r>
      </w:hyperlink>
      <w:r>
        <w:t>).</w:t>
      </w:r>
    </w:p>
    <w:p w14:paraId="1BA1C6BC" w14:textId="77777777" w:rsidR="006B51FB" w:rsidRDefault="00D64B2B">
      <w:pPr>
        <w:pStyle w:val="BodyText"/>
      </w:pPr>
      <w:r>
        <w:rPr>
          <w:i/>
        </w:rPr>
        <w:t>Statistical Analysis</w:t>
      </w:r>
    </w:p>
    <w:p w14:paraId="2851E4B4" w14:textId="77777777" w:rsidR="006B51FB" w:rsidRDefault="00D64B2B">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following Lloret, Keeling, and Sala (</w:t>
      </w:r>
      <w:hyperlink w:anchor="ref-lloret_components_2011">
        <w:r>
          <w:t>2011</w:t>
        </w:r>
      </w:hyperlink>
      <w:r>
        <w:t>). These metrics compare ratios of basal area increment (</w:t>
      </w:r>
      <m:oMath>
        <m:r>
          <w:rPr>
            <w:rFonts w:ascii="Cambria Math" w:hAnsi="Cambria Math"/>
          </w:rPr>
          <m:t>BAI</m:t>
        </m:r>
      </m:oMath>
      <w:r>
        <w:t xml:space="preserve">; </w:t>
      </w:r>
      <w:r>
        <w:rPr>
          <w:i/>
        </w:rPr>
        <w:t>i.e.</w:t>
      </w:r>
      <w:r>
        <w:t xml:space="preserve">, change in cross-sectional area) before, during, and after the drought year, as specified in Table </w:t>
      </w:r>
      <w:r>
        <w:lastRenderedPageBreak/>
        <w:t>3.</w:t>
      </w:r>
      <w:r>
        <w:br/>
        <w:t>For all metrics, values &lt;1 and &gt;1 indicate growth reductions and increases, respectively.</w:t>
      </w:r>
    </w:p>
    <w:p w14:paraId="68BF8F07" w14:textId="77777777" w:rsidR="006B51FB" w:rsidRDefault="00D64B2B">
      <w:pPr>
        <w:pStyle w:val="BodyText"/>
      </w:pPr>
      <w:r>
        <w:t xml:space="preserve">Because these metrics could potentially be biased by directional pre-drought growth trends, we also tried an intervention time series analysis (ARIMA, Hyndman et al. </w:t>
      </w:r>
      <w:hyperlink w:anchor="ref-R-forecast">
        <w:r>
          <w:t>2020</w:t>
        </w:r>
      </w:hyperlink>
      <w:r>
        <w:t>) 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xml:space="preserve">), and showed similar responses to the independent variables of interest (cf. Tables S4-55, S8-S9). Visual review of the individual tree-ring sequences with the largest discrepancies between 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17DEDDE1" w14:textId="77777777" w:rsidR="006B51FB" w:rsidRDefault="00D64B2B">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(Bates et al. </w:t>
      </w:r>
      <w:hyperlink w:anchor="ref-R-lme4">
        <w:r>
          <w:t>2019</w:t>
        </w:r>
      </w:hyperlink>
      <w:r>
        <w:t>).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w:t>
      </w:r>
      <w:proofErr w:type="spellStart"/>
      <w:r>
        <w:t>AICc</w:t>
      </w:r>
      <w:proofErr w:type="spellEnd"/>
      <w:r>
        <w:t xml:space="preserve">; see Brewer, Butler, and </w:t>
      </w:r>
      <w:proofErr w:type="spellStart"/>
      <w:r>
        <w:t>Cooksley</w:t>
      </w:r>
      <w:proofErr w:type="spellEnd"/>
      <w:r>
        <w:t xml:space="preserve"> </w:t>
      </w:r>
      <w:hyperlink w:anchor="ref-brewer_relative_2016">
        <w:r>
          <w:t>2016</w:t>
        </w:r>
      </w:hyperlink>
      <w:r>
        <w:t xml:space="preserve">) to assess model selection, and conditional/marginal R-squared to assess model fit as implemented in the </w:t>
      </w:r>
      <w:proofErr w:type="spellStart"/>
      <w:r>
        <w:t>AICcmodavg</w:t>
      </w:r>
      <w:proofErr w:type="spellEnd"/>
      <w:r>
        <w:t xml:space="preserve"> package in R (Mazerolle and Dan Linden. </w:t>
      </w:r>
      <w:hyperlink w:anchor="ref-R-AICcmodavg">
        <w:r>
          <w:t>2019</w:t>
        </w:r>
      </w:hyperlink>
      <w:r>
        <w:t xml:space="preserve">).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14:paraId="5BF2CE83" w14:textId="77777777" w:rsidR="006B51FB" w:rsidRDefault="00D64B2B">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 These tests followed the model structure specified above, with </w:t>
      </w:r>
      <m:oMath>
        <m:r>
          <w:rPr>
            <w:rFonts w:ascii="Cambria Math" w:hAnsi="Cambria Math"/>
          </w:rPr>
          <m:t>ln[H]</m:t>
        </m:r>
      </m:oMath>
      <w:r>
        <w:t xml:space="preserve"> and </w:t>
      </w:r>
      <m:oMath>
        <m:r>
          <w:rPr>
            <w:rFonts w:ascii="Cambria Math" w:hAnsi="Cambria Math"/>
          </w:rPr>
          <m:t>ln[TWI]</m:t>
        </m:r>
      </m:oMath>
      <w:r>
        <w:t xml:space="preserve"> added to create a base 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Tables S</w:t>
      </w:r>
      <w:proofErr w:type="gramStart"/>
      <w:r>
        <w:t>4,S</w:t>
      </w:r>
      <w:proofErr w:type="gramEnd"/>
      <w:r>
        <w:t>6-S7). 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14:paraId="0CE96643" w14:textId="77777777" w:rsidR="006B51FB" w:rsidRDefault="00D64B2B">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and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14:paraId="7104D6AD" w14:textId="77777777" w:rsidR="006B51FB" w:rsidRDefault="00D64B2B">
      <w:pPr>
        <w:pStyle w:val="BodyText"/>
      </w:pPr>
      <w:r>
        <w:lastRenderedPageBreak/>
        <w:t xml:space="preserve">All analysis beyond basic data collection was performed using R version 3.6.2 (R Core Team </w:t>
      </w:r>
      <w:hyperlink w:anchor="ref-R-base">
        <w:r>
          <w:t>2019</w:t>
        </w:r>
      </w:hyperlink>
      <w:r>
        <w:t>). Other R-packages used in analyses are listed in the Supplementary Information (Methods S1).</w:t>
      </w:r>
    </w:p>
    <w:p w14:paraId="61ACAFD8" w14:textId="77777777" w:rsidR="006B51FB" w:rsidRDefault="00D64B2B">
      <w:pPr>
        <w:pStyle w:val="Heading3"/>
      </w:pPr>
      <w:bookmarkStart w:id="3" w:name="results"/>
      <w:r>
        <w:t>Results</w:t>
      </w:r>
      <w:bookmarkEnd w:id="3"/>
    </w:p>
    <w:p w14:paraId="38E2DB31" w14:textId="77777777" w:rsidR="006B51FB" w:rsidRDefault="00D64B2B">
      <w:pPr>
        <w:pStyle w:val="FirstParagraph"/>
      </w:pPr>
      <w:r>
        <w:rPr>
          <w:i/>
        </w:rPr>
        <w:t>Tree height and microenvironment</w:t>
      </w:r>
    </w:p>
    <w:p w14:paraId="71FFCBF4" w14:textId="77777777" w:rsidR="006B51FB" w:rsidRDefault="00D64B2B">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7D4031B8" w14:textId="77777777" w:rsidR="006B51FB" w:rsidRDefault="00D64B2B">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from the most recent ForestGEO census (2018) revealed a correlation of 0.73.</w:t>
      </w:r>
    </w:p>
    <w:p w14:paraId="22C05735" w14:textId="77777777" w:rsidR="006B51FB" w:rsidRDefault="00D64B2B">
      <w:pPr>
        <w:pStyle w:val="BodyText"/>
      </w:pPr>
      <w:r>
        <w:rPr>
          <w:i/>
        </w:rPr>
        <w:t>Community-level drought responses</w:t>
      </w:r>
    </w:p>
    <w:p w14:paraId="47DE4D5E" w14:textId="77777777" w:rsidR="006B51FB" w:rsidRDefault="00D64B2B">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xml:space="preserve">: 26% of trees in 1966, 22% in 1977, and 26% in 1999. Recovery was generally strong and complete within five years following each of the drought years,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364AE312" w14:textId="77777777" w:rsidR="006B51FB" w:rsidRDefault="00D64B2B">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14:paraId="71F5EDCC" w14:textId="77777777" w:rsidR="006B51FB" w:rsidRDefault="00D64B2B">
      <w:pPr>
        <w:pStyle w:val="BodyText"/>
      </w:pPr>
      <w:r>
        <w:rPr>
          <w:i/>
        </w:rPr>
        <w:t>Tree height, microenvironment, and drought tolerance</w:t>
      </w:r>
    </w:p>
    <w:p w14:paraId="02B09729" w14:textId="77777777" w:rsidR="006B51FB" w:rsidRDefault="00D64B2B">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3</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ln[H]*ln[TWI]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14:paraId="4BA3B0AC" w14:textId="77777777" w:rsidR="006B51FB" w:rsidRDefault="00D64B2B">
      <w:pPr>
        <w:pStyle w:val="BodyText"/>
      </w:pPr>
      <w:r>
        <w:lastRenderedPageBreak/>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3</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drought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w:t>
      </w:r>
      <w:r>
        <w:rPr>
          <w:b/>
        </w:rPr>
        <w:t>3</w:t>
      </w:r>
      <w:r>
        <w:t xml:space="preserve">,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61BD99D7" w14:textId="77777777" w:rsidR="006B51FB" w:rsidRDefault="00D64B2B">
      <w:pPr>
        <w:pStyle w:val="BodyText"/>
      </w:pPr>
      <w:r>
        <w:rPr>
          <w:i/>
        </w:rPr>
        <w:t>Species’ traits and drought tolerance</w:t>
      </w:r>
    </w:p>
    <w:p w14:paraId="41C3B867" w14:textId="77777777" w:rsidR="006B51FB" w:rsidRDefault="00D64B2B">
      <w:pPr>
        <w:pStyle w:val="BodyText"/>
      </w:pPr>
      <w:r>
        <w:t>Species, as a factor in ANOVA, had significant (p&lt;0.05) influence on all traits (</w:t>
      </w:r>
      <m:oMath>
        <m:r>
          <w:rPr>
            <w:rFonts w:ascii="Cambria Math" w:hAnsi="Cambria Math"/>
          </w:rPr>
          <m:t>WD</m:t>
        </m:r>
      </m:oMath>
      <w:r>
        <w:t xml:space="preserve">,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t>
      </w:r>
      <m:oMath>
        <m:r>
          <w:rPr>
            <w:rFonts w:ascii="Cambria Math" w:hAnsi="Cambria Math"/>
          </w:rPr>
          <m:t>WD</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4,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 xml:space="preserve">Fagus </w:t>
      </w:r>
      <w:proofErr w:type="spellStart"/>
      <w:r>
        <w:rPr>
          <w:i/>
        </w:rPr>
        <w:t>grandifolia</w:t>
      </w:r>
      <w:proofErr w:type="spellEnd"/>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4</w:t>
      </w:r>
      <w:r>
        <w:t>).</w:t>
      </w:r>
    </w:p>
    <w:p w14:paraId="0C862575" w14:textId="77777777" w:rsidR="006B51FB" w:rsidRDefault="00D64B2B">
      <w:pPr>
        <w:pStyle w:val="BodyText"/>
      </w:pPr>
      <m:oMath>
        <m:r>
          <w:rPr>
            <w:rFonts w:ascii="Cambria Math" w:hAnsi="Cambria Math"/>
          </w:rPr>
          <m:t>WD</m:t>
        </m:r>
      </m:oMath>
      <w:r>
        <w:t xml:space="preserve">, </w:t>
      </w:r>
      <m:oMath>
        <m:r>
          <w:rPr>
            <w:rFonts w:ascii="Cambria Math" w:hAnsi="Cambria Math"/>
          </w:rPr>
          <m:t>LMA</m:t>
        </m:r>
      </m:oMath>
      <w:r>
        <w:t xml:space="preserve">, and xylem porosity were all poor predictors of drought tolerance (Tables 1, S4-S5). </w:t>
      </w:r>
      <m:oMath>
        <m:r>
          <w:rPr>
            <w:rFonts w:ascii="Cambria Math" w:hAnsi="Cambria Math"/>
          </w:rPr>
          <m:t>WD</m:t>
        </m:r>
      </m:oMath>
      <w:r>
        <w:t xml:space="preserve">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w:t>
      </w:r>
      <w:r>
        <w:rPr>
          <w:b/>
        </w:rPr>
        <w:t>4</w:t>
      </w:r>
      <w:r>
        <w:t>).</w:t>
      </w:r>
    </w:p>
    <w:p w14:paraId="1157AB69" w14:textId="77777777" w:rsidR="006B51FB" w:rsidRDefault="00D64B2B">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3</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3</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3</w:t>
      </w:r>
      <w:r>
        <w:t xml:space="preserve">; Table S8), although its influence was not significant at </w:t>
      </w:r>
      <m:oMath>
        <m:r>
          <w:rPr>
            <w:rFonts w:ascii="Cambria Math" w:hAnsi="Cambria Math"/>
          </w:rPr>
          <m:t>Δ</m:t>
        </m:r>
      </m:oMath>
      <w:r>
        <w:t>AICc&lt;2. It was also included in some of the top models for 1999 (Tables S8-S9).</w:t>
      </w:r>
    </w:p>
    <w:p w14:paraId="6B578D92" w14:textId="77777777" w:rsidR="006B51FB" w:rsidRDefault="00D64B2B">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14:paraId="18DEFD3F" w14:textId="77777777" w:rsidR="006B51FB" w:rsidRDefault="00D64B2B">
      <w:pPr>
        <w:pStyle w:val="BodyText"/>
      </w:pPr>
      <w:r>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3</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3</w:t>
      </w:r>
      <w:r>
        <w:t xml:space="preserve">; Table S11). However, its effects were significant at </w:t>
      </w:r>
      <m:oMath>
        <m:r>
          <w:rPr>
            <w:rFonts w:ascii="Cambria Math" w:hAnsi="Cambria Math"/>
          </w:rPr>
          <m:t>Δ</m:t>
        </m:r>
      </m:oMath>
      <w:r>
        <w:t>AICc&lt;2 for 1999 only.</w:t>
      </w:r>
    </w:p>
    <w:p w14:paraId="3DA6203F" w14:textId="77777777" w:rsidR="006B51FB" w:rsidRDefault="00D64B2B">
      <w:pPr>
        <w:pStyle w:val="Heading3"/>
      </w:pPr>
      <w:bookmarkStart w:id="4" w:name="discussion"/>
      <w:r>
        <w:lastRenderedPageBreak/>
        <w:t>Discussion</w:t>
      </w:r>
      <w:bookmarkEnd w:id="4"/>
    </w:p>
    <w:p w14:paraId="292FD9DE" w14:textId="77777777" w:rsidR="006B51FB" w:rsidRDefault="00D64B2B">
      <w:pPr>
        <w:pStyle w:val="FirstParagraph"/>
      </w:pPr>
      <w:r>
        <w:t xml:space="preserve">Tree height, microenvironment, and leaf drought tolerance traits shaped tree growth responses across three droughts at our study site (Table 1, Fig. </w:t>
      </w:r>
      <w:r>
        <w:rPr>
          <w:b/>
        </w:rPr>
        <w:t>3</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3</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 et al. </w:t>
      </w:r>
      <w:hyperlink w:anchor="ref-zuleta_drought-induced_2017">
        <w:r>
          <w:t>2017</w:t>
        </w:r>
      </w:hyperlink>
      <w:r>
        <w:t xml:space="preserve">; Stovall, Shugart, and Yang </w:t>
      </w:r>
      <w:hyperlink w:anchor="ref-stovall_tree_2019">
        <w:r>
          <w:t>2019</w:t>
        </w:r>
      </w:hyperlink>
      <w:r>
        <w:t xml:space="preserve">),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 Shugart, and Yang </w:t>
      </w:r>
      <w:hyperlink w:anchor="ref-stovall_reply_2020">
        <w:r>
          <w:t>2020</w:t>
        </w:r>
      </w:hyperlink>
      <w:r>
        <w:t xml:space="preserve">). Drought tolerance was not consistently linked to species’ </w:t>
      </w:r>
      <m:oMath>
        <m:r>
          <w:rPr>
            <w:rFonts w:ascii="Cambria Math" w:hAnsi="Cambria Math"/>
          </w:rPr>
          <m:t>LMA</m:t>
        </m:r>
      </m:oMath>
      <w:r>
        <w:t xml:space="preserve">, </w:t>
      </w:r>
      <m:oMath>
        <m:r>
          <w:rPr>
            <w:rFonts w:ascii="Cambria Math" w:hAnsi="Cambria Math"/>
          </w:rPr>
          <m:t>WD</m:t>
        </m:r>
      </m:oMath>
      <w:r>
        <w:t>,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physiological mechanisms. However, the strengths of each predictor varied across droughts (Fig. </w:t>
      </w:r>
      <w:r>
        <w:rPr>
          <w:b/>
        </w:rPr>
        <w:t>3</w:t>
      </w:r>
      <w:r>
        <w:t>;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w:t>
      </w:r>
      <w:proofErr w:type="spellStart"/>
      <w:r>
        <w:t>Sapes</w:t>
      </w:r>
      <w:proofErr w:type="spellEnd"/>
      <w:r>
        <w:t xml:space="preserve"> et al. </w:t>
      </w:r>
      <w:hyperlink w:anchor="ref-sapes_plant_2019">
        <w:r>
          <w:t>2019</w:t>
        </w:r>
      </w:hyperlink>
      <w:r>
        <w:t>).</w:t>
      </w:r>
    </w:p>
    <w:p w14:paraId="2BC5F058" w14:textId="77777777" w:rsidR="006B51FB" w:rsidRDefault="00D64B2B">
      <w:pPr>
        <w:pStyle w:val="BodyText"/>
      </w:pPr>
      <w:r>
        <w:t xml:space="preserve">The droughts considered here were of a magnitude that has occurred with an average frequency of approximately once every 10-15 years (Fig. </w:t>
      </w:r>
      <w:r>
        <w:rPr>
          <w:b/>
        </w:rPr>
        <w:t>1a</w:t>
      </w:r>
      <w:r>
        <w:t xml:space="preserve">, Helcoski et al. </w:t>
      </w:r>
      <w:hyperlink w:anchor="ref-helcoski_growing_2019">
        <w:r>
          <w:t>2019</w:t>
        </w:r>
      </w:hyperlink>
      <w:r>
        <w:t xml:space="preserve">) and had substantial but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 et al. </w:t>
      </w:r>
      <w:hyperlink w:anchor="ref-druckenbrod_redefining_2019">
        <w:r>
          <w:t>2019</w:t>
        </w:r>
      </w:hyperlink>
      <w:r>
        <w:t xml:space="preserve">), but were modest compared to the so-called “megadroughts” that have triggered massive tree die-off in other regions (e.g., Allen et al. </w:t>
      </w:r>
      <w:hyperlink w:anchor="ref-allen_global_2010">
        <w:r>
          <w:t>2010</w:t>
        </w:r>
      </w:hyperlink>
      <w:r>
        <w:t xml:space="preserve">; Stovall, Shugart, and Yang </w:t>
      </w:r>
      <w:hyperlink w:anchor="ref-stovall_tree_2019">
        <w:r>
          <w:t>2019</w:t>
        </w:r>
      </w:hyperlink>
      <w:r>
        <w:t xml:space="preserve">; Clark et al. </w:t>
      </w:r>
      <w:hyperlink w:anchor="ref-clark_impacts_2016">
        <w:r>
          <w:t>2016</w:t>
        </w:r>
      </w:hyperlink>
      <w:r>
        <w:t xml:space="preserve">).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 et al. </w:t>
      </w:r>
      <w:hyperlink w:anchor="ref-bennett_larger_2015">
        <w:r>
          <w:t>2015</w:t>
        </w:r>
      </w:hyperlink>
      <w:r>
        <w:t xml:space="preserve">; Stovall, Shugart, and Yang </w:t>
      </w:r>
      <w:hyperlink w:anchor="ref-stovall_tree_2019">
        <w:r>
          <w:t>2019</w:t>
        </w:r>
      </w:hyperlink>
      <w:r>
        <w:t xml:space="preserve">). Across all three droughts, the majority of trees experienced reduced growth, but a substantial portion (e.g., short understory trees, species with drought resistant traits) had increased growth (Figs. </w:t>
      </w:r>
      <w:r>
        <w:rPr>
          <w:b/>
        </w:rPr>
        <w:t>1b, 3</w:t>
      </w:r>
      <w:r>
        <w:t xml:space="preserve">), consistent with prior observations that smaller trees can exhibit increased growth rates during drought (Bennett et al. </w:t>
      </w:r>
      <w:hyperlink w:anchor="ref-bennett_larger_2015">
        <w:r>
          <w:t>2015</w:t>
        </w:r>
      </w:hyperlink>
      <w:r>
        <w:t xml:space="preserve">). Growth rebounded strongly following the droughts, on average exceeding pre-drought growth rates (Fig. </w:t>
      </w:r>
      <w:r>
        <w:rPr>
          <w:b/>
        </w:rPr>
        <w:t>1</w:t>
      </w:r>
      <w:r>
        <w:t xml:space="preserve">),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63A21983" w14:textId="77777777" w:rsidR="006B51FB" w:rsidRDefault="00D64B2B">
      <w:pPr>
        <w:pStyle w:val="BodyText"/>
      </w:pPr>
      <w:r>
        <w:t xml:space="preserve">Consistent with studies in other forests worldwide (Bennett et al. </w:t>
      </w:r>
      <w:hyperlink w:anchor="ref-bennett_larger_2015">
        <w:r>
          <w:t>2015</w:t>
        </w:r>
      </w:hyperlink>
      <w:r>
        <w:t xml:space="preserve">), taller trees in this forest exhibited lower drought resistance–and also recovery and resilience–when compared to smaller trees. Mechanistically, this is consistent with, and reinforces, previous findings for a trade-off between the ability of trees to efficiently transport water to great heights and simultaneously maintain strong resistance and resilience to drought-induced embolism (Liu et al. </w:t>
      </w:r>
      <w:hyperlink w:anchor="ref-liu_hydraulic_2019">
        <w:r>
          <w:t>2019</w:t>
        </w:r>
      </w:hyperlink>
      <w:r>
        <w:t xml:space="preserve">; Olson et al. </w:t>
      </w:r>
      <w:hyperlink w:anchor="ref-olson_plant_2018">
        <w:r>
          <w:t>2018</w:t>
        </w:r>
      </w:hyperlink>
      <w:r>
        <w:t xml:space="preserve">; </w:t>
      </w:r>
      <w:proofErr w:type="spellStart"/>
      <w:r>
        <w:t>Couvreur</w:t>
      </w:r>
      <w:proofErr w:type="spellEnd"/>
      <w:r>
        <w:t xml:space="preserve"> et al. </w:t>
      </w:r>
      <w:hyperlink w:anchor="ref-couvreur_water_2018">
        <w:r>
          <w:t>2018</w:t>
        </w:r>
      </w:hyperlink>
      <w:r>
        <w:t xml:space="preserve">; </w:t>
      </w:r>
      <w:proofErr w:type="spellStart"/>
      <w:r>
        <w:t>Roskilly</w:t>
      </w:r>
      <w:proofErr w:type="spellEnd"/>
      <w:r>
        <w:t xml:space="preserve"> et al. </w:t>
      </w:r>
      <w:hyperlink w:anchor="ref-roskilly_conflicting_2019">
        <w:r>
          <w:t>2019</w:t>
        </w:r>
      </w:hyperlink>
      <w:r>
        <w:t xml:space="preserve">). Taller trees also face dramatically distinctive microenvironments (Fig. </w:t>
      </w:r>
      <w:r>
        <w:rPr>
          <w:b/>
        </w:rPr>
        <w:t>2</w:t>
      </w:r>
      <w:r>
        <w:t xml:space="preserve">). </w:t>
      </w:r>
      <w:r>
        <w:lastRenderedPageBreak/>
        <w:t xml:space="preserve">They are exposed to higher wind speeds and lower humidity (Fig. </w:t>
      </w:r>
      <w:r>
        <w:rPr>
          <w:b/>
        </w:rPr>
        <w:t>2</w:t>
      </w:r>
      <w:proofErr w:type="gramStart"/>
      <w:r>
        <w:rPr>
          <w:b/>
        </w:rPr>
        <w:t>a,b</w:t>
      </w:r>
      <w:proofErr w:type="gramEnd"/>
      <w:r>
        <w:t xml:space="preserve">), resulting in higher evaporative demand. Unlike other temperate forests where modestly cooler understory conditions have been documented (Zellweger et al. </w:t>
      </w:r>
      <w:hyperlink w:anchor="ref-zellweger_seasonal_2019">
        <w:r>
          <w:t>2019</w:t>
        </w:r>
      </w:hyperlink>
      <w:r>
        <w:t xml:space="preserve">), particularly under drier conditions (Davis et al. </w:t>
      </w:r>
      <w:hyperlink w:anchor="ref-davis_microclimatic_2019">
        <w:r>
          <w:t>2019</w:t>
        </w:r>
      </w:hyperlink>
      <w:r>
        <w:t xml:space="preserve">),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 and Norman </w:t>
      </w:r>
      <w:hyperlink w:anchor="ref-campbell_introduction_1998">
        <w:r>
          <w:t>1998</w:t>
        </w:r>
      </w:hyperlink>
      <w:r>
        <w:t xml:space="preserve">; Rey-Sánchez et al. </w:t>
      </w:r>
      <w:hyperlink w:anchor="ref-rey-sanchez_spatial_2016">
        <w:r>
          <w:t>2016</w:t>
        </w:r>
      </w:hyperlink>
      <w:r>
        <w:t xml:space="preserve">).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 and Muller </w:t>
      </w:r>
      <w:hyperlink w:anchor="ref-liu_effect_1993">
        <w:r>
          <w:t>1993</w:t>
        </w:r>
      </w:hyperlink>
      <w:r>
        <w:t xml:space="preserve">; Suarez, </w:t>
      </w:r>
      <w:proofErr w:type="spellStart"/>
      <w:r>
        <w:t>Ghermandi</w:t>
      </w:r>
      <w:proofErr w:type="spellEnd"/>
      <w:r>
        <w:t xml:space="preserve">, and </w:t>
      </w:r>
      <w:proofErr w:type="spellStart"/>
      <w:r>
        <w:t>Kitzberger</w:t>
      </w:r>
      <w:proofErr w:type="spellEnd"/>
      <w:r>
        <w:t xml:space="preserve"> </w:t>
      </w:r>
      <w:hyperlink w:anchor="ref-suarez_factors_2004">
        <w:r>
          <w:t>2004</w:t>
        </w:r>
      </w:hyperlink>
      <w:r>
        <w:t xml:space="preserve">; </w:t>
      </w:r>
      <w:proofErr w:type="spellStart"/>
      <w:r>
        <w:t>Scharnweber</w:t>
      </w:r>
      <w:proofErr w:type="spellEnd"/>
      <w:r>
        <w:t xml:space="preserve"> et al. </w:t>
      </w:r>
      <w:hyperlink w:anchor="ref-scharnweber_confessions_2019">
        <w:r>
          <w:t>2019</w:t>
        </w:r>
      </w:hyperlink>
      <w:r>
        <w:t xml:space="preserve">).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14:paraId="5CB9A39C" w14:textId="77777777" w:rsidR="006B51FB" w:rsidRDefault="00D64B2B">
      <w:pPr>
        <w:pStyle w:val="BodyText"/>
      </w:pPr>
      <w:r>
        <w:t>Belowground, taller trees would tend to have larger root systems (</w:t>
      </w:r>
      <w:proofErr w:type="spellStart"/>
      <w:r>
        <w:t>Enquist</w:t>
      </w:r>
      <w:proofErr w:type="spellEnd"/>
      <w:r>
        <w:t xml:space="preserve"> and </w:t>
      </w:r>
      <w:proofErr w:type="spellStart"/>
      <w:r>
        <w:t>Niklas</w:t>
      </w:r>
      <w:proofErr w:type="spellEnd"/>
      <w:r>
        <w:t xml:space="preserve"> </w:t>
      </w:r>
      <w:hyperlink w:anchor="ref-enquist_global_2002">
        <w:r>
          <w:t>2002</w:t>
        </w:r>
      </w:hyperlink>
      <w:r>
        <w:t xml:space="preserve">; Hui et al. </w:t>
      </w:r>
      <w:hyperlink w:anchor="ref-hui_near_2014">
        <w:r>
          <w:t>2014</w:t>
        </w:r>
      </w:hyperlink>
      <w:r>
        <w:t xml:space="preserve">), but this does not necessarily imply that they have greater access to or reliance on deep soil-water resources that may be critical during drought. While tree size can correlate with the depth of water extraction (Brum et al. </w:t>
      </w:r>
      <w:hyperlink w:anchor="ref-brum_hydrological_2019">
        <w:r>
          <w:t>2019</w:t>
        </w:r>
      </w:hyperlink>
      <w:r>
        <w:t xml:space="preserve">), the linkage is not consistent. Shorter trees can vary broadly in the depth of water uptake (Stahl et al. </w:t>
      </w:r>
      <w:hyperlink w:anchor="ref-stahl_depth_2013">
        <w:r>
          <w:t>2013</w:t>
        </w:r>
      </w:hyperlink>
      <w:r>
        <w:t>), and larger trees may allocate more to abundant shallow roots that are beneficial for taking up water from rainstorms (</w:t>
      </w:r>
      <w:proofErr w:type="spellStart"/>
      <w:r>
        <w:t>Meinzer</w:t>
      </w:r>
      <w:proofErr w:type="spellEnd"/>
      <w:r>
        <w:t xml:space="preserve"> et al. </w:t>
      </w:r>
      <w:hyperlink w:anchor="ref-meinzer_partitioning_1999">
        <w:r>
          <w:t>1999</w:t>
        </w:r>
      </w:hyperlink>
      <w:r>
        <w:t>). Moreover, reliance on deep soil-water resources can actually prove a liability during severe and prolonged drought, as these can experience more intense water scarcity relative to non-drought conditions (Chitra‐</w:t>
      </w:r>
      <w:proofErr w:type="spellStart"/>
      <w:r>
        <w:t>Tarak</w:t>
      </w:r>
      <w:proofErr w:type="spellEnd"/>
      <w:r>
        <w:t xml:space="preserve"> et al. </w:t>
      </w:r>
      <w:hyperlink w:anchor="ref-chitratarak_roots_2018">
        <w:r>
          <w:t>2018</w:t>
        </w:r>
      </w:hyperlink>
      <w:r>
        <w:t>). In any case, the potentially greater access to water did not override the disadvantage conferred by height–and, in fact, greater moisture access in non-drought years (here, higher TWI) appears to make trees more sensitive to drought (</w:t>
      </w:r>
      <w:proofErr w:type="spellStart"/>
      <w:r>
        <w:t>Zuleta</w:t>
      </w:r>
      <w:proofErr w:type="spellEnd"/>
      <w:r>
        <w:t xml:space="preserve"> et al. </w:t>
      </w:r>
      <w:hyperlink w:anchor="ref-zuleta_drought-induced_2017">
        <w:r>
          <w:t>2017</w:t>
        </w:r>
      </w:hyperlink>
      <w:r>
        <w:t xml:space="preserve">; Stovall, Shugart, and Yang </w:t>
      </w:r>
      <w:hyperlink w:anchor="ref-stovall_tree_2019">
        <w:r>
          <w:t>2019</w:t>
        </w:r>
      </w:hyperlink>
      <w:r>
        <w:t xml:space="preserve">). This may be because moister habitats would tend to support species and individuals with more </w:t>
      </w:r>
      <w:proofErr w:type="spellStart"/>
      <w:r>
        <w:t>mesophytic</w:t>
      </w:r>
      <w:proofErr w:type="spellEnd"/>
      <w:r>
        <w:t xml:space="preserve"> traits (Bartlett et al. </w:t>
      </w:r>
      <w:hyperlink w:anchor="ref-bartlett_drought_2016">
        <w:r>
          <w:t>2016</w:t>
        </w:r>
      </w:hyperlink>
      <w:hyperlink w:anchor="ref-bartlett_drought_2016">
        <w:r>
          <w:t>b</w:t>
        </w:r>
      </w:hyperlink>
      <w:r>
        <w:t xml:space="preserve">; </w:t>
      </w:r>
      <w:proofErr w:type="spellStart"/>
      <w:r>
        <w:t>Mencuccini</w:t>
      </w:r>
      <w:proofErr w:type="spellEnd"/>
      <w:r>
        <w:t xml:space="preserve"> </w:t>
      </w:r>
      <w:hyperlink w:anchor="ref-mencuccini_ecological_2003">
        <w:r>
          <w:t>2003</w:t>
        </w:r>
      </w:hyperlink>
      <w:r>
        <w:t xml:space="preserve">; Medeiros et al. </w:t>
      </w:r>
      <w:hyperlink w:anchor="ref-medeiros_extensive_2019">
        <w:r>
          <w:t>2019</w:t>
        </w:r>
      </w:hyperlink>
      <w:r>
        <w:t xml:space="preserve">), potentially growing to greater heights (e.g., Detto et al. </w:t>
      </w:r>
      <w:hyperlink w:anchor="ref-detto_hydrological_2013">
        <w:r>
          <w:t>2013</w:t>
        </w:r>
      </w:hyperlink>
      <w:r>
        <w:t xml:space="preserve">), and these are then more vulnerable when drought occurs. The observed height-sensitivity of </w:t>
      </w:r>
      <m:oMath>
        <m:r>
          <w:rPr>
            <w:rFonts w:ascii="Cambria Math" w:hAnsi="Cambria Math"/>
          </w:rPr>
          <m:t>Rt</m:t>
        </m:r>
      </m:oMath>
      <w:r>
        <w:t>, together with the lack of conferred advantage to large stature in drier topographic positions, agrees with the concept that physiological limitations to transpiration under drought shift from soil water availability to the plant-atmosphere interface as forests age (</w:t>
      </w:r>
      <w:proofErr w:type="spellStart"/>
      <w:r>
        <w:t>Bretfeld</w:t>
      </w:r>
      <w:proofErr w:type="spellEnd"/>
      <w:r>
        <w:t xml:space="preserve">, Ewers, and Hall </w:t>
      </w:r>
      <w:hyperlink w:anchor="ref-bretfeld_plant_2018">
        <w:r>
          <w:t>2018</w:t>
        </w:r>
      </w:hyperlink>
      <w:r>
        <w:t>),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14:paraId="58C67C86" w14:textId="77777777" w:rsidR="006B51FB" w:rsidRDefault="00D64B2B">
      <w:pPr>
        <w:pStyle w:val="BodyText"/>
      </w:pPr>
      <w:r>
        <w:t xml:space="preserve">The development of tree-ring chronologies for the twelve most dominant tree species at our site (Helcoski et al. </w:t>
      </w:r>
      <w:hyperlink w:anchor="ref-helcoski_growing_2019">
        <w:r>
          <w:t>2019</w:t>
        </w:r>
      </w:hyperlink>
      <w:r>
        <w:t xml:space="preserve">; Bourg et al. </w:t>
      </w:r>
      <w:hyperlink w:anchor="ref-bourg_initial_2013">
        <w:r>
          <w:t>2013</w:t>
        </w:r>
      </w:hyperlink>
      <w:r>
        <w:t xml:space="preserve">) provided a sufficient sample size to compare historical drought responses across species (Fig. </w:t>
      </w:r>
      <w:r>
        <w:rPr>
          <w:b/>
        </w:rPr>
        <w:t>4</w:t>
      </w:r>
      <w:r>
        <w:t xml:space="preserve">) and associated traits at a single site (see also Elliott et al. </w:t>
      </w:r>
      <w:hyperlink w:anchor="ref-elliott_forest_2015">
        <w:r>
          <w:t>2015</w:t>
        </w:r>
      </w:hyperlink>
      <w:r>
        <w:t xml:space="preserve">). Our study reinforced current understanding (see Introduction) that </w:t>
      </w:r>
      <m:oMath>
        <m:r>
          <w:rPr>
            <w:rFonts w:ascii="Cambria Math" w:hAnsi="Cambria Math"/>
          </w:rPr>
          <m:t>WD</m:t>
        </m:r>
      </m:oMath>
      <w:r>
        <w:t xml:space="preserve"> and </w:t>
      </w:r>
      <m:oMath>
        <m:r>
          <w:rPr>
            <w:rFonts w:ascii="Cambria Math" w:hAnsi="Cambria Math"/>
          </w:rPr>
          <m:t>LMA</m:t>
        </m:r>
      </m:oMath>
      <w:r>
        <w:t xml:space="preserve"> are not reliably linked to drought tolerance (Table 1). Contrary to several previous studies in temperate deciduous forests (Friedrichs et al. </w:t>
      </w:r>
      <w:hyperlink w:anchor="ref-friedrichs_species-specific_2009">
        <w:r>
          <w:t>2009</w:t>
        </w:r>
      </w:hyperlink>
      <w:r>
        <w:t xml:space="preserve">; Elliott et al. </w:t>
      </w:r>
      <w:hyperlink w:anchor="ref-elliott_forest_2015">
        <w:r>
          <w:t>2015</w:t>
        </w:r>
      </w:hyperlink>
      <w:r>
        <w:t xml:space="preserve">; </w:t>
      </w:r>
      <w:proofErr w:type="spellStart"/>
      <w:r>
        <w:t>Kannenberg</w:t>
      </w:r>
      <w:proofErr w:type="spellEnd"/>
      <w:r>
        <w:t xml:space="preserve"> et al. </w:t>
      </w:r>
      <w:hyperlink w:anchor="ref-kannenberg_linking_2019">
        <w:r>
          <w:t>2019</w:t>
        </w:r>
      </w:hyperlink>
      <w:r>
        <w:t xml:space="preserve">), we did not find an association between xylem porosity and drought resistance or resilience, as the two diffuse-porous species, </w:t>
      </w:r>
      <w:r>
        <w:rPr>
          <w:i/>
        </w:rPr>
        <w:t>L.</w:t>
      </w:r>
      <w:r>
        <w:t xml:space="preserve"> and </w:t>
      </w:r>
      <w:r>
        <w:rPr>
          <w:i/>
        </w:rPr>
        <w:t xml:space="preserve">F. </w:t>
      </w:r>
      <w:proofErr w:type="spellStart"/>
      <w:r>
        <w:rPr>
          <w:i/>
        </w:rPr>
        <w:t>grandifolia</w:t>
      </w:r>
      <w:proofErr w:type="spellEnd"/>
      <w:r>
        <w:t xml:space="preserve">, were at opposite ends of the </w:t>
      </w:r>
      <m:oMath>
        <m:r>
          <w:rPr>
            <w:rFonts w:ascii="Cambria Math" w:hAnsi="Cambria Math"/>
          </w:rPr>
          <m:t>Rt</m:t>
        </m:r>
      </m:oMath>
      <w:r>
        <w:t xml:space="preserve"> spectrum (Fig. </w:t>
      </w:r>
      <w:r>
        <w:rPr>
          <w:b/>
        </w:rPr>
        <w:t>4</w:t>
      </w:r>
      <w:r>
        <w:t xml:space="preserve">). While the low </w:t>
      </w:r>
      <m:oMath>
        <m:r>
          <w:rPr>
            <w:rFonts w:ascii="Cambria Math" w:hAnsi="Cambria Math"/>
          </w:rPr>
          <m:t>Rt</m:t>
        </m:r>
      </m:oMath>
      <w:r>
        <w:t xml:space="preserve"> of </w:t>
      </w:r>
      <w:r>
        <w:rPr>
          <w:i/>
        </w:rPr>
        <w:t>L. tulipifera</w:t>
      </w:r>
      <w:r>
        <w:t xml:space="preserve"> is consistent with other studies (Elliott et al. </w:t>
      </w:r>
      <w:hyperlink w:anchor="ref-elliott_forest_2015">
        <w:r>
          <w:t>2015</w:t>
        </w:r>
      </w:hyperlink>
      <w:r>
        <w:t xml:space="preserve">), the high </w:t>
      </w:r>
      <m:oMath>
        <m:r>
          <w:rPr>
            <w:rFonts w:ascii="Cambria Math" w:hAnsi="Cambria Math"/>
          </w:rPr>
          <m:t>Rt</m:t>
        </m:r>
      </m:oMath>
      <w:r>
        <w:t xml:space="preserve"> of </w:t>
      </w:r>
      <w:r>
        <w:rPr>
          <w:i/>
        </w:rPr>
        <w:t xml:space="preserve">F. </w:t>
      </w:r>
      <w:proofErr w:type="spellStart"/>
      <w:r>
        <w:rPr>
          <w:i/>
        </w:rPr>
        <w:t>grandifolia</w:t>
      </w:r>
      <w:proofErr w:type="spellEnd"/>
      <w:r>
        <w:t xml:space="preserve"> contrasts with studies identifying diffuse porous species in general (Elliott et al. </w:t>
      </w:r>
      <w:hyperlink w:anchor="ref-elliott_forest_2015">
        <w:r>
          <w:t>2015</w:t>
        </w:r>
      </w:hyperlink>
      <w:r>
        <w:t xml:space="preserve">; </w:t>
      </w:r>
      <w:proofErr w:type="spellStart"/>
      <w:r>
        <w:t>Kannenberg</w:t>
      </w:r>
      <w:proofErr w:type="spellEnd"/>
      <w:r>
        <w:t xml:space="preserve"> et al. </w:t>
      </w:r>
      <w:hyperlink w:anchor="ref-kannenberg_linking_2019">
        <w:r>
          <w:t>2019</w:t>
        </w:r>
      </w:hyperlink>
      <w:r>
        <w:t xml:space="preserve">), and the genus </w:t>
      </w:r>
      <w:r>
        <w:rPr>
          <w:i/>
        </w:rPr>
        <w:lastRenderedPageBreak/>
        <w:t>Fagus</w:t>
      </w:r>
      <w:r>
        <w:t xml:space="preserve"> in particular (Friedrichs et al. </w:t>
      </w:r>
      <w:hyperlink w:anchor="ref-friedrichs_species-specific_2009">
        <w:r>
          <w:t>2009</w:t>
        </w:r>
      </w:hyperlink>
      <w:r>
        <w:t xml:space="preserve">), as drought sensitive.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 Baas, and Rodgers </w:t>
      </w:r>
      <w:hyperlink w:anchor="ref-wheeler_variations_2007">
        <w:r>
          <w:t>2007</w:t>
        </w:r>
      </w:hyperlink>
      <w:r>
        <w:t xml:space="preserve">). </w:t>
      </w:r>
      <w:r>
        <w:rPr>
          <w:i/>
        </w:rPr>
        <w:t xml:space="preserve">F. </w:t>
      </w:r>
      <w:proofErr w:type="spellStart"/>
      <w:r>
        <w:rPr>
          <w:i/>
        </w:rPr>
        <w:t>grandifolia</w:t>
      </w:r>
      <w:proofErr w:type="spellEnd"/>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3</w:t>
      </w:r>
      <w:r>
        <w:t xml:space="preserve">; see discussion below), in concordance with studies identifying </w:t>
      </w:r>
      <w:r>
        <w:rPr>
          <w:i/>
        </w:rPr>
        <w:t>Fagus</w:t>
      </w:r>
      <w:r>
        <w:t xml:space="preserve"> species as intermediate in drought tolerance (</w:t>
      </w:r>
      <w:proofErr w:type="spellStart"/>
      <w:r>
        <w:t>Vitasse</w:t>
      </w:r>
      <w:proofErr w:type="spellEnd"/>
      <w:r>
        <w:t xml:space="preserve"> et al. </w:t>
      </w:r>
      <w:hyperlink w:anchor="ref-vitasse_contrasting_2019">
        <w:r>
          <w:t>2019</w:t>
        </w:r>
      </w:hyperlink>
      <w:r>
        <w:t xml:space="preserve">; </w:t>
      </w:r>
      <w:proofErr w:type="spellStart"/>
      <w:r>
        <w:t>Pretzsch</w:t>
      </w:r>
      <w:proofErr w:type="spellEnd"/>
      <w:r>
        <w:t xml:space="preserve">, </w:t>
      </w:r>
      <w:proofErr w:type="spellStart"/>
      <w:r>
        <w:t>Schütze</w:t>
      </w:r>
      <w:proofErr w:type="spellEnd"/>
      <w:r>
        <w:t xml:space="preserve">, and </w:t>
      </w:r>
      <w:proofErr w:type="spellStart"/>
      <w:r>
        <w:t>Biber</w:t>
      </w:r>
      <w:proofErr w:type="spellEnd"/>
      <w:r>
        <w:t xml:space="preserve"> </w:t>
      </w:r>
      <w:hyperlink w:anchor="ref-pretzsch_drought_2018">
        <w:r>
          <w:t>2018</w:t>
        </w:r>
      </w:hyperlink>
      <w:r>
        <w:t xml:space="preserve">). A second explanation of why </w:t>
      </w:r>
      <w:r>
        <w:rPr>
          <w:i/>
        </w:rPr>
        <w:t xml:space="preserve">F. </w:t>
      </w:r>
      <w:proofErr w:type="spellStart"/>
      <w:r>
        <w:rPr>
          <w:i/>
        </w:rPr>
        <w:t>grandifolia</w:t>
      </w:r>
      <w:proofErr w:type="spellEnd"/>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 McGarvey, et al. </w:t>
      </w:r>
      <w:hyperlink w:anchor="ref-andersonteixeira_size-related_2015">
        <w:r>
          <w:t>2015</w:t>
        </w:r>
      </w:hyperlink>
      <w:r>
        <w:t xml:space="preserve">),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 xml:space="preserve">F. </w:t>
      </w:r>
      <w:proofErr w:type="spellStart"/>
      <w:r>
        <w:rPr>
          <w:i/>
        </w:rPr>
        <w:t>grandifolia</w:t>
      </w:r>
      <w:proofErr w:type="spellEnd"/>
      <w:r>
        <w:t xml:space="preserve"> population can be explained by a combination of fairly drought-resistant leaf traits, shorter stature, and a buffered microenvironment.</w:t>
      </w:r>
    </w:p>
    <w:p w14:paraId="51A40D40" w14:textId="77777777" w:rsidR="006B51FB" w:rsidRDefault="00D64B2B">
      <w:pPr>
        <w:pStyle w:val="BodyText"/>
      </w:pPr>
      <w:r>
        <w:t>Concerted measurement of tree-rings and leaf drought tolerance traits of emerging importance in published literature (</w:t>
      </w:r>
      <w:proofErr w:type="spellStart"/>
      <w:r>
        <w:t>Scoffoni</w:t>
      </w:r>
      <w:proofErr w:type="spellEnd"/>
      <w:r>
        <w:t xml:space="preserve"> et al. </w:t>
      </w:r>
      <w:hyperlink w:anchor="ref-scoffoni_leaf_2014">
        <w:r>
          <w:t>2014</w:t>
        </w:r>
      </w:hyperlink>
      <w:r>
        <w:t xml:space="preserve">; Bartlett et al. </w:t>
      </w:r>
      <w:hyperlink w:anchor="ref-bartlett_correlations_2016">
        <w:r>
          <w:t>2016</w:t>
        </w:r>
      </w:hyperlink>
      <w:hyperlink w:anchor="ref-bartlett_correlations_2016">
        <w:r>
          <w:t>a</w:t>
        </w:r>
      </w:hyperlink>
      <w:r>
        <w:t xml:space="preserve">; Medeiros et al. </w:t>
      </w:r>
      <w:hyperlink w:anchor="ref-medeiros_extensive_2019">
        <w:r>
          <w:t>2019</w:t>
        </w:r>
      </w:hyperlink>
      <w:r>
        <w:t xml:space="preserve">)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3</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(Maréchaux et al. </w:t>
      </w:r>
      <w:hyperlink w:anchor="ref-marechaux_drought_2015">
        <w:r w:rsidRPr="00D64B2B">
          <w:rPr>
            <w:lang w:val="da-DK"/>
          </w:rPr>
          <w:t>2015</w:t>
        </w:r>
      </w:hyperlink>
      <w:r w:rsidRPr="00D64B2B">
        <w:rPr>
          <w:lang w:val="da-DK"/>
        </w:rPr>
        <w:t xml:space="preserve">; Fletcher et al. </w:t>
      </w:r>
      <w:hyperlink w:anchor="ref-fletcher_evolution_2018">
        <w:r w:rsidRPr="00D64B2B">
          <w:rPr>
            <w:lang w:val="da-DK"/>
          </w:rPr>
          <w:t>2018</w:t>
        </w:r>
      </w:hyperlink>
      <w:r w:rsidRPr="00D64B2B">
        <w:rPr>
          <w:lang w:val="da-DK"/>
        </w:rPr>
        <w:t xml:space="preserve">; </w:t>
      </w:r>
      <w:proofErr w:type="spellStart"/>
      <w:r w:rsidRPr="00D64B2B">
        <w:rPr>
          <w:lang w:val="da-DK"/>
        </w:rPr>
        <w:t>Medeiros</w:t>
      </w:r>
      <w:proofErr w:type="spellEnd"/>
      <w:r w:rsidRPr="00D64B2B">
        <w:rPr>
          <w:lang w:val="da-DK"/>
        </w:rPr>
        <w:t xml:space="preserve"> et al. </w:t>
      </w:r>
      <w:hyperlink w:anchor="ref-medeiros_extensive_2019">
        <w:r w:rsidRPr="00D64B2B">
          <w:rPr>
            <w:lang w:val="da-DK"/>
          </w:rPr>
          <w:t>2019</w:t>
        </w:r>
      </w:hyperlink>
      <w:r w:rsidRPr="00D64B2B">
        <w:rPr>
          <w:lang w:val="da-DK"/>
        </w:rPr>
        <w:t xml:space="preserve">; </w:t>
      </w:r>
      <w:proofErr w:type="spellStart"/>
      <w:r w:rsidRPr="00D64B2B">
        <w:rPr>
          <w:lang w:val="da-DK"/>
        </w:rPr>
        <w:t>Simeone</w:t>
      </w:r>
      <w:proofErr w:type="spellEnd"/>
      <w:r w:rsidRPr="00D64B2B">
        <w:rPr>
          <w:lang w:val="da-DK"/>
        </w:rPr>
        <w:t xml:space="preserve"> et al. </w:t>
      </w:r>
      <w:hyperlink w:anchor="ref-simeone_coupled_2019">
        <w:r w:rsidRPr="00D64B2B">
          <w:rPr>
            <w:lang w:val="da-DK"/>
          </w:rPr>
          <w:t>2019</w:t>
        </w:r>
      </w:hyperlink>
      <w:r w:rsidRPr="00D64B2B">
        <w:rPr>
          <w:lang w:val="da-DK"/>
        </w:rPr>
        <w:t xml:space="preserve">; Rosas et al. </w:t>
      </w:r>
      <w:hyperlink w:anchor="ref-rosas_adjustments_2019">
        <w:r>
          <w:t>2019</w:t>
        </w:r>
      </w:hyperlink>
      <w:r>
        <w:t xml:space="preserve">; Zhu et al. </w:t>
      </w:r>
      <w:hyperlink w:anchor="ref-zhu_leaf_2018">
        <w:r>
          <w:t>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 et al. </w:t>
      </w:r>
      <w:hyperlink w:anchor="ref-powell_differences_2017">
        <w: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et al. </w:t>
      </w:r>
      <w:hyperlink w:anchor="ref-bartlett_rapid_2012">
        <w:r>
          <w:t>2012</w:t>
        </w:r>
      </w:hyperlink>
      <w:r>
        <w:t xml:space="preserve">; </w:t>
      </w:r>
      <w:proofErr w:type="spellStart"/>
      <w:r>
        <w:t>Scoffoni</w:t>
      </w:r>
      <w:proofErr w:type="spellEnd"/>
      <w:r>
        <w:t xml:space="preserve"> et al. </w:t>
      </w:r>
      <w:hyperlink w:anchor="ref-scoffoni_leaf_2014">
        <w:r>
          <w:t>2014</w:t>
        </w:r>
      </w:hyperlink>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w:t>
      </w:r>
      <w:proofErr w:type="spellStart"/>
      <w:r>
        <w:t>Schöngart</w:t>
      </w:r>
      <w:proofErr w:type="spellEnd"/>
      <w:r>
        <w:t xml:space="preserve"> et al. </w:t>
      </w:r>
      <w:hyperlink w:anchor="ref-schongart_dendroecological_2017">
        <w:r>
          <w:t>2017</w:t>
        </w:r>
      </w:hyperlink>
      <w:r>
        <w:t xml:space="preserve"> for a review of progress in tropical dendroecology). A full linkage of drought tolerance traits to drought responses would be invaluable for forecasting how little-known species and whole forests will respond to future droughts (</w:t>
      </w:r>
      <w:proofErr w:type="spellStart"/>
      <w:r>
        <w:t>Christoffersen</w:t>
      </w:r>
      <w:proofErr w:type="spellEnd"/>
      <w:r>
        <w:t xml:space="preserve"> et al. </w:t>
      </w:r>
      <w:hyperlink w:anchor="ref-christoffersen_linking_2016">
        <w:r>
          <w:t>2016</w:t>
        </w:r>
      </w:hyperlink>
      <w:r>
        <w:t xml:space="preserve">; Powell et al. </w:t>
      </w:r>
      <w:hyperlink w:anchor="ref-powell_differences_2017">
        <w:r>
          <w:t>2017</w:t>
        </w:r>
      </w:hyperlink>
      <w:r>
        <w:t>).</w:t>
      </w:r>
    </w:p>
    <w:p w14:paraId="1D9D31A9" w14:textId="77777777" w:rsidR="006B51FB" w:rsidRDefault="00D64B2B">
      <w:pPr>
        <w:pStyle w:val="BodyText"/>
      </w:pPr>
      <w:r>
        <w:t xml:space="preserve">As climate change drives increasing drought in many of the world’s forests (Trenberth et al. </w:t>
      </w:r>
      <w:hyperlink w:anchor="ref-trenberth_global_2014">
        <w:r>
          <w:t>2014</w:t>
        </w:r>
      </w:hyperlink>
      <w:r>
        <w:t xml:space="preserve">; Intergovernmental Panel on Climate Change </w:t>
      </w:r>
      <w:hyperlink w:anchor="X024671904173f8aa2e787e9047683bd848398fb">
        <w:r>
          <w:t>2015</w:t>
        </w:r>
      </w:hyperlink>
      <w:r>
        <w:t xml:space="preserve">),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 et al. </w:t>
      </w:r>
      <w:hyperlink w:anchor="ref-desoto_low_2020">
        <w:r>
          <w:t>2020</w:t>
        </w:r>
      </w:hyperlink>
      <w:r>
        <w:t xml:space="preserve">; Gessler et al. </w:t>
      </w:r>
      <w:hyperlink w:anchor="ref-gessler_way_2020">
        <w:r>
          <w:t>2020</w:t>
        </w:r>
      </w:hyperlink>
      <w:r>
        <w:t xml:space="preserve">),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et al. </w:t>
      </w:r>
      <w:hyperlink w:anchor="ref-powers_catastrophic_2020">
        <w:r>
          <w:t>2020</w:t>
        </w:r>
      </w:hyperlink>
      <w:r>
        <w:t xml:space="preserve">), taller trees have lower survival (Bennett et al. </w:t>
      </w:r>
      <w:hyperlink w:anchor="ref-bennett_larger_2015">
        <w:r>
          <w:t>2015</w:t>
        </w:r>
      </w:hyperlink>
      <w:r>
        <w:t xml:space="preserve">; Stovall, Shugart, and Yang </w:t>
      </w:r>
      <w:hyperlink w:anchor="ref-stovall_tree_2019">
        <w:r>
          <w:t>2019</w:t>
        </w:r>
      </w:hyperlink>
      <w:r>
        <w:t xml:space="preserve">). As climate change-driven droughts affect forests worldwide, there is likely to be a shift from mature forests with tall, buffering trees to forests with a shorter overall stature (McDowell et al. </w:t>
      </w:r>
      <w:hyperlink w:anchor="ref-mcdowell_pervasive_2020">
        <w:r>
          <w:t>2020</w:t>
        </w:r>
      </w:hyperlink>
      <w:r>
        <w:t xml:space="preserve">). At this point, species </w:t>
      </w:r>
      <w:r>
        <w:lastRenderedPageBreak/>
        <w:t xml:space="preserve">whose drought tolerance relies in part on existence within a buffered microenvironment (e.g., </w:t>
      </w:r>
      <w:r>
        <w:rPr>
          <w:i/>
        </w:rPr>
        <w:t xml:space="preserve">F. </w:t>
      </w:r>
      <w:proofErr w:type="spellStart"/>
      <w:r>
        <w:rPr>
          <w:i/>
        </w:rPr>
        <w:t>grandifolia</w:t>
      </w:r>
      <w:proofErr w:type="spellEnd"/>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distributions of tree heights and drought tolerance traits across broad moisture gradients suggest that forests exposed to more drought will shift towards shorter stature and be dominated by species with more drought-tolerant traits (Liu et al. </w:t>
      </w:r>
      <w:hyperlink w:anchor="ref-liu_hydraulic_2019">
        <w:r>
          <w:t>2019</w:t>
        </w:r>
      </w:hyperlink>
      <w:r>
        <w:t xml:space="preserve">; Bartlett et al. </w:t>
      </w:r>
      <w:hyperlink w:anchor="ref-bartlett_correlations_2016">
        <w:r>
          <w:t>2016</w:t>
        </w:r>
      </w:hyperlink>
      <w:hyperlink w:anchor="ref-bartlett_correlations_2016">
        <w:r>
          <w:t>a</w:t>
        </w:r>
      </w:hyperlink>
      <w:r>
        <w:t xml:space="preserve">; Zhu et al. </w:t>
      </w:r>
      <w:hyperlink w:anchor="ref-zhu_leaf_2018">
        <w:r>
          <w:t>2018</w:t>
        </w:r>
      </w:hyperlink>
      <w:r>
        <w:t>). Our study helps to elucidate the mechanisms behind these patterns, opening the door for more accurate forecasting of forest responses to future drought.</w:t>
      </w:r>
    </w:p>
    <w:p w14:paraId="3286D8F7" w14:textId="77777777" w:rsidR="006B51FB" w:rsidRDefault="00D64B2B">
      <w:pPr>
        <w:pStyle w:val="Heading3"/>
      </w:pPr>
      <w:bookmarkStart w:id="5" w:name="acknowledgements"/>
      <w:r>
        <w:t>Acknowledgements</w:t>
      </w:r>
      <w:bookmarkEnd w:id="5"/>
    </w:p>
    <w:p w14:paraId="7A3E5AE3" w14:textId="77777777" w:rsidR="006B51FB" w:rsidRDefault="00D64B2B">
      <w:pPr>
        <w:pStyle w:val="FirstParagraph"/>
      </w:pPr>
      <w:r>
        <w:t xml:space="preserve">We especially thank the numerous researchers who helped to collect the data used here, in particular Jennifer C. McGarvey, Jonathan R. Thompson, and Victoria Meakem for original collection and processing of cores. Thanks also to Camila D. Medeiros for guidance on leaf drought tolerance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531AA87" w14:textId="77777777" w:rsidR="006B51FB" w:rsidRDefault="00D64B2B">
      <w:pPr>
        <w:pStyle w:val="Heading3"/>
      </w:pPr>
      <w:bookmarkStart w:id="6" w:name="author-contribution"/>
      <w:r>
        <w:t>Author Contribution</w:t>
      </w:r>
      <w:bookmarkEnd w:id="6"/>
    </w:p>
    <w:p w14:paraId="1D67E4D2" w14:textId="77777777" w:rsidR="006B51FB" w:rsidRDefault="00D64B2B">
      <w:pPr>
        <w:pStyle w:val="FirstParagraph"/>
      </w:pPr>
      <w:r>
        <w:t>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14:paraId="35C215B8" w14:textId="77777777" w:rsidR="006B51FB" w:rsidRDefault="00D64B2B">
      <w:pPr>
        <w:pStyle w:val="Heading3"/>
      </w:pPr>
      <w:bookmarkStart w:id="7" w:name="data-and-code-availability"/>
      <w:r>
        <w:t>Data and code availability</w:t>
      </w:r>
      <w:bookmarkEnd w:id="7"/>
    </w:p>
    <w:p w14:paraId="71C80DFB" w14:textId="77777777" w:rsidR="006B51FB" w:rsidRDefault="00D64B2B">
      <w:pPr>
        <w:pStyle w:val="FirstParagraph"/>
      </w:pPr>
      <w:r>
        <w:t>All data, code, and results are available through the SCBI-ForestGEO organization on GitHub (</w:t>
      </w:r>
      <w:hyperlink r:id="rId17">
        <w:r>
          <w:t>https://github.com/SCBI-ForestGEO</w:t>
        </w:r>
      </w:hyperlink>
      <w:r>
        <w:t xml:space="preserve">: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10.5281/zenodo.4070038 and </w:t>
      </w:r>
      <w:r>
        <w:rPr>
          <w:i/>
        </w:rPr>
        <w:t>[TBD]</w:t>
      </w:r>
      <w:r>
        <w:t>, respectively. Full ForestGEO census data for SCBI are available through the ForestGEO data portal (www.forestgeo.si.edu).</w:t>
      </w:r>
    </w:p>
    <w:p w14:paraId="22CD43BB" w14:textId="77777777" w:rsidR="006B51FB" w:rsidRPr="00D64B2B" w:rsidRDefault="00D64B2B">
      <w:pPr>
        <w:pStyle w:val="Heading3"/>
        <w:rPr>
          <w:lang w:val="da-DK"/>
        </w:rPr>
      </w:pPr>
      <w:bookmarkStart w:id="8" w:name="orcid"/>
      <w:r w:rsidRPr="00D64B2B">
        <w:rPr>
          <w:lang w:val="da-DK"/>
        </w:rPr>
        <w:t>ORCID</w:t>
      </w:r>
      <w:bookmarkEnd w:id="8"/>
    </w:p>
    <w:p w14:paraId="37AC25FD" w14:textId="77777777" w:rsidR="006B51FB" w:rsidRPr="00D64B2B" w:rsidRDefault="00D64B2B">
      <w:pPr>
        <w:pStyle w:val="FirstParagraph"/>
        <w:rPr>
          <w:lang w:val="da-DK"/>
        </w:rPr>
      </w:pPr>
      <w:r w:rsidRPr="00D64B2B">
        <w:rPr>
          <w:lang w:val="da-DK"/>
        </w:rPr>
        <w:t xml:space="preserve">Ian R. </w:t>
      </w:r>
      <w:proofErr w:type="spellStart"/>
      <w:r w:rsidRPr="00D64B2B">
        <w:rPr>
          <w:lang w:val="da-DK"/>
        </w:rPr>
        <w:t>McGregor</w:t>
      </w:r>
      <w:proofErr w:type="spellEnd"/>
      <w:r w:rsidRPr="00D64B2B">
        <w:rPr>
          <w:lang w:val="da-DK"/>
        </w:rPr>
        <w:t>: 0000-0002-5763-021X</w:t>
      </w:r>
    </w:p>
    <w:p w14:paraId="623A3892" w14:textId="77777777" w:rsidR="006B51FB" w:rsidRPr="00D64B2B" w:rsidRDefault="00D64B2B">
      <w:pPr>
        <w:pStyle w:val="BodyText"/>
        <w:rPr>
          <w:lang w:val="da-DK"/>
        </w:rPr>
      </w:pPr>
      <w:r w:rsidRPr="00D64B2B">
        <w:rPr>
          <w:lang w:val="da-DK"/>
        </w:rPr>
        <w:t xml:space="preserve">Norbert </w:t>
      </w:r>
      <w:proofErr w:type="spellStart"/>
      <w:r w:rsidRPr="00D64B2B">
        <w:rPr>
          <w:lang w:val="da-DK"/>
        </w:rPr>
        <w:t>Kunert</w:t>
      </w:r>
      <w:proofErr w:type="spellEnd"/>
      <w:r w:rsidRPr="00D64B2B">
        <w:rPr>
          <w:lang w:val="da-DK"/>
        </w:rPr>
        <w:t>: 0000-0002-5602-6221</w:t>
      </w:r>
    </w:p>
    <w:p w14:paraId="6E9914D3" w14:textId="77777777" w:rsidR="006B51FB" w:rsidRPr="00D64B2B" w:rsidRDefault="00D64B2B">
      <w:pPr>
        <w:pStyle w:val="BodyText"/>
        <w:rPr>
          <w:lang w:val="da-DK"/>
        </w:rPr>
      </w:pPr>
      <w:r w:rsidRPr="00D64B2B">
        <w:rPr>
          <w:lang w:val="da-DK"/>
        </w:rPr>
        <w:t>Alan J. Tepley: 0000-0002-5701-9613</w:t>
      </w:r>
    </w:p>
    <w:p w14:paraId="01C0D00D" w14:textId="77777777" w:rsidR="006B51FB" w:rsidRPr="00D64B2B" w:rsidRDefault="00D64B2B">
      <w:pPr>
        <w:pStyle w:val="BodyText"/>
        <w:rPr>
          <w:lang w:val="da-DK"/>
        </w:rPr>
      </w:pPr>
      <w:r w:rsidRPr="00D64B2B">
        <w:rPr>
          <w:lang w:val="da-DK"/>
        </w:rPr>
        <w:lastRenderedPageBreak/>
        <w:t>Erika B. Gonzalez-Akre: 0000-0001-8305-6672</w:t>
      </w:r>
    </w:p>
    <w:p w14:paraId="5CFA3DB1" w14:textId="77777777" w:rsidR="006B51FB" w:rsidRDefault="00D64B2B">
      <w:pPr>
        <w:pStyle w:val="BodyText"/>
      </w:pPr>
      <w:r>
        <w:t>Valentine Herrmann: 0000-0002-4519-481X</w:t>
      </w:r>
    </w:p>
    <w:p w14:paraId="071D8746" w14:textId="77777777" w:rsidR="006B51FB" w:rsidRDefault="00D64B2B">
      <w:pPr>
        <w:pStyle w:val="BodyText"/>
      </w:pPr>
      <w:r>
        <w:t xml:space="preserve">Joseph </w:t>
      </w:r>
      <w:proofErr w:type="spellStart"/>
      <w:r>
        <w:t>Zailaa</w:t>
      </w:r>
      <w:proofErr w:type="spellEnd"/>
      <w:r>
        <w:t>: 0000-0001-9103-190X</w:t>
      </w:r>
    </w:p>
    <w:p w14:paraId="12DB35FD" w14:textId="77777777" w:rsidR="006B51FB" w:rsidRDefault="00D64B2B">
      <w:pPr>
        <w:pStyle w:val="BodyText"/>
      </w:pPr>
      <w:r>
        <w:t>Atticus E.L. Stovall: 0000-0001-9512-3318</w:t>
      </w:r>
    </w:p>
    <w:p w14:paraId="7EB2EF2B" w14:textId="77777777" w:rsidR="006B51FB" w:rsidRDefault="00D64B2B">
      <w:pPr>
        <w:pStyle w:val="BodyText"/>
      </w:pPr>
      <w:r>
        <w:t>Norman A. Bourg: 0000-0002-7443-1992</w:t>
      </w:r>
    </w:p>
    <w:p w14:paraId="318E30AB" w14:textId="77777777" w:rsidR="006B51FB" w:rsidRDefault="00D64B2B">
      <w:pPr>
        <w:pStyle w:val="BodyText"/>
      </w:pPr>
      <w:r>
        <w:t>William J. McShea: 0000-0002-8102-0200</w:t>
      </w:r>
    </w:p>
    <w:p w14:paraId="36EDE743" w14:textId="77777777" w:rsidR="006B51FB" w:rsidRDefault="00D64B2B">
      <w:pPr>
        <w:pStyle w:val="BodyText"/>
      </w:pPr>
      <w:r>
        <w:t>Neil Pederson: 0000-0003-3830-263X</w:t>
      </w:r>
    </w:p>
    <w:p w14:paraId="5FCDD8B1" w14:textId="77777777" w:rsidR="006B51FB" w:rsidRDefault="00D64B2B">
      <w:pPr>
        <w:pStyle w:val="BodyText"/>
      </w:pPr>
      <w:proofErr w:type="spellStart"/>
      <w:r>
        <w:t>Lawren</w:t>
      </w:r>
      <w:proofErr w:type="spellEnd"/>
      <w:r>
        <w:t xml:space="preserve"> Sack: 0000-0002-7009-7202</w:t>
      </w:r>
    </w:p>
    <w:p w14:paraId="76FEF8F5" w14:textId="77777777" w:rsidR="006B51FB" w:rsidRDefault="00D64B2B">
      <w:pPr>
        <w:pStyle w:val="BodyText"/>
      </w:pPr>
      <w:r>
        <w:t>Kristina J. Anderson-Teixeira: 0000-0001-8461-9713</w:t>
      </w:r>
    </w:p>
    <w:p w14:paraId="2EA1B61B" w14:textId="77777777" w:rsidR="006B51FB" w:rsidRDefault="00D64B2B">
      <w:pPr>
        <w:pStyle w:val="Heading3"/>
      </w:pPr>
      <w:bookmarkStart w:id="9" w:name="supplementary-information"/>
      <w:r>
        <w:t>Supplementary Information</w:t>
      </w:r>
      <w:bookmarkEnd w:id="9"/>
    </w:p>
    <w:p w14:paraId="0CD40141" w14:textId="77777777" w:rsidR="006B51FB" w:rsidRDefault="00D64B2B">
      <w:pPr>
        <w:pStyle w:val="FirstParagraph"/>
      </w:pPr>
      <w:r>
        <w:t>Table S1. Monthly Palmer Drought Severity Index (PDSI), and its rank among all years between 1950 and 2009 for focal droughts.</w:t>
      </w:r>
    </w:p>
    <w:p w14:paraId="3C40CD1E" w14:textId="77777777" w:rsidR="006B51FB" w:rsidRDefault="00D64B2B">
      <w:pPr>
        <w:pStyle w:val="BodyText"/>
      </w:pPr>
      <w:r>
        <w:t>Table S2. Species-specific bark thickness regression equations.</w:t>
      </w:r>
    </w:p>
    <w:p w14:paraId="1D09BBB6" w14:textId="77777777" w:rsidR="006B51FB" w:rsidRDefault="00D64B2B">
      <w:pPr>
        <w:pStyle w:val="BodyText"/>
      </w:pPr>
      <w:r>
        <w:t>Table S3. Species-specific height regression equations.</w:t>
      </w:r>
    </w:p>
    <w:p w14:paraId="1972F75B" w14:textId="77777777" w:rsidR="006B51FB" w:rsidRDefault="00D64B2B">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6A882769" w14:textId="77777777" w:rsidR="006B51FB" w:rsidRDefault="00D64B2B">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045CE0AF" w14:textId="77777777" w:rsidR="006B51FB" w:rsidRDefault="00D64B2B">
      <w:pPr>
        <w:pStyle w:val="BodyText"/>
      </w:pPr>
      <w:r>
        <w:t>Table S6. Individual tests of species traits as drivers of drought recovery (</w:t>
      </w:r>
      <m:oMath>
        <m:r>
          <w:rPr>
            <w:rFonts w:ascii="Cambria Math" w:hAnsi="Cambria Math"/>
          </w:rPr>
          <m:t>Rc</m:t>
        </m:r>
      </m:oMath>
      <w:r>
        <w:t>).</w:t>
      </w:r>
    </w:p>
    <w:p w14:paraId="7A243E83" w14:textId="77777777" w:rsidR="006B51FB" w:rsidRDefault="00D64B2B">
      <w:pPr>
        <w:pStyle w:val="BodyText"/>
      </w:pPr>
      <w:r>
        <w:t>Table S7. Individual tests of species traits as drivers of drought resilience (</w:t>
      </w:r>
      <m:oMath>
        <m:r>
          <w:rPr>
            <w:rFonts w:ascii="Cambria Math" w:hAnsi="Cambria Math"/>
          </w:rPr>
          <m:t>Rs</m:t>
        </m:r>
      </m:oMath>
      <w:r>
        <w:t>).</w:t>
      </w:r>
    </w:p>
    <w:p w14:paraId="5B7F167B" w14:textId="77777777" w:rsidR="006B51FB" w:rsidRDefault="00D64B2B">
      <w:pPr>
        <w:pStyle w:val="BodyText"/>
      </w:pPr>
      <w:r>
        <w:t xml:space="preserve">Table S8. Summary of top full models for each drought instance, where </w:t>
      </w:r>
      <m:oMath>
        <m:r>
          <w:rPr>
            <w:rFonts w:ascii="Cambria Math" w:hAnsi="Cambria Math"/>
          </w:rPr>
          <m:t>Rt</m:t>
        </m:r>
      </m:oMath>
      <w:r>
        <w:t xml:space="preserve"> is used as the response variable.</w:t>
      </w:r>
    </w:p>
    <w:p w14:paraId="358E664B" w14:textId="77777777" w:rsidR="006B51FB" w:rsidRDefault="00D64B2B">
      <w:pPr>
        <w:pStyle w:val="BodyText"/>
      </w:pPr>
      <w:r>
        <w:t xml:space="preserve">Table S9.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32F71D85" w14:textId="77777777" w:rsidR="006B51FB" w:rsidRDefault="00D64B2B">
      <w:pPr>
        <w:pStyle w:val="BodyText"/>
      </w:pPr>
      <w:r>
        <w:t xml:space="preserve">Table S10. Summary of top models for each drought instance, where </w:t>
      </w:r>
      <m:oMath>
        <m:r>
          <w:rPr>
            <w:rFonts w:ascii="Cambria Math" w:hAnsi="Cambria Math"/>
          </w:rPr>
          <m:t>Rc</m:t>
        </m:r>
      </m:oMath>
      <w:r>
        <w:t xml:space="preserve"> is used as the response variable.</w:t>
      </w:r>
    </w:p>
    <w:p w14:paraId="4D343BBA" w14:textId="77777777" w:rsidR="006B51FB" w:rsidRDefault="00D64B2B">
      <w:pPr>
        <w:pStyle w:val="BodyText"/>
      </w:pPr>
      <w:r>
        <w:t xml:space="preserve">Table S11. Summary of top models for each drought instance, where </w:t>
      </w:r>
      <m:oMath>
        <m:r>
          <w:rPr>
            <w:rFonts w:ascii="Cambria Math" w:hAnsi="Cambria Math"/>
          </w:rPr>
          <m:t>Rs</m:t>
        </m:r>
      </m:oMath>
      <w:r>
        <w:t xml:space="preserve"> is used as the response variable.</w:t>
      </w:r>
    </w:p>
    <w:p w14:paraId="67E42230" w14:textId="77777777" w:rsidR="006B51FB" w:rsidRDefault="00D64B2B">
      <w:pPr>
        <w:pStyle w:val="BodyText"/>
      </w:pPr>
      <w:r>
        <w:t>Figure S1. Time series of Palmer Drought Severity Index (PDSI) for the 2 years prior and after each focal drought.</w:t>
      </w:r>
    </w:p>
    <w:p w14:paraId="3600808D" w14:textId="77777777" w:rsidR="006B51FB" w:rsidRDefault="00D64B2B">
      <w:pPr>
        <w:pStyle w:val="BodyText"/>
      </w:pPr>
      <w:r>
        <w:t>Figure S2. Map of ForestGEO plot showing topographic wetness index and location of cored trees.</w:t>
      </w:r>
    </w:p>
    <w:p w14:paraId="4C507764" w14:textId="77777777" w:rsidR="006B51FB" w:rsidRDefault="00D64B2B">
      <w:pPr>
        <w:pStyle w:val="BodyText"/>
      </w:pPr>
      <w:r>
        <w:t>Figure S3. Distribution of reconstructed tree heights across drought years.</w:t>
      </w:r>
    </w:p>
    <w:p w14:paraId="46010CD2" w14:textId="77777777" w:rsidR="006B51FB" w:rsidRDefault="00D64B2B">
      <w:pPr>
        <w:pStyle w:val="BodyText"/>
      </w:pPr>
      <w:r>
        <w:t>Figure S4. Distribution of independent variables by species.</w:t>
      </w:r>
    </w:p>
    <w:p w14:paraId="3155B7CC" w14:textId="77777777" w:rsidR="006B51FB" w:rsidRDefault="00D64B2B">
      <w:pPr>
        <w:pStyle w:val="BodyText"/>
      </w:pPr>
      <w:r>
        <w:lastRenderedPageBreak/>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4078C8FA" w14:textId="77777777" w:rsidR="006B51FB" w:rsidRDefault="00D64B2B">
      <w:pPr>
        <w:pStyle w:val="BodyText"/>
      </w:pPr>
      <w:r>
        <w:t>Figure S6. Density plot of Recovery (</w:t>
      </w:r>
      <m:oMath>
        <m:r>
          <w:rPr>
            <w:rFonts w:ascii="Cambria Math" w:hAnsi="Cambria Math"/>
          </w:rPr>
          <m:t>Rc</m:t>
        </m:r>
      </m:oMath>
      <w:r>
        <w:t>) values for each focal year.</w:t>
      </w:r>
    </w:p>
    <w:p w14:paraId="74C2FDAD" w14:textId="77777777" w:rsidR="006B51FB" w:rsidRDefault="00D64B2B">
      <w:pPr>
        <w:pStyle w:val="BodyText"/>
      </w:pPr>
      <w:r>
        <w:t xml:space="preserve">Figure S7. Drought recovery, </w:t>
      </w:r>
      <m:oMath>
        <m:r>
          <w:rPr>
            <w:rFonts w:ascii="Cambria Math" w:hAnsi="Cambria Math"/>
          </w:rPr>
          <m:t>Rc</m:t>
        </m:r>
      </m:oMath>
      <w:r>
        <w:t>, across species for the three focal droughts.</w:t>
      </w:r>
    </w:p>
    <w:p w14:paraId="778AD466" w14:textId="77777777" w:rsidR="006B51FB" w:rsidRDefault="00D64B2B">
      <w:pPr>
        <w:pStyle w:val="BodyText"/>
      </w:pPr>
      <w:r>
        <w:t>Methods S1. Further Package Citations</w:t>
      </w:r>
    </w:p>
    <w:p w14:paraId="24034551" w14:textId="77777777" w:rsidR="006B51FB" w:rsidRDefault="00D64B2B">
      <w:r>
        <w:br w:type="page"/>
      </w:r>
    </w:p>
    <w:p w14:paraId="2C86FC6F" w14:textId="77777777" w:rsidR="006B51FB" w:rsidRDefault="00D64B2B">
      <w:pPr>
        <w:pStyle w:val="Heading3"/>
      </w:pPr>
      <w:bookmarkStart w:id="10" w:name="references"/>
      <w:r>
        <w:lastRenderedPageBreak/>
        <w:t>References</w:t>
      </w:r>
      <w:bookmarkEnd w:id="10"/>
    </w:p>
    <w:p w14:paraId="518EF727" w14:textId="77777777" w:rsidR="006B51FB" w:rsidRDefault="00D64B2B">
      <w:pPr>
        <w:pStyle w:val="Bibliography"/>
      </w:pPr>
      <w:bookmarkStart w:id="11" w:name="ref-abrams_adaptations_1990"/>
      <w:bookmarkStart w:id="12" w:name="refs"/>
      <w:r>
        <w:t xml:space="preserve">Abrams, Marc D. 1990. “Adaptations and Responses to Drought in Quercus Species of North America.” </w:t>
      </w:r>
      <w:r>
        <w:rPr>
          <w:i/>
        </w:rPr>
        <w:t>Tree Physiology</w:t>
      </w:r>
      <w:r>
        <w:t xml:space="preserve"> 7 (1-2-3-4): 227–38. </w:t>
      </w:r>
      <w:hyperlink r:id="rId18">
        <w:r>
          <w:t>https://doi.org/10.1093/treephys/7.1-2-3-4.227</w:t>
        </w:r>
      </w:hyperlink>
      <w:r>
        <w:t>.</w:t>
      </w:r>
    </w:p>
    <w:p w14:paraId="74AC8249" w14:textId="77777777" w:rsidR="006B51FB" w:rsidRDefault="00D64B2B">
      <w:pPr>
        <w:pStyle w:val="Bibliography"/>
      </w:pPr>
      <w:bookmarkStart w:id="13" w:name="ref-allen_underestimation_2015"/>
      <w:bookmarkEnd w:id="11"/>
      <w:r>
        <w:t xml:space="preserve">Allen, Craig D., David D. </w:t>
      </w:r>
      <w:proofErr w:type="spellStart"/>
      <w:r>
        <w:t>Breshears</w:t>
      </w:r>
      <w:proofErr w:type="spellEnd"/>
      <w:r>
        <w:t xml:space="preserve">, and Nate G. McDowell. 2015. “On Underestimation of Global Vulnerability to Tree Mortality and Forest Die-Off from Hotter Drought in the Anthropocene.” </w:t>
      </w:r>
      <w:r>
        <w:rPr>
          <w:i/>
        </w:rPr>
        <w:t>Ecosphere</w:t>
      </w:r>
      <w:r>
        <w:t xml:space="preserve"> 6 (8). </w:t>
      </w:r>
      <w:hyperlink r:id="rId19">
        <w:r>
          <w:t>https://doi.org/10.1890/ES15-00203.1</w:t>
        </w:r>
      </w:hyperlink>
      <w:r>
        <w:t>.</w:t>
      </w:r>
    </w:p>
    <w:p w14:paraId="190F12AC" w14:textId="77777777" w:rsidR="006B51FB" w:rsidRDefault="00D64B2B">
      <w:pPr>
        <w:pStyle w:val="Bibliography"/>
      </w:pPr>
      <w:bookmarkStart w:id="14" w:name="ref-allen_global_2010"/>
      <w:bookmarkEnd w:id="13"/>
      <w:r>
        <w:t xml:space="preserve">Allen, Craig D., Alison K. </w:t>
      </w:r>
      <w:proofErr w:type="spellStart"/>
      <w:r>
        <w:t>Macalady</w:t>
      </w:r>
      <w:proofErr w:type="spellEnd"/>
      <w:r>
        <w:t xml:space="preserve">, Haroun </w:t>
      </w:r>
      <w:proofErr w:type="spellStart"/>
      <w:r>
        <w:t>Chenchouni</w:t>
      </w:r>
      <w:proofErr w:type="spellEnd"/>
      <w:r>
        <w:t xml:space="preserve">, Dominique Bachelet, Nate McDowell, Michel </w:t>
      </w:r>
      <w:proofErr w:type="spellStart"/>
      <w:r>
        <w:t>Vennetier</w:t>
      </w:r>
      <w:proofErr w:type="spellEnd"/>
      <w:r>
        <w:t xml:space="preserve">, Thomas </w:t>
      </w:r>
      <w:proofErr w:type="spellStart"/>
      <w:r>
        <w:t>Kitzberger</w:t>
      </w:r>
      <w:proofErr w:type="spellEnd"/>
      <w:r>
        <w:t xml:space="preserve">, et al. 2010. “A Global Overview of Drought and Heat-Induced Tree Mortality Reveals Emerging Climate Change Risks for Forests.” </w:t>
      </w:r>
      <w:r>
        <w:rPr>
          <w:i/>
        </w:rPr>
        <w:t>Forest Ecology and Management</w:t>
      </w:r>
      <w:r>
        <w:t xml:space="preserve">, Adaptation of Forests and Forest Management to Changing Climate, 259 (4): 660–84. </w:t>
      </w:r>
      <w:hyperlink r:id="rId20">
        <w:r>
          <w:t>https://doi.org/10.1016/j.foreco.2009.09.001</w:t>
        </w:r>
      </w:hyperlink>
      <w:r>
        <w:t>.</w:t>
      </w:r>
    </w:p>
    <w:p w14:paraId="724C168A" w14:textId="77777777" w:rsidR="006B51FB" w:rsidRDefault="00D64B2B">
      <w:pPr>
        <w:pStyle w:val="Bibliography"/>
      </w:pPr>
      <w:bookmarkStart w:id="15" w:name="ref-anderegg_meta-analysis_2016"/>
      <w:bookmarkEnd w:id="14"/>
      <w:r>
        <w:t xml:space="preserve">Anderegg, William R. L., Tamir Klein, Megan Bartlett, </w:t>
      </w:r>
      <w:proofErr w:type="spellStart"/>
      <w:r>
        <w:t>Lawren</w:t>
      </w:r>
      <w:proofErr w:type="spellEnd"/>
      <w:r>
        <w:t xml:space="preserve"> Sack, Adam F. A. Pellegrini, Brendan </w:t>
      </w:r>
      <w:proofErr w:type="spellStart"/>
      <w:r>
        <w:t>Choat</w:t>
      </w:r>
      <w:proofErr w:type="spellEnd"/>
      <w:r>
        <w:t xml:space="preserve">, and Steven Jansen. 2016. “Meta-Analysis Reveals That Hydraulic Traits Explain Cross-Species Patterns of Drought-Induced Tree Mortality Across the Globe.” </w:t>
      </w:r>
      <w:r>
        <w:rPr>
          <w:i/>
        </w:rPr>
        <w:t>Proceedings of the National Academy of Sciences</w:t>
      </w:r>
      <w:r>
        <w:t xml:space="preserve"> 113 (18): 5024–9. </w:t>
      </w:r>
      <w:hyperlink r:id="rId21">
        <w:r>
          <w:t>https://doi.org/10.1073/pnas.1525678113</w:t>
        </w:r>
      </w:hyperlink>
      <w:r>
        <w:t>.</w:t>
      </w:r>
    </w:p>
    <w:p w14:paraId="6C09A5F7" w14:textId="77777777" w:rsidR="006B51FB" w:rsidRPr="00D64B2B" w:rsidRDefault="00D64B2B">
      <w:pPr>
        <w:pStyle w:val="Bibliography"/>
        <w:rPr>
          <w:lang w:val="da-DK"/>
        </w:rPr>
      </w:pPr>
      <w:bookmarkStart w:id="16" w:name="ref-andersonteixeira_ctfs-forestgeo_2015"/>
      <w:bookmarkEnd w:id="15"/>
      <w:r w:rsidRPr="00D64B2B">
        <w:rPr>
          <w:lang w:val="da-DK"/>
        </w:rPr>
        <w:t xml:space="preserve">Anderson‐Teixeira, Kristina J., Stuart J. Davies, Amy C. Bennett, Erika B. Gonzalez‐Akre, Helene C. Muller‐Landau, S. Joseph Wright, </w:t>
      </w:r>
      <w:proofErr w:type="spellStart"/>
      <w:r w:rsidRPr="00D64B2B">
        <w:rPr>
          <w:lang w:val="da-DK"/>
        </w:rPr>
        <w:t>Kamariah</w:t>
      </w:r>
      <w:proofErr w:type="spellEnd"/>
      <w:r w:rsidRPr="00D64B2B">
        <w:rPr>
          <w:lang w:val="da-DK"/>
        </w:rPr>
        <w:t xml:space="preserve"> Abu Salim, et al. 2015. </w:t>
      </w:r>
      <w:r>
        <w:t xml:space="preserve">“CTFS-ForestGEO: A Worldwide Network Monitoring Forests in an Era of Global Change.” </w:t>
      </w:r>
      <w:r w:rsidRPr="00D64B2B">
        <w:rPr>
          <w:i/>
          <w:lang w:val="da-DK"/>
        </w:rPr>
        <w:t>Global Change Biology</w:t>
      </w:r>
      <w:r w:rsidRPr="00D64B2B">
        <w:rPr>
          <w:lang w:val="da-DK"/>
        </w:rPr>
        <w:t xml:space="preserve"> 21 (2): 528–49. </w:t>
      </w:r>
      <w:hyperlink r:id="rId22">
        <w:r w:rsidRPr="00D64B2B">
          <w:rPr>
            <w:lang w:val="da-DK"/>
          </w:rPr>
          <w:t>https://doi.org/10.1111/gcb.12712</w:t>
        </w:r>
      </w:hyperlink>
      <w:r w:rsidRPr="00D64B2B">
        <w:rPr>
          <w:lang w:val="da-DK"/>
        </w:rPr>
        <w:t>.</w:t>
      </w:r>
    </w:p>
    <w:p w14:paraId="4930DC0E" w14:textId="77777777" w:rsidR="006B51FB" w:rsidRDefault="00D64B2B">
      <w:pPr>
        <w:pStyle w:val="Bibliography"/>
      </w:pPr>
      <w:bookmarkStart w:id="17" w:name="ref-andersonteixeira_size-related_2015"/>
      <w:bookmarkEnd w:id="16"/>
      <w:r w:rsidRPr="00D64B2B">
        <w:rPr>
          <w:lang w:val="da-DK"/>
        </w:rPr>
        <w:t xml:space="preserve">Anderson‐Teixeira, Kristina J., Jennifer C. </w:t>
      </w:r>
      <w:proofErr w:type="spellStart"/>
      <w:r w:rsidRPr="00D64B2B">
        <w:rPr>
          <w:lang w:val="da-DK"/>
        </w:rPr>
        <w:t>McGarvey</w:t>
      </w:r>
      <w:proofErr w:type="spellEnd"/>
      <w:r w:rsidRPr="00D64B2B">
        <w:rPr>
          <w:lang w:val="da-DK"/>
        </w:rPr>
        <w:t xml:space="preserve">, Helene C. Muller‐Landau, Janice Y. Park, Erika B. Gonzalez‐Akre, Valentine Herrmann, Amy C. Bennett, et al. 2015. </w:t>
      </w:r>
      <w:r>
        <w:t xml:space="preserve">“Size-Related Scaling of Tree Form and Function in a Mixed-Age Forest.” </w:t>
      </w:r>
      <w:r>
        <w:rPr>
          <w:i/>
        </w:rPr>
        <w:t>Functional Ecology</w:t>
      </w:r>
      <w:r>
        <w:t xml:space="preserve"> 29 (12): 1587–1602. </w:t>
      </w:r>
      <w:hyperlink r:id="rId23">
        <w:r>
          <w:t>https://doi.org/10.1111/1365-2435.12470</w:t>
        </w:r>
      </w:hyperlink>
      <w:r>
        <w:t>.</w:t>
      </w:r>
    </w:p>
    <w:p w14:paraId="7276F181" w14:textId="77777777" w:rsidR="006B51FB" w:rsidRDefault="00D64B2B">
      <w:pPr>
        <w:pStyle w:val="Bibliography"/>
      </w:pPr>
      <w:bookmarkStart w:id="18" w:name="ref-bartlett_correlations_2016"/>
      <w:bookmarkEnd w:id="17"/>
      <w:r>
        <w:t xml:space="preserve">Bartlett, Megan K., Tamir Klein, Steven Jansen, Brendan </w:t>
      </w:r>
      <w:proofErr w:type="spellStart"/>
      <w:r>
        <w:t>Choat</w:t>
      </w:r>
      <w:proofErr w:type="spellEnd"/>
      <w:r>
        <w:t xml:space="preserve">, and </w:t>
      </w:r>
      <w:proofErr w:type="spellStart"/>
      <w:r>
        <w:t>Lawren</w:t>
      </w:r>
      <w:proofErr w:type="spellEnd"/>
      <w:r>
        <w:t xml:space="preserve"> Sack. 2016a. “The Correlations and Sequence of Plant Stomatal, Hydraulic, and Wilting Responses to Drought.” </w:t>
      </w:r>
      <w:r>
        <w:rPr>
          <w:i/>
        </w:rPr>
        <w:t>Proceedings of the National Academy of Sciences</w:t>
      </w:r>
      <w:r>
        <w:t xml:space="preserve"> 113 (46): 13098–13103. </w:t>
      </w:r>
      <w:hyperlink r:id="rId24">
        <w:r>
          <w:t>https://doi.org/10.1073/pnas.1604088113</w:t>
        </w:r>
      </w:hyperlink>
      <w:r>
        <w:t>.</w:t>
      </w:r>
    </w:p>
    <w:p w14:paraId="581BDBB2" w14:textId="77777777" w:rsidR="006B51FB" w:rsidRDefault="00D64B2B">
      <w:pPr>
        <w:pStyle w:val="Bibliography"/>
      </w:pPr>
      <w:bookmarkStart w:id="19" w:name="ref-bartlett_rapid_2012"/>
      <w:bookmarkEnd w:id="18"/>
      <w:r>
        <w:t xml:space="preserve">Bartlett, Megan K., Christine </w:t>
      </w:r>
      <w:proofErr w:type="spellStart"/>
      <w:r>
        <w:t>Scoffoni</w:t>
      </w:r>
      <w:proofErr w:type="spellEnd"/>
      <w:r>
        <w:t xml:space="preserve">, Rico </w:t>
      </w:r>
      <w:proofErr w:type="spellStart"/>
      <w:r>
        <w:t>Ardy</w:t>
      </w:r>
      <w:proofErr w:type="spellEnd"/>
      <w:r>
        <w:t xml:space="preserve">, </w:t>
      </w:r>
      <w:proofErr w:type="spellStart"/>
      <w:r>
        <w:t>Ya</w:t>
      </w:r>
      <w:proofErr w:type="spellEnd"/>
      <w:r>
        <w:t xml:space="preserve"> Zhang, </w:t>
      </w:r>
      <w:proofErr w:type="spellStart"/>
      <w:r>
        <w:t>Shanwen</w:t>
      </w:r>
      <w:proofErr w:type="spellEnd"/>
      <w:r>
        <w:t xml:space="preserve"> Sun, </w:t>
      </w:r>
      <w:proofErr w:type="spellStart"/>
      <w:r>
        <w:t>Kunfang</w:t>
      </w:r>
      <w:proofErr w:type="spellEnd"/>
      <w:r>
        <w:t xml:space="preserve"> Cao, and </w:t>
      </w:r>
      <w:proofErr w:type="spellStart"/>
      <w:r>
        <w:t>Lawren</w:t>
      </w:r>
      <w:proofErr w:type="spellEnd"/>
      <w:r>
        <w:t xml:space="preserve"> Sack. 2012. “Rapid Determination of Comparative Drought Tolerance Traits: Using an Osmometer to Predict Turgor Loss Point.” </w:t>
      </w:r>
      <w:r>
        <w:rPr>
          <w:i/>
        </w:rPr>
        <w:t>Methods in Ecology and Evolution</w:t>
      </w:r>
      <w:r>
        <w:t xml:space="preserve"> 3 (5): 880–88. </w:t>
      </w:r>
      <w:hyperlink r:id="rId25">
        <w:r>
          <w:t>https://doi.org/10.1111/j.2041-210X.2012.00230.x</w:t>
        </w:r>
      </w:hyperlink>
      <w:r>
        <w:t>.</w:t>
      </w:r>
    </w:p>
    <w:p w14:paraId="3FC822FE" w14:textId="77777777" w:rsidR="006B51FB" w:rsidRDefault="00D64B2B">
      <w:pPr>
        <w:pStyle w:val="Bibliography"/>
      </w:pPr>
      <w:bookmarkStart w:id="20" w:name="ref-bartlett_drought_2016"/>
      <w:bookmarkEnd w:id="19"/>
      <w:r>
        <w:t xml:space="preserve">Bartlett, M. K., Y. Zhang, J. Yang, N. </w:t>
      </w:r>
      <w:proofErr w:type="spellStart"/>
      <w:r>
        <w:t>Kreidler</w:t>
      </w:r>
      <w:proofErr w:type="spellEnd"/>
      <w:r>
        <w:t xml:space="preserve">, S.-W. Sun, L. Lin, Y.-H. Hu, K.-F. Cao, and L. Sack. 2016b. “Drought Tolerance as a Driver of Tropical Forest Assembly: Resolving Spatial Signatures for Multiple Processes.” </w:t>
      </w:r>
      <w:r>
        <w:rPr>
          <w:i/>
        </w:rPr>
        <w:t>Ecology</w:t>
      </w:r>
      <w:r>
        <w:t xml:space="preserve"> 97 (2): 503–14. </w:t>
      </w:r>
      <w:hyperlink r:id="rId26">
        <w:r>
          <w:t>https://doi.org/10.1890/15-0468.1</w:t>
        </w:r>
      </w:hyperlink>
      <w:r>
        <w:t>.</w:t>
      </w:r>
    </w:p>
    <w:p w14:paraId="7BF33041" w14:textId="77777777" w:rsidR="006B51FB" w:rsidRDefault="00D64B2B">
      <w:pPr>
        <w:pStyle w:val="Bibliography"/>
      </w:pPr>
      <w:bookmarkStart w:id="21" w:name="ref-R-lme4"/>
      <w:bookmarkEnd w:id="20"/>
      <w:r>
        <w:t xml:space="preserve">Bates, Douglas, Martin </w:t>
      </w:r>
      <w:proofErr w:type="spellStart"/>
      <w:r>
        <w:t>Maechler</w:t>
      </w:r>
      <w:proofErr w:type="spellEnd"/>
      <w:r>
        <w:t xml:space="preserve">, Ben </w:t>
      </w:r>
      <w:proofErr w:type="spellStart"/>
      <w:r>
        <w:t>Bolker</w:t>
      </w:r>
      <w:proofErr w:type="spellEnd"/>
      <w:r>
        <w:t xml:space="preserve">, and Steven Walker. 2019. </w:t>
      </w:r>
      <w:r>
        <w:rPr>
          <w:i/>
        </w:rPr>
        <w:t>Lme4: Linear Mixed-Effects Models Using ’Eigen’ and S4</w:t>
      </w:r>
      <w:r>
        <w:t xml:space="preserve">. </w:t>
      </w:r>
      <w:hyperlink r:id="rId27">
        <w:r>
          <w:t>https://CRAN.R-project.org/package=lme4</w:t>
        </w:r>
      </w:hyperlink>
      <w:r>
        <w:t>.</w:t>
      </w:r>
    </w:p>
    <w:p w14:paraId="3B8F207B" w14:textId="77777777" w:rsidR="006B51FB" w:rsidRDefault="00D64B2B">
      <w:pPr>
        <w:pStyle w:val="Bibliography"/>
      </w:pPr>
      <w:bookmarkStart w:id="22" w:name="ref-bennett_larger_2015"/>
      <w:bookmarkEnd w:id="21"/>
      <w:r>
        <w:t xml:space="preserve">Bennett, Amy C., Nathan G. McDowell, Craig D. Allen, and Kristina J. Anderson-Teixeira. 2015. “Larger Trees Suffer Most During Drought in Forests Worldwide.” </w:t>
      </w:r>
      <w:r>
        <w:rPr>
          <w:i/>
        </w:rPr>
        <w:t>Nature Plants</w:t>
      </w:r>
      <w:r>
        <w:t xml:space="preserve"> 1 (10): 15139. </w:t>
      </w:r>
      <w:hyperlink r:id="rId28">
        <w:r>
          <w:t>https://doi.org/10.1038/nplants.2015.139</w:t>
        </w:r>
      </w:hyperlink>
      <w:r>
        <w:t>.</w:t>
      </w:r>
    </w:p>
    <w:p w14:paraId="7CDDD3B0" w14:textId="77777777" w:rsidR="006B51FB" w:rsidRDefault="00D64B2B">
      <w:pPr>
        <w:pStyle w:val="Bibliography"/>
      </w:pPr>
      <w:bookmarkStart w:id="23" w:name="ref-beven_physically_1979"/>
      <w:bookmarkEnd w:id="22"/>
      <w:proofErr w:type="spellStart"/>
      <w:r>
        <w:lastRenderedPageBreak/>
        <w:t>Beven</w:t>
      </w:r>
      <w:proofErr w:type="spellEnd"/>
      <w:r>
        <w:t xml:space="preserve">, K. J., and M. J. </w:t>
      </w:r>
      <w:proofErr w:type="spellStart"/>
      <w:r>
        <w:t>Kirkby</w:t>
      </w:r>
      <w:proofErr w:type="spellEnd"/>
      <w:r>
        <w:t xml:space="preserve">. 1979. “A Physically Based, Variable Contributing Area Model of Basin Hydrology / Un </w:t>
      </w:r>
      <w:proofErr w:type="spellStart"/>
      <w:r>
        <w:t>Modèle</w:t>
      </w:r>
      <w:proofErr w:type="spellEnd"/>
      <w:r>
        <w:t xml:space="preserve"> à Base Physique de Zone </w:t>
      </w:r>
      <w:proofErr w:type="spellStart"/>
      <w:r>
        <w:t>d’appel</w:t>
      </w:r>
      <w:proofErr w:type="spellEnd"/>
      <w:r>
        <w:t xml:space="preserve"> Variable de </w:t>
      </w:r>
      <w:proofErr w:type="spellStart"/>
      <w:r>
        <w:t>L’hydrologie</w:t>
      </w:r>
      <w:proofErr w:type="spellEnd"/>
      <w:r>
        <w:t xml:space="preserve"> Du </w:t>
      </w:r>
      <w:proofErr w:type="spellStart"/>
      <w:r>
        <w:t>Bassin</w:t>
      </w:r>
      <w:proofErr w:type="spellEnd"/>
      <w:r>
        <w:t xml:space="preserve"> Versant.” </w:t>
      </w:r>
      <w:r>
        <w:rPr>
          <w:i/>
        </w:rPr>
        <w:t>Hydrological Sciences Bulletin</w:t>
      </w:r>
      <w:r>
        <w:t xml:space="preserve"> 24 (1): 43–69. </w:t>
      </w:r>
      <w:hyperlink r:id="rId29">
        <w:r>
          <w:t>https://doi.org/10.1080/02626667909491834</w:t>
        </w:r>
      </w:hyperlink>
      <w:r>
        <w:t>.</w:t>
      </w:r>
    </w:p>
    <w:p w14:paraId="650F124D" w14:textId="77777777" w:rsidR="006B51FB" w:rsidRDefault="00D64B2B">
      <w:pPr>
        <w:pStyle w:val="Bibliography"/>
      </w:pPr>
      <w:bookmarkStart w:id="24" w:name="ref-bonan_forests_2008"/>
      <w:bookmarkEnd w:id="23"/>
      <w:proofErr w:type="spellStart"/>
      <w:r>
        <w:t>Bonan</w:t>
      </w:r>
      <w:proofErr w:type="spellEnd"/>
      <w:r>
        <w:t xml:space="preserve">, Gordon B. 2008. “Forests and Climate Change: </w:t>
      </w:r>
      <w:proofErr w:type="spellStart"/>
      <w:r>
        <w:t>Forcings</w:t>
      </w:r>
      <w:proofErr w:type="spellEnd"/>
      <w:r>
        <w:t xml:space="preserve">, Feedbacks, and the Climate Benefits of Forests.” </w:t>
      </w:r>
      <w:r>
        <w:rPr>
          <w:i/>
        </w:rPr>
        <w:t>Science</w:t>
      </w:r>
      <w:r>
        <w:t xml:space="preserve"> 320 (5882): 1444–9. </w:t>
      </w:r>
      <w:hyperlink r:id="rId30">
        <w:r>
          <w:t>https://doi.org/10.1126/science.1155121</w:t>
        </w:r>
      </w:hyperlink>
      <w:r>
        <w:t>.</w:t>
      </w:r>
    </w:p>
    <w:p w14:paraId="0E3E0E7C" w14:textId="77777777" w:rsidR="006B51FB" w:rsidRDefault="00D64B2B">
      <w:pPr>
        <w:pStyle w:val="Bibliography"/>
      </w:pPr>
      <w:bookmarkStart w:id="25" w:name="ref-bourg_initial_2013"/>
      <w:bookmarkEnd w:id="24"/>
      <w:r>
        <w:t xml:space="preserve">Bourg, Norman A., William J. McShea, Jonathan R. Thompson, Jennifer C. McGarvey, and </w:t>
      </w:r>
      <w:proofErr w:type="spellStart"/>
      <w:r>
        <w:t>Xiaoli</w:t>
      </w:r>
      <w:proofErr w:type="spellEnd"/>
      <w:r>
        <w:t xml:space="preserve"> Shen. 2013. “Initial Census, Woody Seedling, Seed Rain, and Stand Structure Data for the SCBI SIGEO Large Forest Dynamics Plot.” </w:t>
      </w:r>
      <w:r>
        <w:rPr>
          <w:i/>
        </w:rPr>
        <w:t>Ecology</w:t>
      </w:r>
      <w:r>
        <w:t xml:space="preserve"> 94 (9): 2111–2. </w:t>
      </w:r>
      <w:hyperlink r:id="rId31">
        <w:r>
          <w:t>https://doi.org/10.1890/13-0010.1</w:t>
        </w:r>
      </w:hyperlink>
      <w:r>
        <w:t>.</w:t>
      </w:r>
    </w:p>
    <w:p w14:paraId="7DBE5DD8" w14:textId="77777777" w:rsidR="006B51FB" w:rsidRDefault="00D64B2B">
      <w:pPr>
        <w:pStyle w:val="Bibliography"/>
      </w:pPr>
      <w:bookmarkStart w:id="26" w:name="ref-bretfeld_plant_2018"/>
      <w:bookmarkEnd w:id="25"/>
      <w:proofErr w:type="spellStart"/>
      <w:r>
        <w:t>Bretfeld</w:t>
      </w:r>
      <w:proofErr w:type="spellEnd"/>
      <w:r>
        <w:t xml:space="preserve">, Mario, Brent E. Ewers, and Jefferson S. Hall. 2018. “Plant Water Use Responses Along Secondary Forest Succession During the 2015–2016 El Niño Drought in Panama.” </w:t>
      </w:r>
      <w:r>
        <w:rPr>
          <w:i/>
        </w:rPr>
        <w:t>New Phytologist</w:t>
      </w:r>
      <w:r>
        <w:t xml:space="preserve"> 219 (3): 885–99. </w:t>
      </w:r>
      <w:hyperlink r:id="rId32">
        <w:r>
          <w:t>https://doi.org/10.1111/nph.15071</w:t>
        </w:r>
      </w:hyperlink>
      <w:r>
        <w:t>.</w:t>
      </w:r>
    </w:p>
    <w:p w14:paraId="0B232D85" w14:textId="77777777" w:rsidR="006B51FB" w:rsidRDefault="00D64B2B">
      <w:pPr>
        <w:pStyle w:val="Bibliography"/>
      </w:pPr>
      <w:bookmarkStart w:id="27" w:name="ref-brewer_relative_2016"/>
      <w:bookmarkEnd w:id="26"/>
      <w:r>
        <w:t xml:space="preserve">Brewer, Mark J., Adam Butler, and Susan L. </w:t>
      </w:r>
      <w:proofErr w:type="spellStart"/>
      <w:r>
        <w:t>Cooksley</w:t>
      </w:r>
      <w:proofErr w:type="spellEnd"/>
      <w:r>
        <w:t xml:space="preserve">. 2016. “The Relative Performance of AIC, AICC and BIC in the Presence of Unobserved Heterogeneity.” </w:t>
      </w:r>
      <w:r>
        <w:rPr>
          <w:i/>
        </w:rPr>
        <w:t>Methods in Ecology and Evolution</w:t>
      </w:r>
      <w:r>
        <w:t xml:space="preserve"> 7 (6): 679–92. </w:t>
      </w:r>
      <w:hyperlink r:id="rId33">
        <w:r>
          <w:t>https://doi.org/10.1111/2041-210X.12541</w:t>
        </w:r>
      </w:hyperlink>
      <w:r>
        <w:t>.</w:t>
      </w:r>
    </w:p>
    <w:p w14:paraId="5F95F924" w14:textId="77777777" w:rsidR="006B51FB" w:rsidRDefault="00D64B2B">
      <w:pPr>
        <w:pStyle w:val="Bibliography"/>
      </w:pPr>
      <w:bookmarkStart w:id="28" w:name="ref-brum_hydrological_2019"/>
      <w:bookmarkEnd w:id="27"/>
      <w:r>
        <w:t xml:space="preserve">Brum, Mauro, Matthew A. Vadeboncoeur, </w:t>
      </w:r>
      <w:proofErr w:type="spellStart"/>
      <w:r>
        <w:t>Valeriy</w:t>
      </w:r>
      <w:proofErr w:type="spellEnd"/>
      <w:r>
        <w:t xml:space="preserve"> Ivanov, Heidi </w:t>
      </w:r>
      <w:proofErr w:type="spellStart"/>
      <w:r>
        <w:t>Asbjornsen</w:t>
      </w:r>
      <w:proofErr w:type="spellEnd"/>
      <w:r>
        <w:t xml:space="preserve">, Scott </w:t>
      </w:r>
      <w:proofErr w:type="spellStart"/>
      <w:r>
        <w:t>Saleska</w:t>
      </w:r>
      <w:proofErr w:type="spellEnd"/>
      <w:r>
        <w:t xml:space="preserve">, Luciana F. Alves, </w:t>
      </w:r>
      <w:proofErr w:type="spellStart"/>
      <w:r>
        <w:t>Deliane</w:t>
      </w:r>
      <w:proofErr w:type="spellEnd"/>
      <w:r>
        <w:t xml:space="preserve"> Penha, et al. 2019. “Hydrological Niche Segregation Defines Forest Structure and Drought Tolerance Strategies in a Seasonal Amazon Forest.” </w:t>
      </w:r>
      <w:r>
        <w:rPr>
          <w:i/>
        </w:rPr>
        <w:t>Journal of Ecology</w:t>
      </w:r>
      <w:r>
        <w:t xml:space="preserve"> 107 (1): 318–33. </w:t>
      </w:r>
      <w:hyperlink r:id="rId34">
        <w:r>
          <w:t>https://doi.org/10.1111/1365-2745.13022</w:t>
        </w:r>
      </w:hyperlink>
      <w:r>
        <w:t>.</w:t>
      </w:r>
    </w:p>
    <w:p w14:paraId="1783D244" w14:textId="77777777" w:rsidR="006B51FB" w:rsidRDefault="00D64B2B">
      <w:pPr>
        <w:pStyle w:val="Bibliography"/>
      </w:pPr>
      <w:bookmarkStart w:id="29" w:name="ref-campbell_introduction_1998"/>
      <w:bookmarkEnd w:id="28"/>
      <w:r>
        <w:t xml:space="preserve">Campbell, Gaylon S., and John M. Norman. 1998. </w:t>
      </w:r>
      <w:r>
        <w:rPr>
          <w:i/>
        </w:rPr>
        <w:t>An Introduction to Environmental Biophysics</w:t>
      </w:r>
      <w:r>
        <w:t>. Vol. 2nd. New York: Springer.</w:t>
      </w:r>
    </w:p>
    <w:p w14:paraId="37263BAB" w14:textId="77777777" w:rsidR="006B51FB" w:rsidRDefault="00D64B2B">
      <w:pPr>
        <w:pStyle w:val="Bibliography"/>
      </w:pPr>
      <w:bookmarkStart w:id="30" w:name="ref-chitratarak_roots_2018"/>
      <w:bookmarkEnd w:id="29"/>
      <w:r>
        <w:t>Chitra‐</w:t>
      </w:r>
      <w:proofErr w:type="spellStart"/>
      <w:r>
        <w:t>Tarak</w:t>
      </w:r>
      <w:proofErr w:type="spellEnd"/>
      <w:r>
        <w:t xml:space="preserve">, </w:t>
      </w:r>
      <w:proofErr w:type="spellStart"/>
      <w:r>
        <w:t>Rutuja</w:t>
      </w:r>
      <w:proofErr w:type="spellEnd"/>
      <w:r>
        <w:t xml:space="preserve">, Laurent Ruiz, </w:t>
      </w:r>
      <w:proofErr w:type="spellStart"/>
      <w:r>
        <w:t>Handanakere</w:t>
      </w:r>
      <w:proofErr w:type="spellEnd"/>
      <w:r>
        <w:t xml:space="preserve"> S. </w:t>
      </w:r>
      <w:proofErr w:type="spellStart"/>
      <w:r>
        <w:t>Dattaraja</w:t>
      </w:r>
      <w:proofErr w:type="spellEnd"/>
      <w:r>
        <w:t xml:space="preserve">, M. S. Mohan Kumar, Jean </w:t>
      </w:r>
      <w:proofErr w:type="spellStart"/>
      <w:r>
        <w:t>Riotte</w:t>
      </w:r>
      <w:proofErr w:type="spellEnd"/>
      <w:r>
        <w:t xml:space="preserve">, </w:t>
      </w:r>
      <w:proofErr w:type="spellStart"/>
      <w:r>
        <w:t>Hebbalalu</w:t>
      </w:r>
      <w:proofErr w:type="spellEnd"/>
      <w:r>
        <w:t xml:space="preserve"> S. Suresh, Sean M. McMahon, and Raman Sukumar. 2018. “The Roots of the Drought: Hydrology and Water Uptake Strategies Mediate Forest-Wide Demographic Response to Precipitation.” </w:t>
      </w:r>
      <w:r>
        <w:rPr>
          <w:i/>
        </w:rPr>
        <w:t>Journal of Ecology</w:t>
      </w:r>
      <w:r>
        <w:t xml:space="preserve"> 106 (4): 1495–1507. </w:t>
      </w:r>
      <w:hyperlink r:id="rId35">
        <w:r>
          <w:t>https://doi.org/10.1111/1365-2745.12925</w:t>
        </w:r>
      </w:hyperlink>
      <w:r>
        <w:t>.</w:t>
      </w:r>
    </w:p>
    <w:p w14:paraId="50CBD51A" w14:textId="77777777" w:rsidR="006B51FB" w:rsidRDefault="00D64B2B">
      <w:pPr>
        <w:pStyle w:val="Bibliography"/>
      </w:pPr>
      <w:bookmarkStart w:id="31" w:name="ref-christoffersen_linking_2016"/>
      <w:bookmarkEnd w:id="30"/>
      <w:proofErr w:type="spellStart"/>
      <w:r>
        <w:t>Christoffersen</w:t>
      </w:r>
      <w:proofErr w:type="spellEnd"/>
      <w:r>
        <w:t xml:space="preserve">, Bradley O., Manuel </w:t>
      </w:r>
      <w:proofErr w:type="spellStart"/>
      <w:r>
        <w:t>Gloor</w:t>
      </w:r>
      <w:proofErr w:type="spellEnd"/>
      <w:r>
        <w:t xml:space="preserve">, Sophie Fauset, Nikolaos M. </w:t>
      </w:r>
      <w:proofErr w:type="spellStart"/>
      <w:r>
        <w:t>Fyllas</w:t>
      </w:r>
      <w:proofErr w:type="spellEnd"/>
      <w:r>
        <w:t xml:space="preserve">, David R. Galbraith, Timothy R. Baker, Bart </w:t>
      </w:r>
      <w:proofErr w:type="spellStart"/>
      <w:r>
        <w:t>Kruijt</w:t>
      </w:r>
      <w:proofErr w:type="spellEnd"/>
      <w:r>
        <w:t xml:space="preserve">, et al. 2016. “Linking Hydraulic Traits to Tropical Forest Function in a Size-Structured and Trait-Driven Model (TFS V.1-Hydro).” </w:t>
      </w:r>
      <w:r>
        <w:rPr>
          <w:i/>
        </w:rPr>
        <w:t>Geoscientific Model Development</w:t>
      </w:r>
      <w:r>
        <w:t xml:space="preserve"> 9 (11): 4227–55. </w:t>
      </w:r>
      <w:hyperlink r:id="rId36">
        <w:r>
          <w:t>https://doi.org/https://doi.org/10.5194/gmd-9-4227-2016</w:t>
        </w:r>
      </w:hyperlink>
      <w:r>
        <w:t>.</w:t>
      </w:r>
    </w:p>
    <w:p w14:paraId="36BB3950" w14:textId="77777777" w:rsidR="006B51FB" w:rsidRDefault="00D64B2B">
      <w:pPr>
        <w:pStyle w:val="Bibliography"/>
      </w:pPr>
      <w:bookmarkStart w:id="32" w:name="ref-clark_impacts_2016"/>
      <w:bookmarkEnd w:id="31"/>
      <w:r>
        <w:t xml:space="preserve">Clark, James S., Louis Iverson, Christopher W. Woodall, Craig D. Allen, David M. Bell, Don C. Bragg, Anthony W. D’Amato, et al. 2016. “The Impacts of Increasing Drought on Forest Dynamics, Structure, and Biodiversity in the United States.” </w:t>
      </w:r>
      <w:r>
        <w:rPr>
          <w:i/>
        </w:rPr>
        <w:t>Global Change Biology</w:t>
      </w:r>
      <w:r>
        <w:t xml:space="preserve"> 22 (7): 2329–52. </w:t>
      </w:r>
      <w:hyperlink r:id="rId37">
        <w:r>
          <w:t>https://doi.org/10.1111/gcb.13160</w:t>
        </w:r>
      </w:hyperlink>
      <w:r>
        <w:t>.</w:t>
      </w:r>
    </w:p>
    <w:p w14:paraId="479276FF" w14:textId="77777777" w:rsidR="006B51FB" w:rsidRDefault="00D64B2B">
      <w:pPr>
        <w:pStyle w:val="Bibliography"/>
      </w:pPr>
      <w:bookmarkStart w:id="33" w:name="ref-condit_tropical_1998"/>
      <w:bookmarkEnd w:id="32"/>
      <w:r>
        <w:t xml:space="preserve">Condit, Richard. 1998. </w:t>
      </w:r>
      <w:r>
        <w:rPr>
          <w:i/>
        </w:rPr>
        <w:t>Tropical Forest Census Plots: Methods and Results from Barro Colorado Island, Panama and a Comparison with Other Plots</w:t>
      </w:r>
      <w:r>
        <w:t xml:space="preserve">. Berlin, Heidelberg: Springer Berlin Heidelberg. </w:t>
      </w:r>
      <w:hyperlink r:id="rId38">
        <w:r>
          <w:t>https://doi.org/10.1007/978-3-662-03664-8</w:t>
        </w:r>
      </w:hyperlink>
      <w:r>
        <w:t>.</w:t>
      </w:r>
    </w:p>
    <w:p w14:paraId="58EBF2AC" w14:textId="77777777" w:rsidR="006B51FB" w:rsidRDefault="00D64B2B">
      <w:pPr>
        <w:pStyle w:val="Bibliography"/>
      </w:pPr>
      <w:bookmarkStart w:id="34" w:name="ref-cook_unprecedented_2015"/>
      <w:bookmarkEnd w:id="33"/>
      <w:r>
        <w:t xml:space="preserve">Cook, Benjamin I., Toby R. Ault, and Jason E. </w:t>
      </w:r>
      <w:proofErr w:type="spellStart"/>
      <w:r>
        <w:t>Smerdon</w:t>
      </w:r>
      <w:proofErr w:type="spellEnd"/>
      <w:r>
        <w:t xml:space="preserve">. 2015. “Unprecedented 21st Century Drought Risk in the American Southwest and Central Plains.” </w:t>
      </w:r>
      <w:r>
        <w:rPr>
          <w:i/>
        </w:rPr>
        <w:t>Science Advances</w:t>
      </w:r>
      <w:r>
        <w:t xml:space="preserve"> 1 (1): e1400082. </w:t>
      </w:r>
      <w:hyperlink r:id="rId39">
        <w:r>
          <w:t>https://doi.org/10.1126/sciadv.1400082</w:t>
        </w:r>
      </w:hyperlink>
      <w:r>
        <w:t>.</w:t>
      </w:r>
    </w:p>
    <w:p w14:paraId="6EC988BF" w14:textId="77777777" w:rsidR="006B51FB" w:rsidRDefault="00D64B2B">
      <w:pPr>
        <w:pStyle w:val="Bibliography"/>
      </w:pPr>
      <w:bookmarkStart w:id="35" w:name="ref-couvreur_water_2018"/>
      <w:bookmarkEnd w:id="34"/>
      <w:proofErr w:type="spellStart"/>
      <w:r>
        <w:lastRenderedPageBreak/>
        <w:t>Couvreur</w:t>
      </w:r>
      <w:proofErr w:type="spellEnd"/>
      <w:r>
        <w:t xml:space="preserve">, Valentin, Glenn </w:t>
      </w:r>
      <w:proofErr w:type="spellStart"/>
      <w:r>
        <w:t>Ledder</w:t>
      </w:r>
      <w:proofErr w:type="spellEnd"/>
      <w:r>
        <w:t xml:space="preserve">, Stefano Manzoni, Danielle A. Way, Erik B. Muller, and Sabrina E. Russo. 2018. “Water Transport Through Tall Trees: A Vertically Explicit, Analytical Model of Xylem Hydraulic Conductance in Stems.” </w:t>
      </w:r>
      <w:r>
        <w:rPr>
          <w:i/>
        </w:rPr>
        <w:t>Plant, Cell &amp; Environment</w:t>
      </w:r>
      <w:r>
        <w:t xml:space="preserve"> 41 (8): 1821–39. </w:t>
      </w:r>
      <w:hyperlink r:id="rId40">
        <w:r>
          <w:t>https://doi.org/10.1111/pce.13322</w:t>
        </w:r>
      </w:hyperlink>
      <w:r>
        <w:t>.</w:t>
      </w:r>
    </w:p>
    <w:p w14:paraId="4490068A" w14:textId="77777777" w:rsidR="006B51FB" w:rsidRDefault="00D64B2B">
      <w:pPr>
        <w:pStyle w:val="Bibliography"/>
      </w:pPr>
      <w:bookmarkStart w:id="36" w:name="ref-dai_climate_2018"/>
      <w:bookmarkEnd w:id="35"/>
      <w:r>
        <w:t xml:space="preserve">Dai, </w:t>
      </w:r>
      <w:proofErr w:type="spellStart"/>
      <w:r>
        <w:t>Aiguo</w:t>
      </w:r>
      <w:proofErr w:type="spellEnd"/>
      <w:r>
        <w:t xml:space="preserve">, </w:t>
      </w:r>
      <w:proofErr w:type="spellStart"/>
      <w:r>
        <w:t>Tianbao</w:t>
      </w:r>
      <w:proofErr w:type="spellEnd"/>
      <w:r>
        <w:t xml:space="preserve"> Zhao, and Jiao Chen. 2018. “Climate Change and Drought: A Precipitation and Evaporation Perspective.” </w:t>
      </w:r>
      <w:r>
        <w:rPr>
          <w:i/>
        </w:rPr>
        <w:t>Current Climate Change Reports</w:t>
      </w:r>
      <w:r>
        <w:t xml:space="preserve"> 4 (3): 301–12. </w:t>
      </w:r>
      <w:hyperlink r:id="rId41">
        <w:r>
          <w:t>https://doi.org/10.1007/s40641-018-0101-6</w:t>
        </w:r>
      </w:hyperlink>
      <w:r>
        <w:t>.</w:t>
      </w:r>
    </w:p>
    <w:p w14:paraId="6457BF69" w14:textId="77777777" w:rsidR="006B51FB" w:rsidRPr="00D64B2B" w:rsidRDefault="00D64B2B">
      <w:pPr>
        <w:pStyle w:val="Bibliography"/>
        <w:rPr>
          <w:lang w:val="da-DK"/>
        </w:rPr>
      </w:pPr>
      <w:bookmarkStart w:id="37" w:name="ref-davis_microclimatic_2019"/>
      <w:bookmarkEnd w:id="36"/>
      <w:r>
        <w:t xml:space="preserve">Davis, Kimberley T., Solomon Z. </w:t>
      </w:r>
      <w:proofErr w:type="spellStart"/>
      <w:r>
        <w:t>Dobrowski</w:t>
      </w:r>
      <w:proofErr w:type="spellEnd"/>
      <w:r>
        <w:t xml:space="preserve">, Zachary A. Holden, Philip E. Higuera, and John T. </w:t>
      </w:r>
      <w:proofErr w:type="spellStart"/>
      <w:r>
        <w:t>Abatzoglou</w:t>
      </w:r>
      <w:proofErr w:type="spellEnd"/>
      <w:r>
        <w:t xml:space="preserve">. 2019. “Microclimatic Buffering in Forests of the Future: The Role of Local Water Balance.” </w:t>
      </w:r>
      <w:proofErr w:type="spellStart"/>
      <w:r w:rsidRPr="00D64B2B">
        <w:rPr>
          <w:i/>
          <w:lang w:val="da-DK"/>
        </w:rPr>
        <w:t>Ecography</w:t>
      </w:r>
      <w:proofErr w:type="spellEnd"/>
      <w:r w:rsidRPr="00D64B2B">
        <w:rPr>
          <w:lang w:val="da-DK"/>
        </w:rPr>
        <w:t xml:space="preserve"> 42 (1): 1–11. </w:t>
      </w:r>
      <w:hyperlink r:id="rId42">
        <w:r w:rsidRPr="00D64B2B">
          <w:rPr>
            <w:lang w:val="da-DK"/>
          </w:rPr>
          <w:t>https://doi.org/10.1111/ecog.03836</w:t>
        </w:r>
      </w:hyperlink>
      <w:r w:rsidRPr="00D64B2B">
        <w:rPr>
          <w:lang w:val="da-DK"/>
        </w:rPr>
        <w:t>.</w:t>
      </w:r>
    </w:p>
    <w:p w14:paraId="155712D6" w14:textId="77777777" w:rsidR="006B51FB" w:rsidRDefault="00D64B2B">
      <w:pPr>
        <w:pStyle w:val="Bibliography"/>
      </w:pPr>
      <w:bookmarkStart w:id="38" w:name="ref-desoto_low_2020"/>
      <w:bookmarkEnd w:id="37"/>
      <w:proofErr w:type="spellStart"/>
      <w:r w:rsidRPr="00D64B2B">
        <w:rPr>
          <w:lang w:val="da-DK"/>
        </w:rPr>
        <w:t>DeSoto</w:t>
      </w:r>
      <w:proofErr w:type="spellEnd"/>
      <w:r w:rsidRPr="00D64B2B">
        <w:rPr>
          <w:lang w:val="da-DK"/>
        </w:rPr>
        <w:t xml:space="preserve">, </w:t>
      </w:r>
      <w:proofErr w:type="spellStart"/>
      <w:r w:rsidRPr="00D64B2B">
        <w:rPr>
          <w:lang w:val="da-DK"/>
        </w:rPr>
        <w:t>Lucía</w:t>
      </w:r>
      <w:proofErr w:type="spellEnd"/>
      <w:r w:rsidRPr="00D64B2B">
        <w:rPr>
          <w:lang w:val="da-DK"/>
        </w:rPr>
        <w:t xml:space="preserve">, Maxime </w:t>
      </w:r>
      <w:proofErr w:type="spellStart"/>
      <w:r w:rsidRPr="00D64B2B">
        <w:rPr>
          <w:lang w:val="da-DK"/>
        </w:rPr>
        <w:t>Cailleret</w:t>
      </w:r>
      <w:proofErr w:type="spellEnd"/>
      <w:r w:rsidRPr="00D64B2B">
        <w:rPr>
          <w:lang w:val="da-DK"/>
        </w:rPr>
        <w:t xml:space="preserve">, Frank </w:t>
      </w:r>
      <w:proofErr w:type="spellStart"/>
      <w:r w:rsidRPr="00D64B2B">
        <w:rPr>
          <w:lang w:val="da-DK"/>
        </w:rPr>
        <w:t>Sterck</w:t>
      </w:r>
      <w:proofErr w:type="spellEnd"/>
      <w:r w:rsidRPr="00D64B2B">
        <w:rPr>
          <w:lang w:val="da-DK"/>
        </w:rPr>
        <w:t xml:space="preserve">, Steven Jansen, Koen Kramer, Elisabeth M. R. Robert, </w:t>
      </w:r>
      <w:proofErr w:type="spellStart"/>
      <w:r w:rsidRPr="00D64B2B">
        <w:rPr>
          <w:lang w:val="da-DK"/>
        </w:rPr>
        <w:t>Tuomas</w:t>
      </w:r>
      <w:proofErr w:type="spellEnd"/>
      <w:r w:rsidRPr="00D64B2B">
        <w:rPr>
          <w:lang w:val="da-DK"/>
        </w:rPr>
        <w:t xml:space="preserve"> </w:t>
      </w:r>
      <w:proofErr w:type="spellStart"/>
      <w:r w:rsidRPr="00D64B2B">
        <w:rPr>
          <w:lang w:val="da-DK"/>
        </w:rPr>
        <w:t>Aakala</w:t>
      </w:r>
      <w:proofErr w:type="spellEnd"/>
      <w:r w:rsidRPr="00D64B2B">
        <w:rPr>
          <w:lang w:val="da-DK"/>
        </w:rPr>
        <w:t xml:space="preserve">, et al. 2020. </w:t>
      </w:r>
      <w:r>
        <w:t xml:space="preserve">“Low Growth Resilience to Drought Is Related to Future Mortality Risk in Trees.” </w:t>
      </w:r>
      <w:r>
        <w:rPr>
          <w:i/>
        </w:rPr>
        <w:t>Nature Communications</w:t>
      </w:r>
      <w:r>
        <w:t xml:space="preserve"> 11 (1): 545. </w:t>
      </w:r>
      <w:hyperlink r:id="rId43">
        <w:r>
          <w:t>https://doi.org/10.1038/s41467-020-14300-5</w:t>
        </w:r>
      </w:hyperlink>
      <w:r>
        <w:t>.</w:t>
      </w:r>
    </w:p>
    <w:p w14:paraId="487A609A" w14:textId="77777777" w:rsidR="006B51FB" w:rsidRDefault="00D64B2B">
      <w:pPr>
        <w:pStyle w:val="Bibliography"/>
      </w:pPr>
      <w:bookmarkStart w:id="39" w:name="ref-detto_hydrological_2013"/>
      <w:bookmarkEnd w:id="38"/>
      <w:r>
        <w:t xml:space="preserve">Detto, Matteo, Helene C. Muller-Landau, Joseph Mascaro, and Gregory P. Asner. 2013. “Hydrological Networks and Associated Topographic Variation as Templates for the Spatial Organization of Tropical Forest Vegetation.” </w:t>
      </w:r>
      <w:r>
        <w:rPr>
          <w:i/>
        </w:rPr>
        <w:t>PLOS ONE</w:t>
      </w:r>
      <w:r>
        <w:t xml:space="preserve"> 8 (10). </w:t>
      </w:r>
      <w:hyperlink r:id="rId44">
        <w:r>
          <w:t>https://doi.org/10.1371/journal.pone.0076296</w:t>
        </w:r>
      </w:hyperlink>
      <w:r>
        <w:t>.</w:t>
      </w:r>
    </w:p>
    <w:p w14:paraId="19D8CB04" w14:textId="77777777" w:rsidR="006B51FB" w:rsidRDefault="00D64B2B">
      <w:pPr>
        <w:pStyle w:val="Bibliography"/>
      </w:pPr>
      <w:bookmarkStart w:id="40" w:name="ref-druckenbrod_redefining_2019"/>
      <w:bookmarkEnd w:id="39"/>
      <w:proofErr w:type="spellStart"/>
      <w:r>
        <w:t>Druckenbrod</w:t>
      </w:r>
      <w:proofErr w:type="spellEnd"/>
      <w:r>
        <w:t xml:space="preserve">, Daniel L., Dario Martin‐Benito, David A. Orwig, Neil Pederson, Benjamin Poulter, Katherine M. Renwick, and Herman H. Shugart. 2019. “Redefining Temperate Forest Responses to Climate and Disturbance in the Eastern United States: New Insights at the Mesoscale.” </w:t>
      </w:r>
      <w:r>
        <w:rPr>
          <w:i/>
        </w:rPr>
        <w:t>Global Ecology and Biogeography</w:t>
      </w:r>
      <w:r>
        <w:t xml:space="preserve"> 28 (5): 557–75. </w:t>
      </w:r>
      <w:hyperlink r:id="rId45">
        <w:r>
          <w:t>https://doi.org/10.1111/geb.12876</w:t>
        </w:r>
      </w:hyperlink>
      <w:r>
        <w:t>.</w:t>
      </w:r>
    </w:p>
    <w:p w14:paraId="2CF10E7A" w14:textId="77777777" w:rsidR="006B51FB" w:rsidRDefault="00D64B2B">
      <w:pPr>
        <w:pStyle w:val="Bibliography"/>
      </w:pPr>
      <w:bookmarkStart w:id="41" w:name="ref-elliott_forest_2015"/>
      <w:bookmarkEnd w:id="40"/>
      <w:r>
        <w:t xml:space="preserve">Elliott, Katherine J., </w:t>
      </w:r>
      <w:proofErr w:type="spellStart"/>
      <w:r>
        <w:t>Chelcy</w:t>
      </w:r>
      <w:proofErr w:type="spellEnd"/>
      <w:r>
        <w:t xml:space="preserve"> F. </w:t>
      </w:r>
      <w:proofErr w:type="spellStart"/>
      <w:r>
        <w:t>Miniat</w:t>
      </w:r>
      <w:proofErr w:type="spellEnd"/>
      <w:r>
        <w:t xml:space="preserve">, Neil Pederson, and Stephanie H. </w:t>
      </w:r>
      <w:proofErr w:type="spellStart"/>
      <w:r>
        <w:t>Laseter</w:t>
      </w:r>
      <w:proofErr w:type="spellEnd"/>
      <w:r>
        <w:t xml:space="preserve">. 2015. “Forest Tree Growth Response to Hydroclimate Variability in the Southern Appalachians.” </w:t>
      </w:r>
      <w:r>
        <w:rPr>
          <w:i/>
        </w:rPr>
        <w:t>Global Change Biology</w:t>
      </w:r>
      <w:r>
        <w:t xml:space="preserve"> 21 (12): 4627–41. </w:t>
      </w:r>
      <w:hyperlink r:id="rId46">
        <w:r>
          <w:t>https://doi.org/10.1111/gcb.13045</w:t>
        </w:r>
      </w:hyperlink>
      <w:r>
        <w:t>.</w:t>
      </w:r>
    </w:p>
    <w:p w14:paraId="36C536BD" w14:textId="77777777" w:rsidR="006B51FB" w:rsidRDefault="00D64B2B">
      <w:pPr>
        <w:pStyle w:val="Bibliography"/>
      </w:pPr>
      <w:bookmarkStart w:id="42" w:name="ref-enquist_global_2002"/>
      <w:bookmarkEnd w:id="41"/>
      <w:proofErr w:type="spellStart"/>
      <w:r>
        <w:t>Enquist</w:t>
      </w:r>
      <w:proofErr w:type="spellEnd"/>
      <w:r>
        <w:t xml:space="preserve">, Brian J., and Karl J. </w:t>
      </w:r>
      <w:proofErr w:type="spellStart"/>
      <w:r>
        <w:t>Niklas</w:t>
      </w:r>
      <w:proofErr w:type="spellEnd"/>
      <w:r>
        <w:t xml:space="preserve">. 2002. “Global Allocation Rules for Patterns of Biomass Partitioning in Seed Plants.” </w:t>
      </w:r>
      <w:r>
        <w:rPr>
          <w:i/>
        </w:rPr>
        <w:t>Science</w:t>
      </w:r>
      <w:r>
        <w:t xml:space="preserve"> 295 (5559): 1517–20. </w:t>
      </w:r>
      <w:hyperlink r:id="rId47">
        <w:r>
          <w:t>https://doi.org/10.1126/science.1066360</w:t>
        </w:r>
      </w:hyperlink>
      <w:r>
        <w:t>.</w:t>
      </w:r>
    </w:p>
    <w:p w14:paraId="46D1B106" w14:textId="77777777" w:rsidR="006B51FB" w:rsidRDefault="00D64B2B">
      <w:pPr>
        <w:pStyle w:val="Bibliography"/>
      </w:pPr>
      <w:bookmarkStart w:id="43" w:name="ref-farrell_does_2017"/>
      <w:bookmarkEnd w:id="42"/>
      <w:r>
        <w:t xml:space="preserve">Farrell, Claire, Christopher </w:t>
      </w:r>
      <w:proofErr w:type="spellStart"/>
      <w:r>
        <w:t>Szota</w:t>
      </w:r>
      <w:proofErr w:type="spellEnd"/>
      <w:r>
        <w:t xml:space="preserve">, and Stefan K. Arndt. 2017. “Does the Turgor Loss Point Characterize Drought Response in Dryland Plants?” </w:t>
      </w:r>
      <w:r>
        <w:rPr>
          <w:i/>
        </w:rPr>
        <w:t>Plant, Cell &amp; Environment</w:t>
      </w:r>
      <w:r>
        <w:t xml:space="preserve"> 40 (8): 1500–1511. </w:t>
      </w:r>
      <w:hyperlink r:id="rId48">
        <w:r>
          <w:t>https://doi.org/10.1111/pce.12948</w:t>
        </w:r>
      </w:hyperlink>
      <w:r>
        <w:t>.</w:t>
      </w:r>
    </w:p>
    <w:p w14:paraId="75810E24" w14:textId="77777777" w:rsidR="006B51FB" w:rsidRDefault="00D64B2B">
      <w:pPr>
        <w:pStyle w:val="Bibliography"/>
      </w:pPr>
      <w:bookmarkStart w:id="44" w:name="ref-fletcher_evolution_2018"/>
      <w:bookmarkEnd w:id="43"/>
      <w:r>
        <w:t xml:space="preserve">Fletcher, Leila R., </w:t>
      </w:r>
      <w:proofErr w:type="spellStart"/>
      <w:r>
        <w:t>Hongxia</w:t>
      </w:r>
      <w:proofErr w:type="spellEnd"/>
      <w:r>
        <w:t xml:space="preserve"> Cui, Hilary Callahan, Christine </w:t>
      </w:r>
      <w:proofErr w:type="spellStart"/>
      <w:r>
        <w:t>Scoffoni</w:t>
      </w:r>
      <w:proofErr w:type="spellEnd"/>
      <w:r>
        <w:t xml:space="preserve">, Grace P. John, Megan K. Bartlett, Dylan O. Burge, and </w:t>
      </w:r>
      <w:proofErr w:type="spellStart"/>
      <w:r>
        <w:t>Lawren</w:t>
      </w:r>
      <w:proofErr w:type="spellEnd"/>
      <w:r>
        <w:t xml:space="preserve"> Sack. 2018. “Evolution of Leaf Structure and Drought Tolerance in Species of Californian Ceanothus.” </w:t>
      </w:r>
      <w:r>
        <w:rPr>
          <w:i/>
        </w:rPr>
        <w:t>American Journal of Botany</w:t>
      </w:r>
      <w:r>
        <w:t xml:space="preserve"> 105 (10): 1672–87. </w:t>
      </w:r>
      <w:hyperlink r:id="rId49">
        <w:r>
          <w:t>https://doi.org/10.1002/ajb2.1164</w:t>
        </w:r>
      </w:hyperlink>
      <w:r>
        <w:t>.</w:t>
      </w:r>
    </w:p>
    <w:p w14:paraId="7308688C" w14:textId="77777777" w:rsidR="006B51FB" w:rsidRDefault="00D64B2B">
      <w:pPr>
        <w:pStyle w:val="Bibliography"/>
      </w:pPr>
      <w:bookmarkStart w:id="45" w:name="ref-friedlingstein_climatecarbon_2006"/>
      <w:bookmarkEnd w:id="44"/>
      <w:proofErr w:type="spellStart"/>
      <w:r>
        <w:t>Friedlingstein</w:t>
      </w:r>
      <w:proofErr w:type="spellEnd"/>
      <w:r>
        <w:t xml:space="preserve">, P., P. Cox, R. Betts, L. Bopp, W. von </w:t>
      </w:r>
      <w:proofErr w:type="spellStart"/>
      <w:r>
        <w:t>Bloh</w:t>
      </w:r>
      <w:proofErr w:type="spellEnd"/>
      <w:r>
        <w:t xml:space="preserve">, V. </w:t>
      </w:r>
      <w:proofErr w:type="spellStart"/>
      <w:r>
        <w:t>Brovkin</w:t>
      </w:r>
      <w:proofErr w:type="spellEnd"/>
      <w:r>
        <w:t xml:space="preserve">, P. </w:t>
      </w:r>
      <w:proofErr w:type="spellStart"/>
      <w:r>
        <w:t>Cadule</w:t>
      </w:r>
      <w:proofErr w:type="spellEnd"/>
      <w:r>
        <w:t xml:space="preserve">, et al. 2006. “Climate–Carbon Cycle Feedback Analysis: Results from the C4MIP Model Intercomparison.” </w:t>
      </w:r>
      <w:r>
        <w:rPr>
          <w:i/>
        </w:rPr>
        <w:t>Journal of Climate</w:t>
      </w:r>
      <w:r>
        <w:t xml:space="preserve"> 19 (14): 3337–53. </w:t>
      </w:r>
      <w:hyperlink r:id="rId50">
        <w:r>
          <w:t>https://doi.org/10.1175/JCLI3800.1</w:t>
        </w:r>
      </w:hyperlink>
      <w:r>
        <w:t>.</w:t>
      </w:r>
    </w:p>
    <w:p w14:paraId="249FAB3D" w14:textId="77777777" w:rsidR="006B51FB" w:rsidRDefault="00D64B2B">
      <w:pPr>
        <w:pStyle w:val="Bibliography"/>
      </w:pPr>
      <w:bookmarkStart w:id="46" w:name="ref-friedrichs_species-specific_2009"/>
      <w:bookmarkEnd w:id="45"/>
      <w:r>
        <w:t xml:space="preserve">Friedrichs, Dagmar A., Valerie </w:t>
      </w:r>
      <w:proofErr w:type="spellStart"/>
      <w:r>
        <w:t>Trouet</w:t>
      </w:r>
      <w:proofErr w:type="spellEnd"/>
      <w:r>
        <w:t xml:space="preserve">, Ulf </w:t>
      </w:r>
      <w:proofErr w:type="spellStart"/>
      <w:r>
        <w:t>Büntgen</w:t>
      </w:r>
      <w:proofErr w:type="spellEnd"/>
      <w:r>
        <w:t xml:space="preserve">, David C. Frank, Jan Esper, Burkhard Neuwirth, and </w:t>
      </w:r>
      <w:proofErr w:type="spellStart"/>
      <w:r>
        <w:t>Jörg</w:t>
      </w:r>
      <w:proofErr w:type="spellEnd"/>
      <w:r>
        <w:t xml:space="preserve"> </w:t>
      </w:r>
      <w:proofErr w:type="spellStart"/>
      <w:r>
        <w:t>Löffler</w:t>
      </w:r>
      <w:proofErr w:type="spellEnd"/>
      <w:r>
        <w:t xml:space="preserve">. 2009. “Species-Specific Climate Sensitivity of Tree Growth in Central-West Germany.” </w:t>
      </w:r>
      <w:r>
        <w:rPr>
          <w:i/>
        </w:rPr>
        <w:t>Trees</w:t>
      </w:r>
      <w:r>
        <w:t xml:space="preserve"> 23 (4): 729. </w:t>
      </w:r>
      <w:hyperlink r:id="rId51">
        <w:r>
          <w:t>https://doi.org/10.1007/s00468-009-0315-2</w:t>
        </w:r>
      </w:hyperlink>
      <w:r>
        <w:t>.</w:t>
      </w:r>
    </w:p>
    <w:p w14:paraId="1C78F7B0" w14:textId="77777777" w:rsidR="006B51FB" w:rsidRDefault="00D64B2B">
      <w:pPr>
        <w:pStyle w:val="Bibliography"/>
      </w:pPr>
      <w:bookmarkStart w:id="47" w:name="ref-gessler_way_2020"/>
      <w:bookmarkEnd w:id="46"/>
      <w:r>
        <w:lastRenderedPageBreak/>
        <w:t xml:space="preserve">Gessler, Arthur, Alessandra </w:t>
      </w:r>
      <w:proofErr w:type="spellStart"/>
      <w:r>
        <w:t>Bottero</w:t>
      </w:r>
      <w:proofErr w:type="spellEnd"/>
      <w:r>
        <w:t xml:space="preserve">, John Marshall, and Matthias </w:t>
      </w:r>
      <w:proofErr w:type="spellStart"/>
      <w:r>
        <w:t>Arend</w:t>
      </w:r>
      <w:proofErr w:type="spellEnd"/>
      <w:r>
        <w:t xml:space="preserve">. 2020. “The Way Back: Recovery of Trees from Drought and Its Implication for Acclimation.” </w:t>
      </w:r>
      <w:r>
        <w:rPr>
          <w:i/>
        </w:rPr>
        <w:t>New Phytologist</w:t>
      </w:r>
      <w:r>
        <w:t xml:space="preserve">, May. </w:t>
      </w:r>
      <w:hyperlink r:id="rId52">
        <w:r>
          <w:t>https://doi.org/10.1111/nph.16703</w:t>
        </w:r>
      </w:hyperlink>
      <w:r>
        <w:t>.</w:t>
      </w:r>
    </w:p>
    <w:p w14:paraId="67C2DB13" w14:textId="77777777" w:rsidR="006B51FB" w:rsidRDefault="00D64B2B">
      <w:pPr>
        <w:pStyle w:val="Bibliography"/>
      </w:pPr>
      <w:bookmarkStart w:id="48" w:name="ref-gillerot_tree_2020"/>
      <w:bookmarkEnd w:id="47"/>
      <w:proofErr w:type="spellStart"/>
      <w:r>
        <w:t>Gillerot</w:t>
      </w:r>
      <w:proofErr w:type="spellEnd"/>
      <w:r>
        <w:t xml:space="preserve">, </w:t>
      </w:r>
      <w:proofErr w:type="spellStart"/>
      <w:r>
        <w:t>Loïc</w:t>
      </w:r>
      <w:proofErr w:type="spellEnd"/>
      <w:r>
        <w:t xml:space="preserve">, David I. Forrester, Alessandra </w:t>
      </w:r>
      <w:proofErr w:type="spellStart"/>
      <w:r>
        <w:t>Bottero</w:t>
      </w:r>
      <w:proofErr w:type="spellEnd"/>
      <w:r>
        <w:t xml:space="preserve">, Andreas </w:t>
      </w:r>
      <w:proofErr w:type="spellStart"/>
      <w:r>
        <w:t>Rigling</w:t>
      </w:r>
      <w:proofErr w:type="spellEnd"/>
      <w:r>
        <w:t xml:space="preserve">, and Mathieu Lévesque. 2020. “Tree </w:t>
      </w:r>
      <w:proofErr w:type="spellStart"/>
      <w:r>
        <w:t>Neighbourhood</w:t>
      </w:r>
      <w:proofErr w:type="spellEnd"/>
      <w:r>
        <w:t xml:space="preserve"> Diversity Has Negligible Effects on Drought Resilience of European Beech, Silver Fir and Norway Spruce.” </w:t>
      </w:r>
      <w:r>
        <w:rPr>
          <w:i/>
        </w:rPr>
        <w:t>Ecosystems</w:t>
      </w:r>
      <w:r>
        <w:t xml:space="preserve">, April. </w:t>
      </w:r>
      <w:hyperlink r:id="rId53">
        <w:r>
          <w:t>https://doi.org/10.1007/s10021-020-00501-y</w:t>
        </w:r>
      </w:hyperlink>
      <w:r>
        <w:t>.</w:t>
      </w:r>
    </w:p>
    <w:p w14:paraId="395B5453" w14:textId="77777777" w:rsidR="006B51FB" w:rsidRDefault="00D64B2B">
      <w:pPr>
        <w:pStyle w:val="Bibliography"/>
      </w:pPr>
      <w:bookmarkStart w:id="49" w:name="X8f6fa8bad1d382086fb2e32eaf2ec910f35620a"/>
      <w:bookmarkEnd w:id="48"/>
      <w:r>
        <w:t xml:space="preserve">Gonzalez-Akre, Erika, Kristina Anderson-Teixeira, Ian McGregor, Valentine Herrmann, and </w:t>
      </w:r>
      <w:proofErr w:type="spellStart"/>
      <w:r>
        <w:t>RHelcoski</w:t>
      </w:r>
      <w:proofErr w:type="spellEnd"/>
      <w:r>
        <w:t xml:space="preserve">. 2019. “SCBI-ForestGEO/SCBI-ForestGEO-Data: First Official Release.” </w:t>
      </w:r>
      <w:proofErr w:type="spellStart"/>
      <w:r>
        <w:t>Zenodo</w:t>
      </w:r>
      <w:proofErr w:type="spellEnd"/>
      <w:r>
        <w:t xml:space="preserve">. </w:t>
      </w:r>
      <w:hyperlink r:id="rId54">
        <w:r>
          <w:t>https://doi.org/10.5281/ZENODO.2649302</w:t>
        </w:r>
      </w:hyperlink>
      <w:r>
        <w:t>.</w:t>
      </w:r>
    </w:p>
    <w:p w14:paraId="7FBEC79E" w14:textId="77777777" w:rsidR="006B51FB" w:rsidRDefault="00D64B2B">
      <w:pPr>
        <w:pStyle w:val="Bibliography"/>
      </w:pPr>
      <w:bookmarkStart w:id="50" w:name="ref-gonzalezakre_patterns_2016"/>
      <w:bookmarkEnd w:id="49"/>
      <w:r>
        <w:t xml:space="preserve">Gonzalez‐Akre, Erika, Victoria Meakem, Cheng-Yin </w:t>
      </w:r>
      <w:proofErr w:type="spellStart"/>
      <w:r>
        <w:t>Eng</w:t>
      </w:r>
      <w:proofErr w:type="spellEnd"/>
      <w:r>
        <w:t xml:space="preserve">, Alan J. Tepley, Norman A. Bourg, William McShea, Stuart J. Davies, and Kristina Anderson‐Teixeira. 2016. “Patterns of Tree Mortality in a Temperate Deciduous Forest Derived from a Large Forest Dynamics Plot.” </w:t>
      </w:r>
      <w:r>
        <w:rPr>
          <w:i/>
        </w:rPr>
        <w:t>Ecosphere</w:t>
      </w:r>
      <w:r>
        <w:t xml:space="preserve"> 7 (12). </w:t>
      </w:r>
      <w:hyperlink r:id="rId55">
        <w:r>
          <w:t>https://doi.org/10.1002/ecs2.1595</w:t>
        </w:r>
      </w:hyperlink>
      <w:r>
        <w:t>.</w:t>
      </w:r>
    </w:p>
    <w:p w14:paraId="54FD05F0" w14:textId="77777777" w:rsidR="006B51FB" w:rsidRDefault="00D64B2B">
      <w:pPr>
        <w:pStyle w:val="Bibliography"/>
      </w:pPr>
      <w:bookmarkStart w:id="51" w:name="ref-greenwood_tree_2017"/>
      <w:bookmarkEnd w:id="50"/>
      <w:r>
        <w:t>Greenwood, Sarah, Paloma Ruiz‐Benito, Jordi Martínez‐</w:t>
      </w:r>
      <w:proofErr w:type="spellStart"/>
      <w:r>
        <w:t>Vilalta</w:t>
      </w:r>
      <w:proofErr w:type="spellEnd"/>
      <w:r>
        <w:t xml:space="preserve">, Francisco </w:t>
      </w:r>
      <w:proofErr w:type="spellStart"/>
      <w:r>
        <w:t>Lloret</w:t>
      </w:r>
      <w:proofErr w:type="spellEnd"/>
      <w:r>
        <w:t xml:space="preserve">, Thomas </w:t>
      </w:r>
      <w:proofErr w:type="spellStart"/>
      <w:r>
        <w:t>Kitzberger</w:t>
      </w:r>
      <w:proofErr w:type="spellEnd"/>
      <w:r>
        <w:t xml:space="preserve">, Craig D. Allen, Rod </w:t>
      </w:r>
      <w:proofErr w:type="spellStart"/>
      <w:r>
        <w:t>Fensham</w:t>
      </w:r>
      <w:proofErr w:type="spellEnd"/>
      <w:r>
        <w:t xml:space="preserve">, et al. 2017. “Tree Mortality Across Biomes Is Promoted by Drought Intensity, Lower Wood Density and Higher Specific Leaf Area.” </w:t>
      </w:r>
      <w:r>
        <w:rPr>
          <w:i/>
        </w:rPr>
        <w:t>Ecology Letters</w:t>
      </w:r>
      <w:r>
        <w:t xml:space="preserve"> 20 (4): 539–53. </w:t>
      </w:r>
      <w:hyperlink r:id="rId56">
        <w:r>
          <w:t>https://doi.org/10.1111/ele.12748</w:t>
        </w:r>
      </w:hyperlink>
      <w:r>
        <w:t>.</w:t>
      </w:r>
    </w:p>
    <w:p w14:paraId="09D9A6AD" w14:textId="77777777" w:rsidR="006B51FB" w:rsidRDefault="00D64B2B">
      <w:pPr>
        <w:pStyle w:val="Bibliography"/>
      </w:pPr>
      <w:bookmarkStart w:id="52" w:name="ref-guerfel_impacts_2009"/>
      <w:bookmarkEnd w:id="51"/>
      <w:proofErr w:type="spellStart"/>
      <w:r>
        <w:t>Guerfel</w:t>
      </w:r>
      <w:proofErr w:type="spellEnd"/>
      <w:r>
        <w:t xml:space="preserve">, Mokhtar, </w:t>
      </w:r>
      <w:proofErr w:type="spellStart"/>
      <w:r>
        <w:t>Olfa</w:t>
      </w:r>
      <w:proofErr w:type="spellEnd"/>
      <w:r>
        <w:t xml:space="preserve"> </w:t>
      </w:r>
      <w:proofErr w:type="spellStart"/>
      <w:r>
        <w:t>Baccouri</w:t>
      </w:r>
      <w:proofErr w:type="spellEnd"/>
      <w:r>
        <w:t xml:space="preserve">, </w:t>
      </w:r>
      <w:proofErr w:type="spellStart"/>
      <w:r>
        <w:t>Dalenda</w:t>
      </w:r>
      <w:proofErr w:type="spellEnd"/>
      <w:r>
        <w:t xml:space="preserve"> </w:t>
      </w:r>
      <w:proofErr w:type="spellStart"/>
      <w:r>
        <w:t>Boujnah</w:t>
      </w:r>
      <w:proofErr w:type="spellEnd"/>
      <w:r>
        <w:t xml:space="preserve">, </w:t>
      </w:r>
      <w:proofErr w:type="spellStart"/>
      <w:r>
        <w:t>Wided</w:t>
      </w:r>
      <w:proofErr w:type="spellEnd"/>
      <w:r>
        <w:t xml:space="preserve"> </w:t>
      </w:r>
      <w:proofErr w:type="spellStart"/>
      <w:r>
        <w:t>Chaïbi</w:t>
      </w:r>
      <w:proofErr w:type="spellEnd"/>
      <w:r>
        <w:t xml:space="preserve">, and Mokhtar </w:t>
      </w:r>
      <w:proofErr w:type="spellStart"/>
      <w:r>
        <w:t>Zarrouk</w:t>
      </w:r>
      <w:proofErr w:type="spellEnd"/>
      <w:r>
        <w:t xml:space="preserve">. 2009. “Impacts of Water Stress on Gas Exchange, Water Relations, Chlorophyll Content and Leaf Structure in the Two Main Tunisian Olive (Olea Europaea L.) Cultivars.” </w:t>
      </w:r>
      <w:r>
        <w:rPr>
          <w:i/>
        </w:rPr>
        <w:t xml:space="preserve">Scientia </w:t>
      </w:r>
      <w:proofErr w:type="spellStart"/>
      <w:r>
        <w:rPr>
          <w:i/>
        </w:rPr>
        <w:t>Horticulturae</w:t>
      </w:r>
      <w:proofErr w:type="spellEnd"/>
      <w:r>
        <w:t xml:space="preserve"> 119 (3): 257–63. </w:t>
      </w:r>
      <w:hyperlink r:id="rId57">
        <w:r>
          <w:t>https://doi.org/10.1016/j.scienta.2008.08.006</w:t>
        </w:r>
      </w:hyperlink>
      <w:r>
        <w:t>.</w:t>
      </w:r>
    </w:p>
    <w:p w14:paraId="7DDBF031" w14:textId="77777777" w:rsidR="006B51FB" w:rsidRDefault="00D64B2B">
      <w:pPr>
        <w:pStyle w:val="Bibliography"/>
      </w:pPr>
      <w:bookmarkStart w:id="53" w:name="ref-harris_updated_2014"/>
      <w:bookmarkEnd w:id="52"/>
      <w:r>
        <w:t xml:space="preserve">Harris, I., P. D. Jones, T. J. Osborn, and D. H. Lister. 2014. “Updated High-Resolution Grids of Monthly Climatic Observations – the CRU TS3.10 Dataset.” </w:t>
      </w:r>
      <w:r>
        <w:rPr>
          <w:i/>
        </w:rPr>
        <w:t>International Journal of Climatology</w:t>
      </w:r>
      <w:r>
        <w:t xml:space="preserve"> 34 (3): 623–42. </w:t>
      </w:r>
      <w:hyperlink r:id="rId58">
        <w:r>
          <w:t>https://doi.org/10.1002/joc.3711</w:t>
        </w:r>
      </w:hyperlink>
      <w:r>
        <w:t>.</w:t>
      </w:r>
    </w:p>
    <w:p w14:paraId="799A9496" w14:textId="77777777" w:rsidR="006B51FB" w:rsidRDefault="00D64B2B">
      <w:pPr>
        <w:pStyle w:val="Bibliography"/>
      </w:pPr>
      <w:bookmarkStart w:id="54" w:name="ref-helcoski_growing_2019"/>
      <w:bookmarkEnd w:id="53"/>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 </w:t>
      </w:r>
      <w:r>
        <w:rPr>
          <w:i/>
        </w:rPr>
        <w:t>New Phytologist</w:t>
      </w:r>
      <w:r>
        <w:t xml:space="preserve"> 223 (3): 1204–16. </w:t>
      </w:r>
      <w:hyperlink r:id="rId59">
        <w:r>
          <w:t>https://doi.org/10.1111/nph.15906</w:t>
        </w:r>
      </w:hyperlink>
      <w:r>
        <w:t>.</w:t>
      </w:r>
    </w:p>
    <w:p w14:paraId="3A434A62" w14:textId="77777777" w:rsidR="006B51FB" w:rsidRDefault="00D64B2B">
      <w:pPr>
        <w:pStyle w:val="Bibliography"/>
      </w:pPr>
      <w:bookmarkStart w:id="55" w:name="ref-hoffmann_hydraulic_2011"/>
      <w:bookmarkEnd w:id="54"/>
      <w:r>
        <w:t xml:space="preserve">Hoffmann, William A., Renée M. </w:t>
      </w:r>
      <w:proofErr w:type="spellStart"/>
      <w:r>
        <w:t>Marchin</w:t>
      </w:r>
      <w:proofErr w:type="spellEnd"/>
      <w:r>
        <w:t xml:space="preserve">, Pamela </w:t>
      </w:r>
      <w:proofErr w:type="spellStart"/>
      <w:r>
        <w:t>Abit</w:t>
      </w:r>
      <w:proofErr w:type="spellEnd"/>
      <w:r>
        <w:t xml:space="preserve">, and On Lee Lau. 2011. “Hydraulic Failure and Tree Dieback Are Associated with High Wood Density in a Temperate Forest Under Extreme Drought.” </w:t>
      </w:r>
      <w:r>
        <w:rPr>
          <w:i/>
        </w:rPr>
        <w:t>Global Change Biology</w:t>
      </w:r>
      <w:r>
        <w:t xml:space="preserve"> 17 (8): 2731–42. </w:t>
      </w:r>
      <w:hyperlink r:id="rId60">
        <w:r>
          <w:t>https://doi.org/10.1111/j.1365-2486.2011.02401.x</w:t>
        </w:r>
      </w:hyperlink>
      <w:r>
        <w:t>.</w:t>
      </w:r>
    </w:p>
    <w:p w14:paraId="4289703C" w14:textId="77777777" w:rsidR="006B51FB" w:rsidRDefault="00D64B2B">
      <w:pPr>
        <w:pStyle w:val="Bibliography"/>
      </w:pPr>
      <w:bookmarkStart w:id="56" w:name="ref-R-elevatr"/>
      <w:bookmarkEnd w:id="55"/>
      <w:r>
        <w:t xml:space="preserve">Hollister, Jeffrey. 2018. </w:t>
      </w:r>
      <w:proofErr w:type="spellStart"/>
      <w:r>
        <w:rPr>
          <w:i/>
        </w:rPr>
        <w:t>Elevatr</w:t>
      </w:r>
      <w:proofErr w:type="spellEnd"/>
      <w:r>
        <w:rPr>
          <w:i/>
        </w:rPr>
        <w:t xml:space="preserve">: Access Elevation Data from Various </w:t>
      </w:r>
      <w:proofErr w:type="spellStart"/>
      <w:r>
        <w:rPr>
          <w:i/>
        </w:rPr>
        <w:t>Apis</w:t>
      </w:r>
      <w:proofErr w:type="spellEnd"/>
      <w:r>
        <w:t xml:space="preserve">. </w:t>
      </w:r>
      <w:hyperlink r:id="rId61">
        <w:r>
          <w:t>https://CRAN.R-project.org/package=elevatr</w:t>
        </w:r>
      </w:hyperlink>
      <w:r>
        <w:t>.</w:t>
      </w:r>
    </w:p>
    <w:p w14:paraId="2DA39772" w14:textId="77777777" w:rsidR="006B51FB" w:rsidRDefault="00D64B2B">
      <w:pPr>
        <w:pStyle w:val="Bibliography"/>
      </w:pPr>
      <w:bookmarkStart w:id="57" w:name="ref-hui_near_2014"/>
      <w:bookmarkEnd w:id="56"/>
      <w:r>
        <w:t xml:space="preserve">Hui, </w:t>
      </w:r>
      <w:proofErr w:type="spellStart"/>
      <w:r>
        <w:t>Dafeng</w:t>
      </w:r>
      <w:proofErr w:type="spellEnd"/>
      <w:r>
        <w:t xml:space="preserve">, Jun Wang, </w:t>
      </w:r>
      <w:proofErr w:type="spellStart"/>
      <w:r>
        <w:t>Weijun</w:t>
      </w:r>
      <w:proofErr w:type="spellEnd"/>
      <w:r>
        <w:t xml:space="preserve"> Shen, Xuan Le, Philip </w:t>
      </w:r>
      <w:proofErr w:type="spellStart"/>
      <w:r>
        <w:t>Ganter</w:t>
      </w:r>
      <w:proofErr w:type="spellEnd"/>
      <w:r>
        <w:t xml:space="preserve">, and Hai Ren. 2014. “Near Isometric Biomass Partitioning in Forest Ecosystems of China.” </w:t>
      </w:r>
      <w:r>
        <w:rPr>
          <w:i/>
        </w:rPr>
        <w:t>PLOS ONE</w:t>
      </w:r>
      <w:r>
        <w:t xml:space="preserve"> 9 (1): e86550. </w:t>
      </w:r>
      <w:hyperlink r:id="rId62">
        <w:r>
          <w:t>https://doi.org/10.1371/journal.pone.0086550</w:t>
        </w:r>
      </w:hyperlink>
      <w:r>
        <w:t>.</w:t>
      </w:r>
    </w:p>
    <w:p w14:paraId="77F5CE99" w14:textId="77777777" w:rsidR="006B51FB" w:rsidRDefault="00D64B2B">
      <w:pPr>
        <w:pStyle w:val="Bibliography"/>
      </w:pPr>
      <w:bookmarkStart w:id="58" w:name="ref-R-forecast"/>
      <w:bookmarkEnd w:id="57"/>
      <w:r>
        <w:t xml:space="preserve">Hyndman, Rob, George </w:t>
      </w:r>
      <w:proofErr w:type="spellStart"/>
      <w:r>
        <w:t>Athanasopoulos</w:t>
      </w:r>
      <w:proofErr w:type="spellEnd"/>
      <w:r>
        <w:t xml:space="preserve">, Christoph </w:t>
      </w:r>
      <w:proofErr w:type="spellStart"/>
      <w:r>
        <w:t>Bergmeir</w:t>
      </w:r>
      <w:proofErr w:type="spellEnd"/>
      <w:r>
        <w:t xml:space="preserve">, Gabriel Caceres, Leanne Chhay, Mitchell O’Hara-Wild, </w:t>
      </w:r>
      <w:proofErr w:type="spellStart"/>
      <w:r>
        <w:t>Fotios</w:t>
      </w:r>
      <w:proofErr w:type="spellEnd"/>
      <w:r>
        <w:t xml:space="preserve"> Petropoulos, Slava </w:t>
      </w:r>
      <w:proofErr w:type="spellStart"/>
      <w:r>
        <w:t>Razbash</w:t>
      </w:r>
      <w:proofErr w:type="spellEnd"/>
      <w:r>
        <w:t xml:space="preserve">, </w:t>
      </w:r>
      <w:proofErr w:type="spellStart"/>
      <w:r>
        <w:t>Earo</w:t>
      </w:r>
      <w:proofErr w:type="spellEnd"/>
      <w:r>
        <w:t xml:space="preserve"> Wang, and Farah Yasmeen. 2020. </w:t>
      </w:r>
      <w:r>
        <w:rPr>
          <w:i/>
        </w:rPr>
        <w:t>Forecast: Forecasting Functions for Time Series and Linear Models</w:t>
      </w:r>
      <w:r>
        <w:t xml:space="preserve">. </w:t>
      </w:r>
      <w:hyperlink r:id="rId63">
        <w:r>
          <w:t>https://CRAN.R-project.org/package=forecast</w:t>
        </w:r>
      </w:hyperlink>
      <w:r>
        <w:t>.</w:t>
      </w:r>
    </w:p>
    <w:p w14:paraId="2C03A9C9" w14:textId="77777777" w:rsidR="006B51FB" w:rsidRDefault="00D64B2B">
      <w:pPr>
        <w:pStyle w:val="Bibliography"/>
      </w:pPr>
      <w:bookmarkStart w:id="59" w:name="X024671904173f8aa2e787e9047683bd848398fb"/>
      <w:bookmarkEnd w:id="58"/>
      <w:r>
        <w:lastRenderedPageBreak/>
        <w:t xml:space="preserve">Intergovernmental Panel on Climate Change. 2015. </w:t>
      </w:r>
      <w:r>
        <w:rPr>
          <w:i/>
        </w:rPr>
        <w:t>Climate Change 2014: Impacts, Adaptation and Vulnerability: Working Group II Contribution to the IPCC Fifth Assessment Report. Volume 2 Volume 2</w:t>
      </w:r>
      <w:r>
        <w:t xml:space="preserve">. </w:t>
      </w:r>
      <w:hyperlink r:id="rId64">
        <w:r>
          <w:t>https://doi.org/10.1017/CBO9781107415386</w:t>
        </w:r>
      </w:hyperlink>
      <w:r>
        <w:t>.</w:t>
      </w:r>
    </w:p>
    <w:p w14:paraId="23955492" w14:textId="77777777" w:rsidR="006B51FB" w:rsidRDefault="00D64B2B">
      <w:pPr>
        <w:pStyle w:val="Bibliography"/>
      </w:pPr>
      <w:bookmarkStart w:id="60" w:name="ref-jennings_assessing_1999"/>
      <w:bookmarkEnd w:id="59"/>
      <w:r>
        <w:t xml:space="preserve">Jennings, S. B., N. D. Brown, and D. </w:t>
      </w:r>
      <w:proofErr w:type="spellStart"/>
      <w:r>
        <w:t>Sheil</w:t>
      </w:r>
      <w:proofErr w:type="spellEnd"/>
      <w:r>
        <w:t xml:space="preserve">. 1999. “Assessing Forest Canopies and </w:t>
      </w:r>
      <w:proofErr w:type="spellStart"/>
      <w:r>
        <w:t>Understorey</w:t>
      </w:r>
      <w:proofErr w:type="spellEnd"/>
      <w:r>
        <w:t xml:space="preserve"> Illumination: Canopy Closure, Canopy Cover and Other Measures.” </w:t>
      </w:r>
      <w:r>
        <w:rPr>
          <w:i/>
        </w:rPr>
        <w:t>Forestry: An International Journal of Forest Research</w:t>
      </w:r>
      <w:r>
        <w:t xml:space="preserve"> 72 (1): 59–74. </w:t>
      </w:r>
      <w:hyperlink r:id="rId65">
        <w:r>
          <w:t>https://doi.org/10.1093/forestry/72.1.59</w:t>
        </w:r>
      </w:hyperlink>
      <w:r>
        <w:t>.</w:t>
      </w:r>
    </w:p>
    <w:p w14:paraId="32DA22A2" w14:textId="77777777" w:rsidR="006B51FB" w:rsidRDefault="00D64B2B">
      <w:pPr>
        <w:pStyle w:val="Bibliography"/>
      </w:pPr>
      <w:bookmarkStart w:id="61" w:name="ref-kannenberg_linking_2019"/>
      <w:bookmarkEnd w:id="60"/>
      <w:proofErr w:type="spellStart"/>
      <w:r>
        <w:t>Kannenberg</w:t>
      </w:r>
      <w:proofErr w:type="spellEnd"/>
      <w:r>
        <w:t xml:space="preserve">, Steven A., Kimberly A. Novick, M. Ross Alexander, Justin T. Maxwell, David J. P. Moore, Richard P. Phillips, and William R. L. Anderegg. 2019. “Linking Drought Legacy Effects Across Scales: From Leaves to Tree Rings to Ecosystems.” </w:t>
      </w:r>
      <w:r>
        <w:rPr>
          <w:i/>
        </w:rPr>
        <w:t>Global Change Biology</w:t>
      </w:r>
      <w:r>
        <w:t xml:space="preserve"> 25 (9): 2978–92. </w:t>
      </w:r>
      <w:hyperlink r:id="rId66">
        <w:r>
          <w:t>https://doi.org/10.1111/gcb.14710</w:t>
        </w:r>
      </w:hyperlink>
      <w:r>
        <w:t>.</w:t>
      </w:r>
    </w:p>
    <w:p w14:paraId="756F602A" w14:textId="77777777" w:rsidR="006B51FB" w:rsidRDefault="00D64B2B">
      <w:pPr>
        <w:pStyle w:val="Bibliography"/>
      </w:pPr>
      <w:bookmarkStart w:id="62" w:name="ref-R-LeafArea"/>
      <w:bookmarkEnd w:id="61"/>
      <w:proofErr w:type="spellStart"/>
      <w:r>
        <w:t>Katabuchi</w:t>
      </w:r>
      <w:proofErr w:type="spellEnd"/>
      <w:r>
        <w:t xml:space="preserve">, Masatoshi. 2019. </w:t>
      </w:r>
      <w:proofErr w:type="spellStart"/>
      <w:r>
        <w:rPr>
          <w:i/>
        </w:rPr>
        <w:t>LeafArea</w:t>
      </w:r>
      <w:proofErr w:type="spellEnd"/>
      <w:r>
        <w:rPr>
          <w:i/>
        </w:rPr>
        <w:t>: Rapid Digital Image Analysis of Leaf Area</w:t>
      </w:r>
      <w:r>
        <w:t xml:space="preserve">. </w:t>
      </w:r>
      <w:hyperlink r:id="rId67">
        <w:r>
          <w:t>https://CRAN.R-project.org/package=LeafArea</w:t>
        </w:r>
      </w:hyperlink>
      <w:r>
        <w:t>.</w:t>
      </w:r>
    </w:p>
    <w:p w14:paraId="4CC917C1" w14:textId="77777777" w:rsidR="006B51FB" w:rsidRDefault="00D64B2B">
      <w:pPr>
        <w:pStyle w:val="Bibliography"/>
      </w:pPr>
      <w:bookmarkStart w:id="63" w:name="ref-kennedy_implementing_2019"/>
      <w:bookmarkEnd w:id="62"/>
      <w:r>
        <w:t xml:space="preserve">Kennedy, Daniel, Sean Swenson, Keith W. Oleson, David M. Lawrence, Rosie Fisher, Antonio Carlos Lola da Costa, and Pierre </w:t>
      </w:r>
      <w:proofErr w:type="spellStart"/>
      <w:r>
        <w:t>Gentine</w:t>
      </w:r>
      <w:proofErr w:type="spellEnd"/>
      <w:r>
        <w:t xml:space="preserve">. 2019. “Implementing Plant Hydraulics in the Community Land Model, Version 5.” </w:t>
      </w:r>
      <w:r>
        <w:rPr>
          <w:i/>
        </w:rPr>
        <w:t>Journal of Advances in Modeling Earth Systems</w:t>
      </w:r>
      <w:r>
        <w:t xml:space="preserve"> 11 (2): 485–513. </w:t>
      </w:r>
      <w:hyperlink r:id="rId68">
        <w:r>
          <w:t>https://doi.org/10.1029/2018MS001500</w:t>
        </w:r>
      </w:hyperlink>
      <w:r>
        <w:t>.</w:t>
      </w:r>
    </w:p>
    <w:p w14:paraId="59A1218D" w14:textId="77777777" w:rsidR="006B51FB" w:rsidRDefault="00D64B2B">
      <w:pPr>
        <w:pStyle w:val="Bibliography"/>
      </w:pPr>
      <w:bookmarkStart w:id="64" w:name="ref-koike_leaf_2001"/>
      <w:bookmarkEnd w:id="63"/>
      <w:r>
        <w:t xml:space="preserve">Koike, T., M. Kitao, Y. Maruyama, S. Mori, and T. T. Lei. 2001. “Leaf Morphology and Photosynthetic Adjustments Among Deciduous Broad-Leaved Trees Within the Vertical Canopy Profile.” </w:t>
      </w:r>
      <w:r>
        <w:rPr>
          <w:i/>
        </w:rPr>
        <w:t>Tree Physiology</w:t>
      </w:r>
      <w:r>
        <w:t xml:space="preserve"> 21 (12-13): 951–58. </w:t>
      </w:r>
      <w:hyperlink r:id="rId69">
        <w:r>
          <w:t>https://doi.org/10.1093/treephys/21.12-13.951</w:t>
        </w:r>
      </w:hyperlink>
      <w:r>
        <w:t>.</w:t>
      </w:r>
    </w:p>
    <w:p w14:paraId="15910148" w14:textId="77777777" w:rsidR="006B51FB" w:rsidRDefault="00D64B2B">
      <w:pPr>
        <w:pStyle w:val="Bibliography"/>
      </w:pPr>
      <w:bookmarkStart w:id="65" w:name="ref-kunert_revised_2017"/>
      <w:bookmarkEnd w:id="64"/>
      <w:proofErr w:type="spellStart"/>
      <w:r>
        <w:t>Kunert</w:t>
      </w:r>
      <w:proofErr w:type="spellEnd"/>
      <w:r>
        <w:t xml:space="preserve">, Norbert, Luiza Maria T. </w:t>
      </w:r>
      <w:proofErr w:type="spellStart"/>
      <w:r>
        <w:t>Aparecido</w:t>
      </w:r>
      <w:proofErr w:type="spellEnd"/>
      <w:r>
        <w:t xml:space="preserve">, Stefan Wolff, Niro Higuchi, Joaquim dos Santos, Alessandro Carioca de Araujo, and Susan </w:t>
      </w:r>
      <w:proofErr w:type="spellStart"/>
      <w:r>
        <w:t>Trumbore</w:t>
      </w:r>
      <w:proofErr w:type="spellEnd"/>
      <w:r>
        <w:t xml:space="preserve">. 2017. “A Revised Hydrological Model for the Central Amazon: The Importance of Emergent Canopy Trees in the Forest Water Budget.” </w:t>
      </w:r>
      <w:r>
        <w:rPr>
          <w:i/>
        </w:rPr>
        <w:t>Agricultural and Forest Meteorology</w:t>
      </w:r>
      <w:r>
        <w:t xml:space="preserve"> 239 (May): 47–57. </w:t>
      </w:r>
      <w:hyperlink r:id="rId70">
        <w:r>
          <w:t>https://doi.org/10.1016/j.agrformet.2017.03.002</w:t>
        </w:r>
      </w:hyperlink>
      <w:r>
        <w:t>.</w:t>
      </w:r>
    </w:p>
    <w:p w14:paraId="76EADF93" w14:textId="77777777" w:rsidR="006B51FB" w:rsidRDefault="00D64B2B">
      <w:pPr>
        <w:pStyle w:val="Bibliography"/>
      </w:pPr>
      <w:bookmarkStart w:id="66" w:name="ref-larjavaara_measuring_2013"/>
      <w:bookmarkEnd w:id="65"/>
      <w:proofErr w:type="spellStart"/>
      <w:r w:rsidRPr="00D64B2B">
        <w:rPr>
          <w:lang w:val="da-DK"/>
        </w:rPr>
        <w:t>Larjavaara</w:t>
      </w:r>
      <w:proofErr w:type="spellEnd"/>
      <w:r w:rsidRPr="00D64B2B">
        <w:rPr>
          <w:lang w:val="da-DK"/>
        </w:rPr>
        <w:t xml:space="preserve">, </w:t>
      </w:r>
      <w:proofErr w:type="spellStart"/>
      <w:r w:rsidRPr="00D64B2B">
        <w:rPr>
          <w:lang w:val="da-DK"/>
        </w:rPr>
        <w:t>Markku</w:t>
      </w:r>
      <w:proofErr w:type="spellEnd"/>
      <w:r w:rsidRPr="00D64B2B">
        <w:rPr>
          <w:lang w:val="da-DK"/>
        </w:rPr>
        <w:t xml:space="preserve">, and Helene C. Muller‐Landau. </w:t>
      </w:r>
      <w:r>
        <w:t xml:space="preserve">2013. “Measuring Tree Height: A Quantitative Comparison of Two Common Field Methods in a Moist Tropical Forest.” </w:t>
      </w:r>
      <w:r>
        <w:rPr>
          <w:i/>
        </w:rPr>
        <w:t>Methods in Ecology and Evolution</w:t>
      </w:r>
      <w:r>
        <w:t xml:space="preserve"> 4 (9): 793–801. </w:t>
      </w:r>
      <w:hyperlink r:id="rId71">
        <w:r>
          <w:t>https://doi.org/10.1111/2041-210X.12071</w:t>
        </w:r>
      </w:hyperlink>
      <w:r>
        <w:t>.</w:t>
      </w:r>
    </w:p>
    <w:p w14:paraId="2B9001FD" w14:textId="77777777" w:rsidR="006B51FB" w:rsidRDefault="00D64B2B">
      <w:pPr>
        <w:pStyle w:val="Bibliography"/>
      </w:pPr>
      <w:bookmarkStart w:id="67" w:name="ref-liu_hydraulic_2019"/>
      <w:bookmarkEnd w:id="66"/>
      <w:r>
        <w:t xml:space="preserve">Liu, Hui, Sean M. Gleason, </w:t>
      </w:r>
      <w:proofErr w:type="spellStart"/>
      <w:r>
        <w:t>Guangyou</w:t>
      </w:r>
      <w:proofErr w:type="spellEnd"/>
      <w:r>
        <w:t xml:space="preserve"> Hao, Lei Hua, </w:t>
      </w:r>
      <w:proofErr w:type="spellStart"/>
      <w:r>
        <w:t>Pengcheng</w:t>
      </w:r>
      <w:proofErr w:type="spellEnd"/>
      <w:r>
        <w:t xml:space="preserve"> He, Guillermo Goldstein, and Qing Ye. 2019. “Hydraulic Traits Are Coordinated with Maximum Plant Height at the Global Scale.” </w:t>
      </w:r>
      <w:r>
        <w:rPr>
          <w:i/>
        </w:rPr>
        <w:t>Science Advances</w:t>
      </w:r>
      <w:r>
        <w:t xml:space="preserve"> 5 (2). </w:t>
      </w:r>
      <w:hyperlink r:id="rId72">
        <w:r>
          <w:t>https://doi.org/10.1126/sciadv.aav1332</w:t>
        </w:r>
      </w:hyperlink>
      <w:r>
        <w:t>.</w:t>
      </w:r>
    </w:p>
    <w:p w14:paraId="4EA91CDA" w14:textId="77777777" w:rsidR="006B51FB" w:rsidRDefault="00D64B2B">
      <w:pPr>
        <w:pStyle w:val="Bibliography"/>
      </w:pPr>
      <w:bookmarkStart w:id="68" w:name="ref-liu_effect_1993"/>
      <w:bookmarkEnd w:id="67"/>
      <w:r>
        <w:t xml:space="preserve">Liu, Yan, and Robert N. Muller. 1993. “Effect of Drought and Frost on Radial Growth of Overstory and </w:t>
      </w:r>
      <w:proofErr w:type="spellStart"/>
      <w:r>
        <w:t>Undesrstory</w:t>
      </w:r>
      <w:proofErr w:type="spellEnd"/>
      <w:r>
        <w:t xml:space="preserve"> Stems in a Deciduous Forest.” </w:t>
      </w:r>
      <w:r>
        <w:rPr>
          <w:i/>
        </w:rPr>
        <w:t>The American Midland Naturalist</w:t>
      </w:r>
      <w:r>
        <w:t xml:space="preserve"> 129 (1): 19–25. </w:t>
      </w:r>
      <w:hyperlink r:id="rId73">
        <w:r>
          <w:t>https://doi.org/10.2307/2426431</w:t>
        </w:r>
      </w:hyperlink>
      <w:r>
        <w:t>.</w:t>
      </w:r>
    </w:p>
    <w:p w14:paraId="48C4BE26" w14:textId="77777777" w:rsidR="006B51FB" w:rsidRDefault="00D64B2B">
      <w:pPr>
        <w:pStyle w:val="Bibliography"/>
      </w:pPr>
      <w:bookmarkStart w:id="69" w:name="ref-lloret_components_2011"/>
      <w:bookmarkEnd w:id="68"/>
      <w:proofErr w:type="spellStart"/>
      <w:r>
        <w:t>Lloret</w:t>
      </w:r>
      <w:proofErr w:type="spellEnd"/>
      <w:r>
        <w:t xml:space="preserve">, Francisco, Eric G. Keeling, and Anna Sala. 2011. “Components of Tree Resilience: Effects of Successive Low-Growth Episodes in Old Ponderosa Pine Forests.” </w:t>
      </w:r>
      <w:r>
        <w:rPr>
          <w:i/>
        </w:rPr>
        <w:t>Oikos</w:t>
      </w:r>
      <w:r>
        <w:t xml:space="preserve"> 120 (12): 1909–20. </w:t>
      </w:r>
      <w:hyperlink r:id="rId74">
        <w:r>
          <w:t>https://doi.org/10.1111/j.1600-0706.2011.19372.x</w:t>
        </w:r>
      </w:hyperlink>
      <w:r>
        <w:t>.</w:t>
      </w:r>
    </w:p>
    <w:p w14:paraId="3EBF814F" w14:textId="77777777" w:rsidR="006B51FB" w:rsidRDefault="00D64B2B">
      <w:pPr>
        <w:pStyle w:val="Bibliography"/>
      </w:pPr>
      <w:bookmarkStart w:id="70" w:name="ref-R-neonUtilities"/>
      <w:bookmarkEnd w:id="69"/>
      <w:r>
        <w:t xml:space="preserve">Lunch, Claire, Christine Laney, Nathan </w:t>
      </w:r>
      <w:proofErr w:type="spellStart"/>
      <w:r>
        <w:t>Mietkiewicz</w:t>
      </w:r>
      <w:proofErr w:type="spellEnd"/>
      <w:r>
        <w:t xml:space="preserve">, Eric Sokol, </w:t>
      </w:r>
      <w:proofErr w:type="spellStart"/>
      <w:r>
        <w:t>Kaelin</w:t>
      </w:r>
      <w:proofErr w:type="spellEnd"/>
      <w:r>
        <w:t xml:space="preserve"> Cawley, and NEON (National Ecological Observatory Network). 2020. </w:t>
      </w:r>
      <w:proofErr w:type="spellStart"/>
      <w:r>
        <w:rPr>
          <w:i/>
        </w:rPr>
        <w:t>NeonUtilities</w:t>
      </w:r>
      <w:proofErr w:type="spellEnd"/>
      <w:r>
        <w:rPr>
          <w:i/>
        </w:rPr>
        <w:t>: Utilities for Working with Neon Data</w:t>
      </w:r>
      <w:r>
        <w:t xml:space="preserve">. </w:t>
      </w:r>
      <w:hyperlink r:id="rId75">
        <w:r>
          <w:t>https://CRAN.R-project.org/package=neonUtilities</w:t>
        </w:r>
      </w:hyperlink>
      <w:r>
        <w:t>.</w:t>
      </w:r>
    </w:p>
    <w:p w14:paraId="53D094CE" w14:textId="77777777" w:rsidR="006B51FB" w:rsidRDefault="00D64B2B">
      <w:pPr>
        <w:pStyle w:val="Bibliography"/>
      </w:pPr>
      <w:bookmarkStart w:id="71" w:name="ref-marechaux_drought_2015"/>
      <w:bookmarkEnd w:id="70"/>
      <w:proofErr w:type="spellStart"/>
      <w:r>
        <w:lastRenderedPageBreak/>
        <w:t>Maréchaux</w:t>
      </w:r>
      <w:proofErr w:type="spellEnd"/>
      <w:r>
        <w:t xml:space="preserve">, Isabelle, Megan K. Bartlett, </w:t>
      </w:r>
      <w:proofErr w:type="spellStart"/>
      <w:r>
        <w:t>Lawren</w:t>
      </w:r>
      <w:proofErr w:type="spellEnd"/>
      <w:r>
        <w:t xml:space="preserve"> Sack, Christopher </w:t>
      </w:r>
      <w:proofErr w:type="spellStart"/>
      <w:r>
        <w:t>Baraloto</w:t>
      </w:r>
      <w:proofErr w:type="spellEnd"/>
      <w:r>
        <w:t xml:space="preserve">, Julien Engel, Emilie </w:t>
      </w:r>
      <w:proofErr w:type="spellStart"/>
      <w:r>
        <w:t>Joetzjer</w:t>
      </w:r>
      <w:proofErr w:type="spellEnd"/>
      <w:r>
        <w:t xml:space="preserve">, and Jérôme </w:t>
      </w:r>
      <w:proofErr w:type="spellStart"/>
      <w:r>
        <w:t>Chave</w:t>
      </w:r>
      <w:proofErr w:type="spellEnd"/>
      <w:r>
        <w:t xml:space="preserve">. 2015. “Drought Tolerance as Predicted by Leaf Water Potential at Turgor Loss Point Varies Strongly Across Species Within an Amazonian Forest.” </w:t>
      </w:r>
      <w:r>
        <w:rPr>
          <w:i/>
        </w:rPr>
        <w:t>Functional Ecology</w:t>
      </w:r>
      <w:r>
        <w:t xml:space="preserve"> 29 (10): 1268–77. </w:t>
      </w:r>
      <w:hyperlink r:id="rId76">
        <w:r>
          <w:t>https://doi.org/10.1111/1365-2435.12452</w:t>
        </w:r>
      </w:hyperlink>
      <w:r>
        <w:t>.</w:t>
      </w:r>
    </w:p>
    <w:p w14:paraId="03E98C44" w14:textId="77777777" w:rsidR="006B51FB" w:rsidRDefault="00D64B2B">
      <w:pPr>
        <w:pStyle w:val="Bibliography"/>
      </w:pPr>
      <w:bookmarkStart w:id="72" w:name="ref-marechaux_leaf_2020"/>
      <w:bookmarkEnd w:id="71"/>
      <w:proofErr w:type="spellStart"/>
      <w:r>
        <w:t>Maréchaux</w:t>
      </w:r>
      <w:proofErr w:type="spellEnd"/>
      <w:r>
        <w:t xml:space="preserve">, Isabelle, Laurent Saint‐André, Megan K. Bartlett, </w:t>
      </w:r>
      <w:proofErr w:type="spellStart"/>
      <w:r>
        <w:t>Lawren</w:t>
      </w:r>
      <w:proofErr w:type="spellEnd"/>
      <w:r>
        <w:t xml:space="preserve"> Sack, and Jérôme </w:t>
      </w:r>
      <w:proofErr w:type="spellStart"/>
      <w:r>
        <w:t>Chave</w:t>
      </w:r>
      <w:proofErr w:type="spellEnd"/>
      <w:r>
        <w:t xml:space="preserve">. 2020. “Leaf Drought Tolerance Cannot Be Inferred from Classic Leaf Traits in a Tropical Rainforest.” </w:t>
      </w:r>
      <w:r>
        <w:rPr>
          <w:i/>
        </w:rPr>
        <w:t>Journal of Ecology</w:t>
      </w:r>
      <w:r>
        <w:t xml:space="preserve"> 108 (3): 1030–45. </w:t>
      </w:r>
      <w:hyperlink r:id="rId77">
        <w:r>
          <w:t>https://doi.org/10.1111/1365-2745.13321</w:t>
        </w:r>
      </w:hyperlink>
      <w:r>
        <w:t>.</w:t>
      </w:r>
    </w:p>
    <w:p w14:paraId="31B6AF9F" w14:textId="77777777" w:rsidR="006B51FB" w:rsidRDefault="00D64B2B">
      <w:pPr>
        <w:pStyle w:val="Bibliography"/>
      </w:pPr>
      <w:bookmarkStart w:id="73" w:name="ref-martin-benito_convergence_2015"/>
      <w:bookmarkEnd w:id="72"/>
      <w:r>
        <w:t xml:space="preserve">Martin-Benito, Dario, and Neil Pederson. 2015. “Convergence in Drought Stress, but a Divergence of Climatic Drivers Across a Latitudinal Gradient in a Temperate Broadleaf Forest.” </w:t>
      </w:r>
      <w:r>
        <w:rPr>
          <w:i/>
        </w:rPr>
        <w:t>Journal of Biogeography</w:t>
      </w:r>
      <w:r>
        <w:t xml:space="preserve"> 42 (5): 925–37. </w:t>
      </w:r>
      <w:hyperlink r:id="rId78">
        <w:r>
          <w:t>https://doi.org/10.1111/jbi.12462</w:t>
        </w:r>
      </w:hyperlink>
      <w:r>
        <w:t>.</w:t>
      </w:r>
    </w:p>
    <w:p w14:paraId="487C32F7" w14:textId="77777777" w:rsidR="006B51FB" w:rsidRDefault="00D64B2B">
      <w:pPr>
        <w:pStyle w:val="Bibliography"/>
      </w:pPr>
      <w:bookmarkStart w:id="74" w:name="ref-martinbenito_convergence_2015"/>
      <w:bookmarkEnd w:id="73"/>
      <w:r>
        <w:t xml:space="preserve">Martin‐Benito, Dario, and Neil Pederson. 2015. “Convergence in Drought Stress, but a Divergence of Climatic Drivers Across a Latitudinal Gradient in a Temperate Broadleaf Forest.” </w:t>
      </w:r>
      <w:r>
        <w:rPr>
          <w:i/>
        </w:rPr>
        <w:t>Journal of Biogeography</w:t>
      </w:r>
      <w:r>
        <w:t xml:space="preserve"> 42 (5): 925–37. </w:t>
      </w:r>
      <w:hyperlink r:id="rId79">
        <w:r>
          <w:t>https://doi.org/10.1111/jbi.12462</w:t>
        </w:r>
      </w:hyperlink>
      <w:r>
        <w:t>.</w:t>
      </w:r>
    </w:p>
    <w:p w14:paraId="5FBBFD27" w14:textId="77777777" w:rsidR="006B51FB" w:rsidRDefault="00D64B2B">
      <w:pPr>
        <w:pStyle w:val="Bibliography"/>
      </w:pPr>
      <w:bookmarkStart w:id="75" w:name="ref-R-AICcmodavg"/>
      <w:bookmarkEnd w:id="74"/>
      <w:r>
        <w:t xml:space="preserve">Mazerolle, Marc J., and portions of code contributed by Dan Linden. 2019. </w:t>
      </w:r>
      <w:proofErr w:type="spellStart"/>
      <w:r>
        <w:rPr>
          <w:i/>
        </w:rPr>
        <w:t>AICcmodavg</w:t>
      </w:r>
      <w:proofErr w:type="spellEnd"/>
      <w:r>
        <w:rPr>
          <w:i/>
        </w:rPr>
        <w:t xml:space="preserve">: Model Selection and </w:t>
      </w:r>
      <w:proofErr w:type="spellStart"/>
      <w:r>
        <w:rPr>
          <w:i/>
        </w:rPr>
        <w:t>Multimodel</w:t>
      </w:r>
      <w:proofErr w:type="spellEnd"/>
      <w:r>
        <w:rPr>
          <w:i/>
        </w:rPr>
        <w:t xml:space="preserve"> Inference Based on (Q)AIC(c)</w:t>
      </w:r>
      <w:r>
        <w:t xml:space="preserve">. </w:t>
      </w:r>
      <w:hyperlink r:id="rId80">
        <w:r>
          <w:t>https://CRAN.R-project.org/package=AICcmodavg</w:t>
        </w:r>
      </w:hyperlink>
      <w:r>
        <w:t>.</w:t>
      </w:r>
    </w:p>
    <w:p w14:paraId="49EBAFB0" w14:textId="77777777" w:rsidR="006B51FB" w:rsidRDefault="00D64B2B">
      <w:pPr>
        <w:pStyle w:val="Bibliography"/>
      </w:pPr>
      <w:bookmarkStart w:id="76" w:name="ref-mcdowell_pervasive_2020"/>
      <w:bookmarkEnd w:id="75"/>
      <w:r>
        <w:t xml:space="preserve">McDowell, Nate G., Craig D. Allen, Kristina Anderson-Teixeira, Brian H. </w:t>
      </w:r>
      <w:proofErr w:type="spellStart"/>
      <w:r>
        <w:t>Aukema</w:t>
      </w:r>
      <w:proofErr w:type="spellEnd"/>
      <w:r>
        <w:t>, Ben Bond-</w:t>
      </w:r>
      <w:proofErr w:type="spellStart"/>
      <w:r>
        <w:t>Lamberty</w:t>
      </w:r>
      <w:proofErr w:type="spellEnd"/>
      <w:r>
        <w:t xml:space="preserve">, Louise </w:t>
      </w:r>
      <w:proofErr w:type="spellStart"/>
      <w:r>
        <w:t>Chini</w:t>
      </w:r>
      <w:proofErr w:type="spellEnd"/>
      <w:r>
        <w:t xml:space="preserve">, James S. Clark, et al. 2020. “Pervasive Shifts in Forest Dynamics in a Changing World.” </w:t>
      </w:r>
      <w:r>
        <w:rPr>
          <w:i/>
        </w:rPr>
        <w:t>Science</w:t>
      </w:r>
      <w:r>
        <w:t xml:space="preserve"> 368 (6494). </w:t>
      </w:r>
      <w:hyperlink r:id="rId81">
        <w:r>
          <w:t>https://doi.org/10.1126/science.aaz9463</w:t>
        </w:r>
      </w:hyperlink>
      <w:r>
        <w:t>.</w:t>
      </w:r>
    </w:p>
    <w:p w14:paraId="71BFC9B4" w14:textId="77777777" w:rsidR="006B51FB" w:rsidRDefault="00D64B2B">
      <w:pPr>
        <w:pStyle w:val="Bibliography"/>
      </w:pPr>
      <w:bookmarkStart w:id="77" w:name="ref-mcdowell_relationships_2011"/>
      <w:bookmarkEnd w:id="76"/>
      <w:r>
        <w:t xml:space="preserve">McDowell, Nate G., Barbara J. Bond, Lee T. Dickman, Michael G. Ryan, and David Whitehead. 2011. “Relationships Between Tree Height and Carbon Isotope Discrimination.” In </w:t>
      </w:r>
      <w:r>
        <w:rPr>
          <w:i/>
        </w:rPr>
        <w:t>Size- and Age-Related Changes in Tree Structure and Function</w:t>
      </w:r>
      <w:r>
        <w:t xml:space="preserve">, edited by Frederick C. </w:t>
      </w:r>
      <w:proofErr w:type="spellStart"/>
      <w:r>
        <w:t>Meinzer</w:t>
      </w:r>
      <w:proofErr w:type="spellEnd"/>
      <w:r>
        <w:t xml:space="preserve">, Barbara </w:t>
      </w:r>
      <w:proofErr w:type="spellStart"/>
      <w:r>
        <w:t>Lachenbruch</w:t>
      </w:r>
      <w:proofErr w:type="spellEnd"/>
      <w:r>
        <w:t xml:space="preserve">, and Todd E. Dawson, 255–86. Tree Physiology. Dordrecht: Springer Netherlands. </w:t>
      </w:r>
      <w:hyperlink r:id="rId82">
        <w:r>
          <w:t>https://doi.org/10.1007/978-94-007-1242-3_10</w:t>
        </w:r>
      </w:hyperlink>
      <w:r>
        <w:t>.</w:t>
      </w:r>
    </w:p>
    <w:p w14:paraId="65A9E544" w14:textId="77777777" w:rsidR="006B51FB" w:rsidRDefault="00D64B2B">
      <w:pPr>
        <w:pStyle w:val="Bibliography"/>
      </w:pPr>
      <w:bookmarkStart w:id="78" w:name="ref-mcdowell_darcys_2015"/>
      <w:bookmarkEnd w:id="77"/>
      <w:r>
        <w:t xml:space="preserve">McDowell, Nathan G., and Craig D. Allen. 2015. “Darcy’s Law Predicts Widespread Forest Mortality Under Climate Warming.” </w:t>
      </w:r>
      <w:r>
        <w:rPr>
          <w:i/>
        </w:rPr>
        <w:t>Nature Climate Change</w:t>
      </w:r>
      <w:r>
        <w:t xml:space="preserve"> 5 (7): 669–72. </w:t>
      </w:r>
      <w:hyperlink r:id="rId83">
        <w:r>
          <w:t>https://doi.org/10.1038/nclimate2641</w:t>
        </w:r>
      </w:hyperlink>
      <w:r>
        <w:t>.</w:t>
      </w:r>
    </w:p>
    <w:p w14:paraId="41CD4AAE" w14:textId="77777777" w:rsidR="006B51FB" w:rsidRDefault="00D64B2B">
      <w:pPr>
        <w:pStyle w:val="Bibliography"/>
      </w:pPr>
      <w:bookmarkStart w:id="79" w:name="ref-meakem_role_2018"/>
      <w:bookmarkEnd w:id="78"/>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 </w:t>
      </w:r>
      <w:r>
        <w:rPr>
          <w:i/>
        </w:rPr>
        <w:t>New Phytologist</w:t>
      </w:r>
      <w:r>
        <w:t xml:space="preserve"> 219 (3): 947–58. </w:t>
      </w:r>
      <w:hyperlink r:id="rId84">
        <w:r>
          <w:t>https://doi.org/10.1111/nph.14633</w:t>
        </w:r>
      </w:hyperlink>
      <w:r>
        <w:t>.</w:t>
      </w:r>
    </w:p>
    <w:p w14:paraId="7BB6BB0A" w14:textId="77777777" w:rsidR="006B51FB" w:rsidRDefault="00D64B2B">
      <w:pPr>
        <w:pStyle w:val="Bibliography"/>
      </w:pPr>
      <w:bookmarkStart w:id="80" w:name="ref-medeiros_extensive_2019"/>
      <w:bookmarkEnd w:id="79"/>
      <w:r>
        <w:t xml:space="preserve">Medeiros, Camila D., Christine </w:t>
      </w:r>
      <w:proofErr w:type="spellStart"/>
      <w:r>
        <w:t>Scoffoni</w:t>
      </w:r>
      <w:proofErr w:type="spellEnd"/>
      <w:r>
        <w:t>, Grace P. John, Megan K. Bartlett, Faith Inman‐</w:t>
      </w:r>
      <w:proofErr w:type="spellStart"/>
      <w:r>
        <w:t>Narahari</w:t>
      </w:r>
      <w:proofErr w:type="spellEnd"/>
      <w:r>
        <w:t xml:space="preserve">, Rebecca Ostertag, Susan Cordell, Christian </w:t>
      </w:r>
      <w:proofErr w:type="spellStart"/>
      <w:r>
        <w:t>Giardina</w:t>
      </w:r>
      <w:proofErr w:type="spellEnd"/>
      <w:r>
        <w:t xml:space="preserve">, and </w:t>
      </w:r>
      <w:proofErr w:type="spellStart"/>
      <w:r>
        <w:t>Lawren</w:t>
      </w:r>
      <w:proofErr w:type="spellEnd"/>
      <w:r>
        <w:t xml:space="preserve"> Sack. 2019. “An Extensive Suite of Functional Traits Distinguishes Hawaiian Wet and Dry Forests and Enables Prediction of Species Vital Rates.” </w:t>
      </w:r>
      <w:r>
        <w:rPr>
          <w:i/>
        </w:rPr>
        <w:t>Functional Ecology</w:t>
      </w:r>
      <w:r>
        <w:t xml:space="preserve"> 33 (4): 712–34. </w:t>
      </w:r>
      <w:hyperlink r:id="rId85">
        <w:r>
          <w:t>https://doi.org/10.1111/1365-2435.13229</w:t>
        </w:r>
      </w:hyperlink>
      <w:r>
        <w:t>.</w:t>
      </w:r>
    </w:p>
    <w:p w14:paraId="2C3279ED" w14:textId="77777777" w:rsidR="006B51FB" w:rsidRDefault="00D64B2B">
      <w:pPr>
        <w:pStyle w:val="Bibliography"/>
      </w:pPr>
      <w:bookmarkStart w:id="81" w:name="ref-meinzer_partitioning_1999"/>
      <w:bookmarkEnd w:id="80"/>
      <w:proofErr w:type="spellStart"/>
      <w:r>
        <w:t>Meinzer</w:t>
      </w:r>
      <w:proofErr w:type="spellEnd"/>
      <w:r>
        <w:t xml:space="preserve">, F. C., José Luis Andrade, Guillermo Goldstein, N. Michele Holbrook, Jaime </w:t>
      </w:r>
      <w:proofErr w:type="spellStart"/>
      <w:r>
        <w:t>Cavelier</w:t>
      </w:r>
      <w:proofErr w:type="spellEnd"/>
      <w:r>
        <w:t xml:space="preserve">, and S. Joseph Wright. 1999. “Partitioning of Soil Water Among Canopy Trees in a Seasonally Dry Tropical Forest.” </w:t>
      </w:r>
      <w:proofErr w:type="spellStart"/>
      <w:r>
        <w:rPr>
          <w:i/>
        </w:rPr>
        <w:t>Oecologia</w:t>
      </w:r>
      <w:proofErr w:type="spellEnd"/>
      <w:r>
        <w:t xml:space="preserve"> 121 (3): 293–301. </w:t>
      </w:r>
      <w:hyperlink r:id="rId86">
        <w:r>
          <w:t>https://doi.org/10.1007/s004420050931</w:t>
        </w:r>
      </w:hyperlink>
      <w:r>
        <w:t>.</w:t>
      </w:r>
    </w:p>
    <w:p w14:paraId="277C465A" w14:textId="77777777" w:rsidR="006B51FB" w:rsidRDefault="00D64B2B">
      <w:pPr>
        <w:pStyle w:val="Bibliography"/>
      </w:pPr>
      <w:bookmarkStart w:id="82" w:name="ref-mencuccini_ecological_2003"/>
      <w:bookmarkEnd w:id="81"/>
      <w:proofErr w:type="spellStart"/>
      <w:r>
        <w:t>Mencuccini</w:t>
      </w:r>
      <w:proofErr w:type="spellEnd"/>
      <w:r>
        <w:t xml:space="preserve">, M. 2003. “The Ecological Significance of Long-Distance Water Transport: Short-Term Regulation, Long-Term Acclimation and the Hydraulic Costs of Stature Across Plant Life Forms.” </w:t>
      </w:r>
      <w:r>
        <w:rPr>
          <w:i/>
        </w:rPr>
        <w:t>Plant, Cell &amp; Environment</w:t>
      </w:r>
      <w:r>
        <w:t xml:space="preserve"> 26 (1): 163–82. </w:t>
      </w:r>
      <w:hyperlink r:id="rId87">
        <w:r>
          <w:t>https://doi.org/10.1046/j.1365-3040.2003.00991.x</w:t>
        </w:r>
      </w:hyperlink>
      <w:r>
        <w:t>.</w:t>
      </w:r>
    </w:p>
    <w:p w14:paraId="65A3A896" w14:textId="77777777" w:rsidR="006B51FB" w:rsidRDefault="00D64B2B">
      <w:pPr>
        <w:pStyle w:val="Bibliography"/>
      </w:pPr>
      <w:bookmarkStart w:id="83" w:name="ref-merlin_effects_2015"/>
      <w:bookmarkEnd w:id="82"/>
      <w:r>
        <w:lastRenderedPageBreak/>
        <w:t xml:space="preserve">Merlin, </w:t>
      </w:r>
      <w:proofErr w:type="spellStart"/>
      <w:r>
        <w:t>Morgane</w:t>
      </w:r>
      <w:proofErr w:type="spellEnd"/>
      <w:r>
        <w:t xml:space="preserve">, Thomas Perot, Sandrine Perret, Nathalie </w:t>
      </w:r>
      <w:proofErr w:type="spellStart"/>
      <w:r>
        <w:t>Korboulewsky</w:t>
      </w:r>
      <w:proofErr w:type="spellEnd"/>
      <w:r>
        <w:t xml:space="preserve">, and Patrick </w:t>
      </w:r>
      <w:proofErr w:type="spellStart"/>
      <w:r>
        <w:t>Vallet</w:t>
      </w:r>
      <w:proofErr w:type="spellEnd"/>
      <w:r>
        <w:t xml:space="preserve">. 2015. “Effects of Stand Composition and Tree Size on Resistance and Resilience to Drought in Sessile Oak and Scots Pine.” </w:t>
      </w:r>
      <w:r>
        <w:rPr>
          <w:i/>
        </w:rPr>
        <w:t>Forest Ecology and Management</w:t>
      </w:r>
      <w:r>
        <w:t xml:space="preserve"> 339 (March): 22–33. </w:t>
      </w:r>
      <w:hyperlink r:id="rId88">
        <w:r>
          <w:t>https://doi.org/10.1016/j.foreco.2014.11.032</w:t>
        </w:r>
      </w:hyperlink>
      <w:r>
        <w:t>.</w:t>
      </w:r>
    </w:p>
    <w:p w14:paraId="52875DAE" w14:textId="77777777" w:rsidR="006B51FB" w:rsidRDefault="00D64B2B">
      <w:pPr>
        <w:pStyle w:val="Bibliography"/>
      </w:pPr>
      <w:bookmarkStart w:id="84" w:name="ref-R-dynatopmodel"/>
      <w:bookmarkEnd w:id="83"/>
      <w:r>
        <w:t xml:space="preserve">Metcalfe, Peter, Keith </w:t>
      </w:r>
      <w:proofErr w:type="spellStart"/>
      <w:r>
        <w:t>Beven</w:t>
      </w:r>
      <w:proofErr w:type="spellEnd"/>
      <w:r>
        <w:t xml:space="preserve">, and Jim Freer. 2018. </w:t>
      </w:r>
      <w:proofErr w:type="spellStart"/>
      <w:r>
        <w:rPr>
          <w:i/>
        </w:rPr>
        <w:t>Dynatopmodel</w:t>
      </w:r>
      <w:proofErr w:type="spellEnd"/>
      <w:r>
        <w:rPr>
          <w:i/>
        </w:rPr>
        <w:t xml:space="preserve">: Implementation of the Dynamic </w:t>
      </w:r>
      <w:proofErr w:type="spellStart"/>
      <w:r>
        <w:rPr>
          <w:i/>
        </w:rPr>
        <w:t>Topmodel</w:t>
      </w:r>
      <w:proofErr w:type="spellEnd"/>
      <w:r>
        <w:rPr>
          <w:i/>
        </w:rPr>
        <w:t xml:space="preserve"> Hydrological Model</w:t>
      </w:r>
      <w:r>
        <w:t xml:space="preserve">. </w:t>
      </w:r>
      <w:hyperlink r:id="rId89">
        <w:r>
          <w:t>https://CRAN.R-project.org/package=dynatopmodel</w:t>
        </w:r>
      </w:hyperlink>
      <w:r>
        <w:t>.</w:t>
      </w:r>
    </w:p>
    <w:p w14:paraId="2E21B839" w14:textId="77777777" w:rsidR="006B51FB" w:rsidRDefault="00D64B2B">
      <w:pPr>
        <w:pStyle w:val="Bibliography"/>
      </w:pPr>
      <w:bookmarkStart w:id="85" w:name="ref-neon_national_2018"/>
      <w:bookmarkEnd w:id="84"/>
      <w:r>
        <w:t>NEON. 2018. “National Ecological Observatory Network. 2016, 2017, 2018. Data Products: DP1.00001.001, DP1.00098.001, DP1.00002.001. Provisional Data Downloaded from Http://Data.neonscience.org/ in May 2019. Battelle, Boulder, CO, USA.”</w:t>
      </w:r>
    </w:p>
    <w:p w14:paraId="5EA53EA4" w14:textId="77777777" w:rsidR="006B51FB" w:rsidRDefault="00D64B2B">
      <w:pPr>
        <w:pStyle w:val="Bibliography"/>
      </w:pPr>
      <w:bookmarkStart w:id="86" w:name="ref-olson_universal_2014"/>
      <w:bookmarkEnd w:id="85"/>
      <w:r>
        <w:t xml:space="preserve">Olson, Mark E., Tommaso </w:t>
      </w:r>
      <w:proofErr w:type="spellStart"/>
      <w:r>
        <w:t>Anfodillo</w:t>
      </w:r>
      <w:proofErr w:type="spellEnd"/>
      <w:r>
        <w:t xml:space="preserve">, Julieta A. </w:t>
      </w:r>
      <w:proofErr w:type="spellStart"/>
      <w:r>
        <w:t>Rosell</w:t>
      </w:r>
      <w:proofErr w:type="spellEnd"/>
      <w:r>
        <w:t xml:space="preserve">, </w:t>
      </w:r>
      <w:proofErr w:type="spellStart"/>
      <w:r>
        <w:t>Giai</w:t>
      </w:r>
      <w:proofErr w:type="spellEnd"/>
      <w:r>
        <w:t xml:space="preserve"> Petit, Alan </w:t>
      </w:r>
      <w:proofErr w:type="spellStart"/>
      <w:r>
        <w:t>Crivellaro</w:t>
      </w:r>
      <w:proofErr w:type="spellEnd"/>
      <w:r>
        <w:t xml:space="preserve">, Sandrine </w:t>
      </w:r>
      <w:proofErr w:type="spellStart"/>
      <w:r>
        <w:t>Isnard</w:t>
      </w:r>
      <w:proofErr w:type="spellEnd"/>
      <w:r>
        <w:t xml:space="preserve">, Calixto León-Gómez, Leonardo O. Alvarado-Cárdenas, and </w:t>
      </w:r>
      <w:proofErr w:type="spellStart"/>
      <w:r>
        <w:t>Matiss</w:t>
      </w:r>
      <w:proofErr w:type="spellEnd"/>
      <w:r>
        <w:t xml:space="preserve"> </w:t>
      </w:r>
      <w:proofErr w:type="spellStart"/>
      <w:r>
        <w:t>Castorena</w:t>
      </w:r>
      <w:proofErr w:type="spellEnd"/>
      <w:r>
        <w:t xml:space="preserve">. 2014. “Universal Hydraulics of the Flowering Plants: Vessel Diameter Scales with Stem Length Across Angiosperm Lineages, Habits and Climates.” </w:t>
      </w:r>
      <w:r>
        <w:rPr>
          <w:i/>
        </w:rPr>
        <w:t>Ecology Letters</w:t>
      </w:r>
      <w:r>
        <w:t xml:space="preserve"> 17 (8): 988–97. </w:t>
      </w:r>
      <w:hyperlink r:id="rId90">
        <w:r>
          <w:t>https://doi.org/10.1111/ele.12302</w:t>
        </w:r>
      </w:hyperlink>
      <w:r>
        <w:t>.</w:t>
      </w:r>
    </w:p>
    <w:p w14:paraId="046114EA" w14:textId="77777777" w:rsidR="006B51FB" w:rsidRDefault="00D64B2B">
      <w:pPr>
        <w:pStyle w:val="Bibliography"/>
      </w:pPr>
      <w:bookmarkStart w:id="87" w:name="ref-olson_plant_2018"/>
      <w:bookmarkEnd w:id="86"/>
      <w:r>
        <w:t xml:space="preserve">Olson, Mark E., Diana Soriano, Julieta A. </w:t>
      </w:r>
      <w:proofErr w:type="spellStart"/>
      <w:r>
        <w:t>Rosell</w:t>
      </w:r>
      <w:proofErr w:type="spellEnd"/>
      <w:r>
        <w:t xml:space="preserve">, Tommaso </w:t>
      </w:r>
      <w:proofErr w:type="spellStart"/>
      <w:r>
        <w:t>Anfodillo</w:t>
      </w:r>
      <w:proofErr w:type="spellEnd"/>
      <w:r>
        <w:t xml:space="preserve">, Michael J. Donoghue, Erika J. Edwards, Calixto León-Gómez, et al. 2018. “Plant Height and Hydraulic Vulnerability to Drought and Cold.” </w:t>
      </w:r>
      <w:r>
        <w:rPr>
          <w:i/>
        </w:rPr>
        <w:t>Proceedings of the National Academy of Sciences</w:t>
      </w:r>
      <w:r>
        <w:t xml:space="preserve"> 115 (29): 7551–6. </w:t>
      </w:r>
      <w:hyperlink r:id="rId91">
        <w:r>
          <w:t>https://doi.org/10.1073/pnas.1721728115</w:t>
        </w:r>
      </w:hyperlink>
      <w:r>
        <w:t>.</w:t>
      </w:r>
    </w:p>
    <w:p w14:paraId="1B6C07BD" w14:textId="77777777" w:rsidR="006B51FB" w:rsidRDefault="00D64B2B">
      <w:pPr>
        <w:pStyle w:val="Bibliography"/>
      </w:pPr>
      <w:bookmarkStart w:id="88" w:name="ref-olson_xylem_2020"/>
      <w:bookmarkEnd w:id="87"/>
      <w:r>
        <w:t xml:space="preserve">Olson, Mark, Julieta A. </w:t>
      </w:r>
      <w:proofErr w:type="spellStart"/>
      <w:r>
        <w:t>Rosell</w:t>
      </w:r>
      <w:proofErr w:type="spellEnd"/>
      <w:r>
        <w:t xml:space="preserve">, Cecilia Martínez‐Pérez, Calixto León‐Gómez, Alex Fajardo, Sandrine </w:t>
      </w:r>
      <w:proofErr w:type="spellStart"/>
      <w:r>
        <w:t>Isnard</w:t>
      </w:r>
      <w:proofErr w:type="spellEnd"/>
      <w:r>
        <w:t xml:space="preserve">, María </w:t>
      </w:r>
      <w:proofErr w:type="spellStart"/>
      <w:r>
        <w:t>Angélica</w:t>
      </w:r>
      <w:proofErr w:type="spellEnd"/>
      <w:r>
        <w:t xml:space="preserve"> Cervantes‐Alcayde, et al. 2020. “Xylem Vessel-Diameter–Shoot-Length Scaling: Ecological Significance of Porosity Types and Other Traits.” </w:t>
      </w:r>
      <w:r>
        <w:rPr>
          <w:i/>
        </w:rPr>
        <w:t>Ecological Monographs</w:t>
      </w:r>
      <w:r>
        <w:t xml:space="preserve"> 90 (3). </w:t>
      </w:r>
      <w:hyperlink r:id="rId92">
        <w:r>
          <w:t>https://doi.org/10.1002/ecm.1410</w:t>
        </w:r>
      </w:hyperlink>
      <w:r>
        <w:t>.</w:t>
      </w:r>
    </w:p>
    <w:p w14:paraId="1A719004" w14:textId="77777777" w:rsidR="006B51FB" w:rsidRDefault="00D64B2B">
      <w:pPr>
        <w:pStyle w:val="Bibliography"/>
      </w:pPr>
      <w:bookmarkStart w:id="89" w:name="ref-phillips_reliance_2003"/>
      <w:bookmarkEnd w:id="88"/>
      <w:r>
        <w:t xml:space="preserve">Phillips, N. G., M. G. Ryan, B. J. Bond, N. G. McDowell, T. M. Hinckley, and J. </w:t>
      </w:r>
      <w:proofErr w:type="spellStart"/>
      <w:r>
        <w:t>Čermák</w:t>
      </w:r>
      <w:proofErr w:type="spellEnd"/>
      <w:r>
        <w:t xml:space="preserve">. 2003. “Reliance on Stored Water Increases with Tree Size in Three Species in the Pacific Northwest.” </w:t>
      </w:r>
      <w:r>
        <w:rPr>
          <w:i/>
        </w:rPr>
        <w:t>Tree Physiology</w:t>
      </w:r>
      <w:r>
        <w:t xml:space="preserve"> 23 (4): 237–45. </w:t>
      </w:r>
      <w:hyperlink r:id="rId93">
        <w:r>
          <w:t>https://doi.org/10.1093/treephys/23.4.237</w:t>
        </w:r>
      </w:hyperlink>
      <w:r>
        <w:t>.</w:t>
      </w:r>
    </w:p>
    <w:p w14:paraId="11AE9F54" w14:textId="77777777" w:rsidR="006B51FB" w:rsidRDefault="00D64B2B">
      <w:pPr>
        <w:pStyle w:val="Bibliography"/>
      </w:pPr>
      <w:bookmarkStart w:id="90" w:name="ref-powell_differences_2017"/>
      <w:bookmarkEnd w:id="89"/>
      <w:r>
        <w:t xml:space="preserve">Powell, Thomas L., James K. Wheeler, Alex A. R. de Oliveira, Antonio Carlos Lola da Costa, Scott R. </w:t>
      </w:r>
      <w:proofErr w:type="spellStart"/>
      <w:r>
        <w:t>Saleska</w:t>
      </w:r>
      <w:proofErr w:type="spellEnd"/>
      <w:r>
        <w:t xml:space="preserve">, Patrick Meir, and Paul R. Moorcroft. 2017. “Differences in Xylem and Leaf Hydraulic Traits Explain Differences in Drought Tolerance Among Mature Amazon Rainforest Trees.” </w:t>
      </w:r>
      <w:r>
        <w:rPr>
          <w:i/>
        </w:rPr>
        <w:t>Global Change Biology</w:t>
      </w:r>
      <w:r>
        <w:t xml:space="preserve"> 23 (10): 4280–93. </w:t>
      </w:r>
      <w:hyperlink r:id="rId94">
        <w:r>
          <w:t>https://doi.org/10.1111/gcb.13731</w:t>
        </w:r>
      </w:hyperlink>
      <w:r>
        <w:t>.</w:t>
      </w:r>
    </w:p>
    <w:p w14:paraId="732323FE" w14:textId="77777777" w:rsidR="006B51FB" w:rsidRDefault="00D64B2B">
      <w:pPr>
        <w:pStyle w:val="Bibliography"/>
      </w:pPr>
      <w:bookmarkStart w:id="91" w:name="ref-powers_catastrophic_2020"/>
      <w:bookmarkEnd w:id="90"/>
      <w:r>
        <w:t xml:space="preserve">Powers, Jennifer S., German Vargas G, Timothy J. </w:t>
      </w:r>
      <w:proofErr w:type="spellStart"/>
      <w:r>
        <w:t>Brodribb</w:t>
      </w:r>
      <w:proofErr w:type="spellEnd"/>
      <w:r>
        <w:t xml:space="preserve">, Naomi B. Schwartz, Daniel Pérez‐Aviles, Chris M. Smith‐Martin, Justin M. Becknell, et al. 2020. “A Catastrophic Tropical Drought Kills Hydraulically Vulnerable Tree Species.” </w:t>
      </w:r>
      <w:r>
        <w:rPr>
          <w:i/>
        </w:rPr>
        <w:t>Global Change Biology</w:t>
      </w:r>
      <w:r>
        <w:t xml:space="preserve"> 26 (5): 3122–33. </w:t>
      </w:r>
      <w:hyperlink r:id="rId95">
        <w:r>
          <w:t>https://doi.org/10.1111/gcb.15037</w:t>
        </w:r>
      </w:hyperlink>
      <w:r>
        <w:t>.</w:t>
      </w:r>
    </w:p>
    <w:p w14:paraId="2628B63F" w14:textId="77777777" w:rsidR="006B51FB" w:rsidRDefault="00D64B2B">
      <w:pPr>
        <w:pStyle w:val="Bibliography"/>
      </w:pPr>
      <w:bookmarkStart w:id="92" w:name="ref-pretzsch_drought_2018"/>
      <w:bookmarkEnd w:id="91"/>
      <w:proofErr w:type="spellStart"/>
      <w:r>
        <w:t>Pretzsch</w:t>
      </w:r>
      <w:proofErr w:type="spellEnd"/>
      <w:r>
        <w:t xml:space="preserve">, Hans, Gerhard </w:t>
      </w:r>
      <w:proofErr w:type="spellStart"/>
      <w:r>
        <w:t>Schütze</w:t>
      </w:r>
      <w:proofErr w:type="spellEnd"/>
      <w:r>
        <w:t xml:space="preserve">, and Peter </w:t>
      </w:r>
      <w:proofErr w:type="spellStart"/>
      <w:r>
        <w:t>Biber</w:t>
      </w:r>
      <w:proofErr w:type="spellEnd"/>
      <w:r>
        <w:t xml:space="preserve">. 2018. “Drought Can </w:t>
      </w:r>
      <w:proofErr w:type="spellStart"/>
      <w:r>
        <w:t>Favour</w:t>
      </w:r>
      <w:proofErr w:type="spellEnd"/>
      <w:r>
        <w:t xml:space="preserve"> the Growth of Small in Relation to Tall Trees in Mature Stands of Norway Spruce and European Beech.” </w:t>
      </w:r>
      <w:r>
        <w:rPr>
          <w:i/>
        </w:rPr>
        <w:t>Forest Ecosystems</w:t>
      </w:r>
      <w:r>
        <w:t xml:space="preserve"> 5 (1): 20. </w:t>
      </w:r>
      <w:hyperlink r:id="rId96">
        <w:r>
          <w:t>https://doi.org/10.1186/s40663-018-0139-x</w:t>
        </w:r>
      </w:hyperlink>
      <w:r>
        <w:t>.</w:t>
      </w:r>
    </w:p>
    <w:p w14:paraId="02E442D1" w14:textId="77777777" w:rsidR="006B51FB" w:rsidRDefault="00D64B2B">
      <w:pPr>
        <w:pStyle w:val="Bibliography"/>
      </w:pPr>
      <w:bookmarkStart w:id="93" w:name="ref-R-base"/>
      <w:bookmarkEnd w:id="92"/>
      <w:r>
        <w:t xml:space="preserve">R Core Team. 2019. </w:t>
      </w:r>
      <w:r>
        <w:rPr>
          <w:i/>
        </w:rPr>
        <w:t>R: A Language and Environment for Statistical Computing</w:t>
      </w:r>
      <w:r>
        <w:t xml:space="preserve">. Vienna, Austria: R Foundation for Statistical Computing. </w:t>
      </w:r>
      <w:hyperlink r:id="rId97">
        <w:r>
          <w:t>https://www.R-project.org/</w:t>
        </w:r>
      </w:hyperlink>
      <w:r>
        <w:t>.</w:t>
      </w:r>
    </w:p>
    <w:p w14:paraId="09E3FAAF" w14:textId="77777777" w:rsidR="006B51FB" w:rsidRDefault="00D64B2B">
      <w:pPr>
        <w:pStyle w:val="Bibliography"/>
      </w:pPr>
      <w:bookmarkStart w:id="94" w:name="ref-rey-sanchez_spatial_2016"/>
      <w:bookmarkEnd w:id="93"/>
      <w:r>
        <w:t xml:space="preserve">Rey-Sánchez, A. Camilo, </w:t>
      </w:r>
      <w:proofErr w:type="spellStart"/>
      <w:r>
        <w:t>Martijn</w:t>
      </w:r>
      <w:proofErr w:type="spellEnd"/>
      <w:r>
        <w:t xml:space="preserve"> Slot, Juan M. Posada, and Kaoru Kitajima. 2016. “Spatial and Seasonal Variation in Leaf Temperature Within the Canopy of a Tropical Forest.” </w:t>
      </w:r>
      <w:r>
        <w:rPr>
          <w:i/>
        </w:rPr>
        <w:t>Climate Research</w:t>
      </w:r>
      <w:r>
        <w:t xml:space="preserve"> 71 (1): 75–89. </w:t>
      </w:r>
      <w:hyperlink r:id="rId98">
        <w:r>
          <w:t>https://doi.org/10.3354/cr01427</w:t>
        </w:r>
      </w:hyperlink>
      <w:r>
        <w:t>.</w:t>
      </w:r>
    </w:p>
    <w:p w14:paraId="0A14CC3E" w14:textId="77777777" w:rsidR="006B51FB" w:rsidRDefault="00D64B2B">
      <w:pPr>
        <w:pStyle w:val="Bibliography"/>
      </w:pPr>
      <w:bookmarkStart w:id="95" w:name="ref-rosas_adjustments_2019"/>
      <w:bookmarkEnd w:id="94"/>
      <w:r>
        <w:lastRenderedPageBreak/>
        <w:t xml:space="preserve">Rosas, Teresa, Maurizio </w:t>
      </w:r>
      <w:proofErr w:type="spellStart"/>
      <w:r>
        <w:t>Mencuccini</w:t>
      </w:r>
      <w:proofErr w:type="spellEnd"/>
      <w:r>
        <w:t xml:space="preserve">, </w:t>
      </w:r>
      <w:proofErr w:type="spellStart"/>
      <w:r>
        <w:t>Josep</w:t>
      </w:r>
      <w:proofErr w:type="spellEnd"/>
      <w:r>
        <w:t xml:space="preserve"> Barba, </w:t>
      </w:r>
      <w:proofErr w:type="spellStart"/>
      <w:r>
        <w:t>Hervé</w:t>
      </w:r>
      <w:proofErr w:type="spellEnd"/>
      <w:r>
        <w:t xml:space="preserve"> </w:t>
      </w:r>
      <w:proofErr w:type="spellStart"/>
      <w:r>
        <w:t>Cochard</w:t>
      </w:r>
      <w:proofErr w:type="spellEnd"/>
      <w:r>
        <w:t xml:space="preserve">, Sandra </w:t>
      </w:r>
      <w:proofErr w:type="spellStart"/>
      <w:r>
        <w:t>Saura</w:t>
      </w:r>
      <w:proofErr w:type="spellEnd"/>
      <w:r>
        <w:t>‐Mas, and Jordi Martínez‐</w:t>
      </w:r>
      <w:proofErr w:type="spellStart"/>
      <w:r>
        <w:t>Vilalta</w:t>
      </w:r>
      <w:proofErr w:type="spellEnd"/>
      <w:r>
        <w:t xml:space="preserve">. 2019. “Adjustments and Coordination of Hydraulic, Leaf and Stem Traits Along a Water Availability Gradient.” </w:t>
      </w:r>
      <w:r>
        <w:rPr>
          <w:i/>
        </w:rPr>
        <w:t>New Phytologist</w:t>
      </w:r>
      <w:r>
        <w:t xml:space="preserve"> 223 (2): 632–46. </w:t>
      </w:r>
      <w:hyperlink r:id="rId99">
        <w:r>
          <w:t>https://doi.org/10.1111/nph.15684</w:t>
        </w:r>
      </w:hyperlink>
      <w:r>
        <w:t>.</w:t>
      </w:r>
    </w:p>
    <w:p w14:paraId="5AEC27A0" w14:textId="77777777" w:rsidR="006B51FB" w:rsidRDefault="00D64B2B">
      <w:pPr>
        <w:pStyle w:val="Bibliography"/>
      </w:pPr>
      <w:bookmarkStart w:id="96" w:name="ref-roskilly_conflicting_2019"/>
      <w:bookmarkEnd w:id="95"/>
      <w:proofErr w:type="spellStart"/>
      <w:r>
        <w:t>Roskilly</w:t>
      </w:r>
      <w:proofErr w:type="spellEnd"/>
      <w:r>
        <w:t xml:space="preserve">, Beth, Eric Keeling, Sharon Hood, Arnaud </w:t>
      </w:r>
      <w:proofErr w:type="spellStart"/>
      <w:r>
        <w:t>Giuggiola</w:t>
      </w:r>
      <w:proofErr w:type="spellEnd"/>
      <w:r>
        <w:t xml:space="preserve">, and Anna Sala. 2019. “Conflicting Functional Effects of Xylem Pit Structure Relate to the Growth-Longevity Trade-Off in a Conifer Species.” </w:t>
      </w:r>
      <w:r>
        <w:rPr>
          <w:i/>
        </w:rPr>
        <w:t>Proceedings of the National Academy of Sciences</w:t>
      </w:r>
      <w:r>
        <w:t xml:space="preserve"> 116 (30): 15282–7. </w:t>
      </w:r>
      <w:hyperlink r:id="rId100">
        <w:r>
          <w:t>https://doi.org/10.1073/pnas.1900734116</w:t>
        </w:r>
      </w:hyperlink>
      <w:r>
        <w:t>.</w:t>
      </w:r>
    </w:p>
    <w:p w14:paraId="30B91027" w14:textId="77777777" w:rsidR="006B51FB" w:rsidRDefault="00D64B2B">
      <w:pPr>
        <w:pStyle w:val="Bibliography"/>
      </w:pPr>
      <w:bookmarkStart w:id="97" w:name="ref-ryan_hydraulic_2006"/>
      <w:bookmarkEnd w:id="96"/>
      <w:r>
        <w:t xml:space="preserve">Ryan, Michael G., Nathan Phillips, and Barbara J. Bond. 2006. “The Hydraulic Limitation Hypothesis Revisited.” </w:t>
      </w:r>
      <w:r>
        <w:rPr>
          <w:i/>
        </w:rPr>
        <w:t>Plant, Cell &amp; Environment</w:t>
      </w:r>
      <w:r>
        <w:t xml:space="preserve"> 29 (3): 367–81. </w:t>
      </w:r>
      <w:hyperlink r:id="rId101">
        <w:r>
          <w:t>https://doi.org/10.1111/j.1365-3040.2005.01478.x</w:t>
        </w:r>
      </w:hyperlink>
      <w:r>
        <w:t>.</w:t>
      </w:r>
    </w:p>
    <w:p w14:paraId="46AD71BF" w14:textId="77777777" w:rsidR="006B51FB" w:rsidRDefault="00D64B2B">
      <w:pPr>
        <w:pStyle w:val="Bibliography"/>
      </w:pPr>
      <w:bookmarkStart w:id="98" w:name="ref-sapes_plant_2019"/>
      <w:bookmarkEnd w:id="97"/>
      <w:proofErr w:type="spellStart"/>
      <w:r>
        <w:t>Sapes</w:t>
      </w:r>
      <w:proofErr w:type="spellEnd"/>
      <w:r>
        <w:t xml:space="preserve">, Gerard, Beth </w:t>
      </w:r>
      <w:proofErr w:type="spellStart"/>
      <w:r>
        <w:t>Roskilly</w:t>
      </w:r>
      <w:proofErr w:type="spellEnd"/>
      <w:r>
        <w:t xml:space="preserve">, Solomon </w:t>
      </w:r>
      <w:proofErr w:type="spellStart"/>
      <w:r>
        <w:t>Dobrowski</w:t>
      </w:r>
      <w:proofErr w:type="spellEnd"/>
      <w:r>
        <w:t xml:space="preserve">, Marco </w:t>
      </w:r>
      <w:proofErr w:type="spellStart"/>
      <w:r>
        <w:t>Maneta</w:t>
      </w:r>
      <w:proofErr w:type="spellEnd"/>
      <w:r>
        <w:t>, William R. L. Anderegg, Jordi Martinez-</w:t>
      </w:r>
      <w:proofErr w:type="spellStart"/>
      <w:r>
        <w:t>Vilalta</w:t>
      </w:r>
      <w:proofErr w:type="spellEnd"/>
      <w:r>
        <w:t xml:space="preserve">, and Anna Sala. 2019. “Plant Water Content Integrates Hydraulics and Carbon Depletion to Predict Drought-Induced Seedling Mortality.” </w:t>
      </w:r>
      <w:r>
        <w:rPr>
          <w:i/>
        </w:rPr>
        <w:t>Tree Physiology</w:t>
      </w:r>
      <w:r>
        <w:t xml:space="preserve"> 39 (8): 1300–1312. </w:t>
      </w:r>
      <w:hyperlink r:id="rId102">
        <w:r>
          <w:t>https://doi.org/10.1093/treephys/tpz062</w:t>
        </w:r>
      </w:hyperlink>
      <w:r>
        <w:t>.</w:t>
      </w:r>
    </w:p>
    <w:p w14:paraId="06F19477" w14:textId="77777777" w:rsidR="006B51FB" w:rsidRDefault="00D64B2B">
      <w:pPr>
        <w:pStyle w:val="Bibliography"/>
      </w:pPr>
      <w:bookmarkStart w:id="99" w:name="ref-scharnweber_confessions_2019"/>
      <w:bookmarkEnd w:id="98"/>
      <w:proofErr w:type="spellStart"/>
      <w:r>
        <w:t>Scharnweber</w:t>
      </w:r>
      <w:proofErr w:type="spellEnd"/>
      <w:r>
        <w:t xml:space="preserve">, Tobias, Lisa Heinze, Roberto Cruz-García, Marieke van der </w:t>
      </w:r>
      <w:proofErr w:type="spellStart"/>
      <w:r>
        <w:t>Maaten-Theunissen</w:t>
      </w:r>
      <w:proofErr w:type="spellEnd"/>
      <w:r>
        <w:t xml:space="preserve">, and Martin </w:t>
      </w:r>
      <w:proofErr w:type="spellStart"/>
      <w:r>
        <w:t>Wilmking</w:t>
      </w:r>
      <w:proofErr w:type="spellEnd"/>
      <w:r>
        <w:t xml:space="preserve">. 2019. “Confessions of Solitary Oaks: We Grow Fast but We Fear the Drought.” </w:t>
      </w:r>
      <w:proofErr w:type="spellStart"/>
      <w:r>
        <w:rPr>
          <w:i/>
        </w:rPr>
        <w:t>Dendrochronologia</w:t>
      </w:r>
      <w:proofErr w:type="spellEnd"/>
      <w:r>
        <w:t xml:space="preserve"> 55 (June): 43–49. </w:t>
      </w:r>
      <w:hyperlink r:id="rId103">
        <w:r>
          <w:t>https://doi.org/10.1016/j.dendro.2019.04.001</w:t>
        </w:r>
      </w:hyperlink>
      <w:r>
        <w:t>.</w:t>
      </w:r>
    </w:p>
    <w:p w14:paraId="7CD9582B" w14:textId="77777777" w:rsidR="006B51FB" w:rsidRDefault="00D64B2B">
      <w:pPr>
        <w:pStyle w:val="Bibliography"/>
      </w:pPr>
      <w:bookmarkStart w:id="100" w:name="ref-scholz_hydraulic_2011"/>
      <w:bookmarkEnd w:id="99"/>
      <w:r>
        <w:t xml:space="preserve">Scholz, Fabian G., Nathan G. Phillips, Sandra J. Bucci, Frederick C. </w:t>
      </w:r>
      <w:proofErr w:type="spellStart"/>
      <w:r>
        <w:t>Meinzer</w:t>
      </w:r>
      <w:proofErr w:type="spellEnd"/>
      <w:r>
        <w:t xml:space="preserve">, and Guillermo Goldstein. 2011. “Hydraulic Capacitance: Biophysics and Functional Significance of Internal Water Sources in Relation to Tree Size.” In </w:t>
      </w:r>
      <w:r>
        <w:rPr>
          <w:i/>
        </w:rPr>
        <w:t>Size- and Age-Related Changes in Tree Structure and Function</w:t>
      </w:r>
      <w:r>
        <w:t xml:space="preserve">, edited by Frederick C. </w:t>
      </w:r>
      <w:proofErr w:type="spellStart"/>
      <w:r>
        <w:t>Meinzer</w:t>
      </w:r>
      <w:proofErr w:type="spellEnd"/>
      <w:r>
        <w:t xml:space="preserve">, Barbara </w:t>
      </w:r>
      <w:proofErr w:type="spellStart"/>
      <w:r>
        <w:t>Lachenbruch</w:t>
      </w:r>
      <w:proofErr w:type="spellEnd"/>
      <w:r>
        <w:t xml:space="preserve">, and Todd E. Dawson, 341–61. Tree Physiology. Dordrecht: Springer Netherlands. </w:t>
      </w:r>
      <w:hyperlink r:id="rId104">
        <w:r>
          <w:t>https://doi.org/10.1007/978-94-007-1242-3_13</w:t>
        </w:r>
      </w:hyperlink>
      <w:r>
        <w:t>.</w:t>
      </w:r>
    </w:p>
    <w:p w14:paraId="391859A4" w14:textId="77777777" w:rsidR="006B51FB" w:rsidRDefault="00D64B2B">
      <w:pPr>
        <w:pStyle w:val="Bibliography"/>
      </w:pPr>
      <w:bookmarkStart w:id="101" w:name="ref-schongart_dendroecological_2017"/>
      <w:bookmarkEnd w:id="100"/>
      <w:proofErr w:type="spellStart"/>
      <w:r>
        <w:t>Schöngart</w:t>
      </w:r>
      <w:proofErr w:type="spellEnd"/>
      <w:r>
        <w:t xml:space="preserve">, Jochen, Achim </w:t>
      </w:r>
      <w:proofErr w:type="spellStart"/>
      <w:r>
        <w:t>Bräuning</w:t>
      </w:r>
      <w:proofErr w:type="spellEnd"/>
      <w:r>
        <w:t xml:space="preserve">, Ana Carolina </w:t>
      </w:r>
      <w:proofErr w:type="spellStart"/>
      <w:r>
        <w:t>Maioli</w:t>
      </w:r>
      <w:proofErr w:type="spellEnd"/>
      <w:r>
        <w:t xml:space="preserve"> Campos Barbosa, Claudio Sergio </w:t>
      </w:r>
      <w:proofErr w:type="spellStart"/>
      <w:r>
        <w:t>Lisi</w:t>
      </w:r>
      <w:proofErr w:type="spellEnd"/>
      <w:r>
        <w:t xml:space="preserve">, and </w:t>
      </w:r>
      <w:proofErr w:type="spellStart"/>
      <w:r>
        <w:t>Juliano</w:t>
      </w:r>
      <w:proofErr w:type="spellEnd"/>
      <w:r>
        <w:t xml:space="preserve"> Morales de Oliveira. 2017. “Dendroecological Studies in the Neotropics: History, Status and Future Challenges.” In </w:t>
      </w:r>
      <w:r>
        <w:rPr>
          <w:i/>
        </w:rPr>
        <w:t>Dendroecology: Tree-Ring Analyses Applied to Ecological Studies</w:t>
      </w:r>
      <w:r>
        <w:t xml:space="preserve">, edited by Mariano M. Amoroso, Lori D. Daniels, Patrick J. Baker, and J. Julio </w:t>
      </w:r>
      <w:proofErr w:type="spellStart"/>
      <w:r>
        <w:t>Camarero</w:t>
      </w:r>
      <w:proofErr w:type="spellEnd"/>
      <w:r>
        <w:t xml:space="preserve">, 35–73. Ecological Studies. Cham: Springer International Publishing. </w:t>
      </w:r>
      <w:hyperlink r:id="rId105">
        <w:r>
          <w:t>https://doi.org/10.1007/978-3-319-61669-8_3</w:t>
        </w:r>
      </w:hyperlink>
      <w:r>
        <w:t>.</w:t>
      </w:r>
    </w:p>
    <w:p w14:paraId="7633B155" w14:textId="77777777" w:rsidR="006B51FB" w:rsidRDefault="00D64B2B">
      <w:pPr>
        <w:pStyle w:val="Bibliography"/>
      </w:pPr>
      <w:bookmarkStart w:id="102" w:name="ref-scoffoni_leaf_2014"/>
      <w:bookmarkEnd w:id="101"/>
      <w:proofErr w:type="spellStart"/>
      <w:r>
        <w:t>Scoffoni</w:t>
      </w:r>
      <w:proofErr w:type="spellEnd"/>
      <w:r>
        <w:t xml:space="preserve">, Christine, Christine </w:t>
      </w:r>
      <w:proofErr w:type="spellStart"/>
      <w:r>
        <w:t>Vuong</w:t>
      </w:r>
      <w:proofErr w:type="spellEnd"/>
      <w:r>
        <w:t xml:space="preserve">, Steven Diep, </w:t>
      </w:r>
      <w:proofErr w:type="spellStart"/>
      <w:r>
        <w:t>Hervé</w:t>
      </w:r>
      <w:proofErr w:type="spellEnd"/>
      <w:r>
        <w:t xml:space="preserve"> </w:t>
      </w:r>
      <w:proofErr w:type="spellStart"/>
      <w:r>
        <w:t>Cochard</w:t>
      </w:r>
      <w:proofErr w:type="spellEnd"/>
      <w:r>
        <w:t xml:space="preserve">, and </w:t>
      </w:r>
      <w:proofErr w:type="spellStart"/>
      <w:r>
        <w:t>Lawren</w:t>
      </w:r>
      <w:proofErr w:type="spellEnd"/>
      <w:r>
        <w:t xml:space="preserve"> Sack. 2014. “Leaf Shrinkage with Dehydration: Coordination with Hydraulic Vulnerability and Drought Tolerance.” </w:t>
      </w:r>
      <w:r>
        <w:rPr>
          <w:i/>
        </w:rPr>
        <w:t>Plant Physiology</w:t>
      </w:r>
      <w:r>
        <w:t xml:space="preserve"> 164 (4): 1772–88. </w:t>
      </w:r>
      <w:hyperlink r:id="rId106">
        <w:r>
          <w:t>https://doi.org/10.1104/pp.113.221424</w:t>
        </w:r>
      </w:hyperlink>
      <w:r>
        <w:t>.</w:t>
      </w:r>
    </w:p>
    <w:p w14:paraId="3826F208" w14:textId="77777777" w:rsidR="006B51FB" w:rsidRDefault="00D64B2B">
      <w:pPr>
        <w:pStyle w:val="Bibliography"/>
      </w:pPr>
      <w:bookmarkStart w:id="103" w:name="ref-simeone_coupled_2019"/>
      <w:bookmarkEnd w:id="102"/>
      <w:r>
        <w:t xml:space="preserve">Simeone, </w:t>
      </w:r>
      <w:proofErr w:type="spellStart"/>
      <w:r>
        <w:t>Caelan</w:t>
      </w:r>
      <w:proofErr w:type="spellEnd"/>
      <w:r>
        <w:t xml:space="preserve">, Marco P. </w:t>
      </w:r>
      <w:proofErr w:type="spellStart"/>
      <w:r>
        <w:t>Maneta</w:t>
      </w:r>
      <w:proofErr w:type="spellEnd"/>
      <w:r>
        <w:t xml:space="preserve">, Zachary A. Holden, Gerard </w:t>
      </w:r>
      <w:proofErr w:type="spellStart"/>
      <w:r>
        <w:t>Sapes</w:t>
      </w:r>
      <w:proofErr w:type="spellEnd"/>
      <w:r>
        <w:t xml:space="preserve">, Anna Sala, and Solomon Z. </w:t>
      </w:r>
      <w:proofErr w:type="spellStart"/>
      <w:r>
        <w:t>Dobrowski</w:t>
      </w:r>
      <w:proofErr w:type="spellEnd"/>
      <w:r>
        <w:t xml:space="preserve">. 2019. “Coupled Ecohydrology and Plant Hydraulics Modeling Predicts Ponderosa Pine Seedling Mortality and Lower </w:t>
      </w:r>
      <w:proofErr w:type="spellStart"/>
      <w:r>
        <w:t>Treeline</w:t>
      </w:r>
      <w:proofErr w:type="spellEnd"/>
      <w:r>
        <w:t xml:space="preserve"> in the US Northern Rocky Mountains.” </w:t>
      </w:r>
      <w:r>
        <w:rPr>
          <w:i/>
        </w:rPr>
        <w:t>New Phytologist</w:t>
      </w:r>
      <w:r>
        <w:t xml:space="preserve"> 221 (4): 1814–30. </w:t>
      </w:r>
      <w:hyperlink r:id="rId107">
        <w:r>
          <w:t>https://doi.org/10.1111/nph.15499</w:t>
        </w:r>
      </w:hyperlink>
      <w:r>
        <w:t>.</w:t>
      </w:r>
    </w:p>
    <w:p w14:paraId="491FE2F7" w14:textId="77777777" w:rsidR="006B51FB" w:rsidRDefault="00D64B2B">
      <w:pPr>
        <w:pStyle w:val="Bibliography"/>
      </w:pPr>
      <w:bookmarkStart w:id="104" w:name="ref-slette_how_2019"/>
      <w:bookmarkEnd w:id="103"/>
      <w:proofErr w:type="spellStart"/>
      <w:r>
        <w:t>Slette</w:t>
      </w:r>
      <w:proofErr w:type="spellEnd"/>
      <w:r>
        <w:t xml:space="preserve">, Ingrid J., Alison K. Post, Mai </w:t>
      </w:r>
      <w:proofErr w:type="spellStart"/>
      <w:r>
        <w:t>Awad</w:t>
      </w:r>
      <w:proofErr w:type="spellEnd"/>
      <w:r>
        <w:t xml:space="preserve">, Trevor Even, Arianna </w:t>
      </w:r>
      <w:proofErr w:type="spellStart"/>
      <w:r>
        <w:t>Punzalan</w:t>
      </w:r>
      <w:proofErr w:type="spellEnd"/>
      <w:r>
        <w:t xml:space="preserve">, Sere Williams, Melinda D. Smith, and Alan K. Knapp. 2019. “How Ecologists Define Drought, and Why We Should Do Better.” </w:t>
      </w:r>
      <w:r>
        <w:rPr>
          <w:i/>
        </w:rPr>
        <w:t>Global Change Biology</w:t>
      </w:r>
      <w:r>
        <w:t xml:space="preserve"> 25 (10): 3193–3200. </w:t>
      </w:r>
      <w:hyperlink r:id="rId108">
        <w:r>
          <w:t>https://doi.org/10.1111/gcb.14747</w:t>
        </w:r>
      </w:hyperlink>
      <w:r>
        <w:t>.</w:t>
      </w:r>
    </w:p>
    <w:p w14:paraId="6752F133" w14:textId="77777777" w:rsidR="006B51FB" w:rsidRDefault="00D64B2B">
      <w:pPr>
        <w:pStyle w:val="Bibliography"/>
      </w:pPr>
      <w:bookmarkStart w:id="105" w:name="ref-stahl_depth_2013"/>
      <w:bookmarkEnd w:id="104"/>
      <w:r>
        <w:t xml:space="preserve">Stahl, Clément, Bruno </w:t>
      </w:r>
      <w:proofErr w:type="spellStart"/>
      <w:r>
        <w:t>Hérault</w:t>
      </w:r>
      <w:proofErr w:type="spellEnd"/>
      <w:r>
        <w:t xml:space="preserve">, Vivien Rossi, Benoit </w:t>
      </w:r>
      <w:proofErr w:type="spellStart"/>
      <w:r>
        <w:t>Burban</w:t>
      </w:r>
      <w:proofErr w:type="spellEnd"/>
      <w:r>
        <w:t xml:space="preserve">, Claude </w:t>
      </w:r>
      <w:proofErr w:type="spellStart"/>
      <w:r>
        <w:t>Bréchet</w:t>
      </w:r>
      <w:proofErr w:type="spellEnd"/>
      <w:r>
        <w:t xml:space="preserve">, and Damien </w:t>
      </w:r>
      <w:proofErr w:type="spellStart"/>
      <w:r>
        <w:t>Bonal</w:t>
      </w:r>
      <w:proofErr w:type="spellEnd"/>
      <w:r>
        <w:t xml:space="preserve">. 2013. “Depth of Soil Water Uptake by Tropical Rainforest Trees During Dry Periods: Does Tree Dimension Matter?” </w:t>
      </w:r>
      <w:proofErr w:type="spellStart"/>
      <w:r>
        <w:rPr>
          <w:i/>
        </w:rPr>
        <w:t>Oecologia</w:t>
      </w:r>
      <w:proofErr w:type="spellEnd"/>
      <w:r>
        <w:t xml:space="preserve"> 173 (4): 1191–1201. </w:t>
      </w:r>
      <w:hyperlink r:id="rId109">
        <w:r>
          <w:t>https://doi.org/10.1007/s00442-013-2724-6</w:t>
        </w:r>
      </w:hyperlink>
      <w:r>
        <w:t>.</w:t>
      </w:r>
    </w:p>
    <w:p w14:paraId="73FC18B3" w14:textId="77777777" w:rsidR="006B51FB" w:rsidRDefault="00D64B2B">
      <w:pPr>
        <w:pStyle w:val="Bibliography"/>
      </w:pPr>
      <w:bookmarkStart w:id="106" w:name="ref-stovall_terrestrial_2018"/>
      <w:bookmarkEnd w:id="105"/>
      <w:r>
        <w:lastRenderedPageBreak/>
        <w:t xml:space="preserve">Stovall, Atticus E. L., Kristina J. Anderson-Teixeira, and Herman H. Shugart. 2018a. “Terrestrial LiDAR-Derived Non-Destructive Woody Biomass Estimates for 10 Hardwood Species in Virginia.” </w:t>
      </w:r>
      <w:r>
        <w:rPr>
          <w:i/>
        </w:rPr>
        <w:t>Data in Brief</w:t>
      </w:r>
      <w:r>
        <w:t xml:space="preserve"> 19 (August): 1560–9. </w:t>
      </w:r>
      <w:hyperlink r:id="rId110">
        <w:r>
          <w:t>https://doi.org/10.1016/j.dib.2018.06.046</w:t>
        </w:r>
      </w:hyperlink>
      <w:r>
        <w:t>.</w:t>
      </w:r>
    </w:p>
    <w:p w14:paraId="294C8FCD" w14:textId="77777777" w:rsidR="006B51FB" w:rsidRDefault="00D64B2B">
      <w:pPr>
        <w:pStyle w:val="Bibliography"/>
      </w:pPr>
      <w:bookmarkStart w:id="107" w:name="ref-stovall_assessing_2018"/>
      <w:bookmarkEnd w:id="106"/>
      <w:r>
        <w:t xml:space="preserve">———. 2018b. “Assessing Terrestrial Laser Scanning for Developing Non-Destructive Biomass Allometry.” </w:t>
      </w:r>
      <w:r>
        <w:rPr>
          <w:i/>
        </w:rPr>
        <w:t>Forest Ecology and Management</w:t>
      </w:r>
      <w:r>
        <w:t xml:space="preserve"> 427 (November): 217–29. </w:t>
      </w:r>
      <w:hyperlink r:id="rId111">
        <w:r>
          <w:t>https://doi.org/10.1016/j.foreco.2018.06.004</w:t>
        </w:r>
      </w:hyperlink>
      <w:r>
        <w:t>.</w:t>
      </w:r>
    </w:p>
    <w:p w14:paraId="79358037" w14:textId="77777777" w:rsidR="006B51FB" w:rsidRDefault="00D64B2B">
      <w:pPr>
        <w:pStyle w:val="Bibliography"/>
      </w:pPr>
      <w:bookmarkStart w:id="108" w:name="ref-stovall_reply_2020"/>
      <w:bookmarkEnd w:id="107"/>
      <w:r>
        <w:t xml:space="preserve">Stovall, Atticus E. L., Herman H. Shugart, and Xi Yang. 2020. “Reply to ‘Height-Related Changes in Forest Composition Explain Increasing Tree Mortality with Height During an Extreme Drought’.” </w:t>
      </w:r>
      <w:r>
        <w:rPr>
          <w:i/>
        </w:rPr>
        <w:t>Nature Communications</w:t>
      </w:r>
      <w:r>
        <w:t xml:space="preserve"> 11 (1): 3401. </w:t>
      </w:r>
      <w:hyperlink r:id="rId112">
        <w:r>
          <w:t>https://doi.org/10.1038/s41467-020-17214-4</w:t>
        </w:r>
      </w:hyperlink>
      <w:r>
        <w:t>.</w:t>
      </w:r>
    </w:p>
    <w:p w14:paraId="1484A888" w14:textId="77777777" w:rsidR="006B51FB" w:rsidRDefault="00D64B2B">
      <w:pPr>
        <w:pStyle w:val="Bibliography"/>
      </w:pPr>
      <w:bookmarkStart w:id="109" w:name="ref-stovall_tree_2019"/>
      <w:bookmarkEnd w:id="108"/>
      <w:r>
        <w:t xml:space="preserve">Stovall, Atticus E. L., Herman Shugart, and Xi Yang. 2019. “Tree Height Explains Mortality Risk During an Intense Drought.” </w:t>
      </w:r>
      <w:r>
        <w:rPr>
          <w:i/>
        </w:rPr>
        <w:t>Nature Communications</w:t>
      </w:r>
      <w:r>
        <w:t xml:space="preserve"> 10 (1): 1–6. </w:t>
      </w:r>
      <w:hyperlink r:id="rId113">
        <w:r>
          <w:t>https://doi.org/10.1038/s41467-019-12380-6</w:t>
        </w:r>
      </w:hyperlink>
      <w:r>
        <w:t>.</w:t>
      </w:r>
    </w:p>
    <w:p w14:paraId="40422845" w14:textId="77777777" w:rsidR="006B51FB" w:rsidRDefault="00D64B2B">
      <w:pPr>
        <w:pStyle w:val="Bibliography"/>
      </w:pPr>
      <w:bookmarkStart w:id="110" w:name="ref-suarez_factors_2004"/>
      <w:bookmarkEnd w:id="109"/>
      <w:r>
        <w:t xml:space="preserve">Suarez, Maria Laura, Luciana </w:t>
      </w:r>
      <w:proofErr w:type="spellStart"/>
      <w:r>
        <w:t>Ghermandi</w:t>
      </w:r>
      <w:proofErr w:type="spellEnd"/>
      <w:r>
        <w:t xml:space="preserve">, and Thomas </w:t>
      </w:r>
      <w:proofErr w:type="spellStart"/>
      <w:r>
        <w:t>Kitzberger</w:t>
      </w:r>
      <w:proofErr w:type="spellEnd"/>
      <w:r>
        <w:t xml:space="preserve">. 2004. “Factors Predisposing Episodic Drought-Induced Tree Mortality in </w:t>
      </w:r>
      <w:proofErr w:type="spellStart"/>
      <w:r>
        <w:t>Nothofagus</w:t>
      </w:r>
      <w:proofErr w:type="spellEnd"/>
      <w:r>
        <w:t xml:space="preserve">– Site, Climatic Sensitivity and Growth Trends.” </w:t>
      </w:r>
      <w:r>
        <w:rPr>
          <w:i/>
        </w:rPr>
        <w:t>Journal of Ecology</w:t>
      </w:r>
      <w:r>
        <w:t xml:space="preserve"> 92 (6): 954–66. </w:t>
      </w:r>
      <w:hyperlink r:id="rId114">
        <w:r>
          <w:t>https://doi.org/10.1111/j.1365-2745.2004.00941.x</w:t>
        </w:r>
      </w:hyperlink>
      <w:r>
        <w:t>.</w:t>
      </w:r>
    </w:p>
    <w:p w14:paraId="450FC81E" w14:textId="77777777" w:rsidR="006B51FB" w:rsidRDefault="00D64B2B">
      <w:pPr>
        <w:pStyle w:val="Bibliography"/>
      </w:pPr>
      <w:bookmarkStart w:id="111" w:name="ref-sorensen_calculation_2006"/>
      <w:bookmarkEnd w:id="110"/>
      <w:proofErr w:type="spellStart"/>
      <w:r>
        <w:t>Sørensen</w:t>
      </w:r>
      <w:proofErr w:type="spellEnd"/>
      <w:r>
        <w:t xml:space="preserve">, R., U. </w:t>
      </w:r>
      <w:proofErr w:type="spellStart"/>
      <w:r>
        <w:t>Zinko</w:t>
      </w:r>
      <w:proofErr w:type="spellEnd"/>
      <w:r>
        <w:t xml:space="preserve">, and J. Seibert. 2006. “On the Calculation of the Topographic Wetness Index: Evaluation of Different Methods Based on Field Observations.” </w:t>
      </w:r>
      <w:r>
        <w:rPr>
          <w:i/>
        </w:rPr>
        <w:t>Hydrology and Earth System Sciences</w:t>
      </w:r>
      <w:r>
        <w:t xml:space="preserve"> 10 (1): 101–12. </w:t>
      </w:r>
      <w:hyperlink r:id="rId115">
        <w:r>
          <w:t>https://doi.org/https://doi.org/10.5194/hess-10-101-2006</w:t>
        </w:r>
      </w:hyperlink>
      <w:r>
        <w:t>.</w:t>
      </w:r>
    </w:p>
    <w:p w14:paraId="097CF3B4" w14:textId="77777777" w:rsidR="006B51FB" w:rsidRDefault="00D64B2B">
      <w:pPr>
        <w:pStyle w:val="Bibliography"/>
      </w:pPr>
      <w:bookmarkStart w:id="112" w:name="ref-trenberth_global_2014"/>
      <w:bookmarkEnd w:id="111"/>
      <w:r>
        <w:t xml:space="preserve">Trenberth, Kevin E., </w:t>
      </w:r>
      <w:proofErr w:type="spellStart"/>
      <w:r>
        <w:t>Aiguo</w:t>
      </w:r>
      <w:proofErr w:type="spellEnd"/>
      <w:r>
        <w:t xml:space="preserve"> Dai, Gerard van der Schrier, Philip D. Jones, Jonathan </w:t>
      </w:r>
      <w:proofErr w:type="spellStart"/>
      <w:r>
        <w:t>Barichivich</w:t>
      </w:r>
      <w:proofErr w:type="spellEnd"/>
      <w:r>
        <w:t xml:space="preserve">, Keith R. </w:t>
      </w:r>
      <w:proofErr w:type="spellStart"/>
      <w:r>
        <w:t>Briffa</w:t>
      </w:r>
      <w:proofErr w:type="spellEnd"/>
      <w:r>
        <w:t xml:space="preserve">, and Justin Sheffield. 2014. “Global Warming and Changes in Drought.” </w:t>
      </w:r>
      <w:r>
        <w:rPr>
          <w:i/>
        </w:rPr>
        <w:t>Nature Climate Change</w:t>
      </w:r>
      <w:r>
        <w:t xml:space="preserve"> 4 (1): 17–22. </w:t>
      </w:r>
      <w:hyperlink r:id="rId116">
        <w:r>
          <w:t>https://doi.org/10.1038/nclimate2067</w:t>
        </w:r>
      </w:hyperlink>
      <w:r>
        <w:t>.</w:t>
      </w:r>
    </w:p>
    <w:p w14:paraId="199DFAD6" w14:textId="77777777" w:rsidR="006B51FB" w:rsidRDefault="00D64B2B">
      <w:pPr>
        <w:pStyle w:val="Bibliography"/>
      </w:pPr>
      <w:bookmarkStart w:id="113" w:name="ref-trugman_tree_2018"/>
      <w:bookmarkEnd w:id="112"/>
      <w:proofErr w:type="spellStart"/>
      <w:r>
        <w:t>Trugman</w:t>
      </w:r>
      <w:proofErr w:type="spellEnd"/>
      <w:r>
        <w:t xml:space="preserve">, A. T., M. Detto, M. K. Bartlett, D. </w:t>
      </w:r>
      <w:proofErr w:type="spellStart"/>
      <w:r>
        <w:t>Medvigy</w:t>
      </w:r>
      <w:proofErr w:type="spellEnd"/>
      <w:r>
        <w:t xml:space="preserve">, W. R. L. Anderegg, C. </w:t>
      </w:r>
      <w:proofErr w:type="spellStart"/>
      <w:r>
        <w:t>Schwalm</w:t>
      </w:r>
      <w:proofErr w:type="spellEnd"/>
      <w:r>
        <w:t xml:space="preserve">, B. Schaffer, and S. W. </w:t>
      </w:r>
      <w:proofErr w:type="spellStart"/>
      <w:r>
        <w:t>Pacala</w:t>
      </w:r>
      <w:proofErr w:type="spellEnd"/>
      <w:r>
        <w:t xml:space="preserve">. 2018. “Tree Carbon Allocation Explains Forest Drought-Kill and Recovery Patterns.” </w:t>
      </w:r>
      <w:r>
        <w:rPr>
          <w:i/>
        </w:rPr>
        <w:t>Ecology Letters</w:t>
      </w:r>
      <w:r>
        <w:t xml:space="preserve"> 21 (10): 1552–60. </w:t>
      </w:r>
      <w:hyperlink r:id="rId117">
        <w:r>
          <w:t>https://doi.org/10.1111/ele.13136</w:t>
        </w:r>
      </w:hyperlink>
      <w:r>
        <w:t>.</w:t>
      </w:r>
    </w:p>
    <w:p w14:paraId="5CACB14B" w14:textId="77777777" w:rsidR="006B51FB" w:rsidRDefault="00D64B2B">
      <w:pPr>
        <w:pStyle w:val="Bibliography"/>
      </w:pPr>
      <w:bookmarkStart w:id="114" w:name="ref-vitasse_contrasting_2019"/>
      <w:bookmarkEnd w:id="113"/>
      <w:proofErr w:type="spellStart"/>
      <w:r>
        <w:t>Vitasse</w:t>
      </w:r>
      <w:proofErr w:type="spellEnd"/>
      <w:r>
        <w:t xml:space="preserve">, Yann, Alessandra </w:t>
      </w:r>
      <w:proofErr w:type="spellStart"/>
      <w:r>
        <w:t>Bottero</w:t>
      </w:r>
      <w:proofErr w:type="spellEnd"/>
      <w:r>
        <w:t xml:space="preserve">, Maxime </w:t>
      </w:r>
      <w:proofErr w:type="spellStart"/>
      <w:r>
        <w:t>Cailleret</w:t>
      </w:r>
      <w:proofErr w:type="spellEnd"/>
      <w:r>
        <w:t xml:space="preserve">, Christof Bigler, Patrick Fonti, Arthur Gessler, Mathieu Lévesque, et al. 2019. “Contrasting Resistance and Resilience to Extreme Drought and Late Spring Frost in Five Major European Tree Species.” </w:t>
      </w:r>
      <w:r>
        <w:rPr>
          <w:i/>
        </w:rPr>
        <w:t>Global Change Biology</w:t>
      </w:r>
      <w:r>
        <w:t xml:space="preserve"> 25 (11): 3781–92. </w:t>
      </w:r>
      <w:hyperlink r:id="rId118">
        <w:r>
          <w:t>https://doi.org/10.1111/gcb.14803</w:t>
        </w:r>
      </w:hyperlink>
      <w:r>
        <w:t>.</w:t>
      </w:r>
    </w:p>
    <w:p w14:paraId="681A6402" w14:textId="77777777" w:rsidR="006B51FB" w:rsidRDefault="00D64B2B">
      <w:pPr>
        <w:pStyle w:val="Bibliography"/>
      </w:pPr>
      <w:bookmarkStart w:id="115" w:name="ref-wheeler_variations_2007"/>
      <w:bookmarkEnd w:id="114"/>
      <w:r>
        <w:t xml:space="preserve">Wheeler, E. A., P. Baas, and S. Rodgers. 2007. “Variations in </w:t>
      </w:r>
      <w:proofErr w:type="spellStart"/>
      <w:r>
        <w:t>Dieot</w:t>
      </w:r>
      <w:proofErr w:type="spellEnd"/>
      <w:r>
        <w:t xml:space="preserve"> Wood Anatomy: A Global Analysis Based on the </w:t>
      </w:r>
      <w:proofErr w:type="spellStart"/>
      <w:r>
        <w:t>Insidewood</w:t>
      </w:r>
      <w:proofErr w:type="spellEnd"/>
      <w:r>
        <w:t xml:space="preserve"> Database.” </w:t>
      </w:r>
      <w:r>
        <w:rPr>
          <w:i/>
        </w:rPr>
        <w:t>IAWA Journal</w:t>
      </w:r>
      <w:r>
        <w:t xml:space="preserve"> 28 (3): 229–58. </w:t>
      </w:r>
      <w:hyperlink r:id="rId119">
        <w:r>
          <w:t>https://doi.org/10.1163/22941932-90001638</w:t>
        </w:r>
      </w:hyperlink>
      <w:r>
        <w:t>.</w:t>
      </w:r>
    </w:p>
    <w:p w14:paraId="577B91CB" w14:textId="77777777" w:rsidR="006B51FB" w:rsidRDefault="00D64B2B">
      <w:pPr>
        <w:pStyle w:val="Bibliography"/>
      </w:pPr>
      <w:bookmarkStart w:id="116" w:name="ref-zach_vessel_2010"/>
      <w:bookmarkEnd w:id="115"/>
      <w:r>
        <w:t xml:space="preserve">Zach, Alexandra, Bernhard Schuldt, Sarah Brix, Viviana </w:t>
      </w:r>
      <w:proofErr w:type="spellStart"/>
      <w:r>
        <w:t>Horna</w:t>
      </w:r>
      <w:proofErr w:type="spellEnd"/>
      <w:r>
        <w:t xml:space="preserve">, Heike </w:t>
      </w:r>
      <w:proofErr w:type="spellStart"/>
      <w:r>
        <w:t>Culmsee</w:t>
      </w:r>
      <w:proofErr w:type="spellEnd"/>
      <w:r>
        <w:t xml:space="preserve">, and Christoph Leuschner. 2010. “Vessel Diameter and Xylem Hydraulic Conductivity Increase with Tree Height in Tropical Rainforest Trees in Sulawesi, Indonesia.” </w:t>
      </w:r>
      <w:r>
        <w:rPr>
          <w:i/>
        </w:rPr>
        <w:t>Flora - Morphology, Distribution, Functional Ecology of Plants</w:t>
      </w:r>
      <w:r>
        <w:t xml:space="preserve"> 205 (8): 506–12. </w:t>
      </w:r>
      <w:hyperlink r:id="rId120">
        <w:r>
          <w:t>https://doi.org/10.1016/j.flora.2009.12.008</w:t>
        </w:r>
      </w:hyperlink>
      <w:r>
        <w:t>.</w:t>
      </w:r>
    </w:p>
    <w:p w14:paraId="3A94F642" w14:textId="77777777" w:rsidR="006B51FB" w:rsidRDefault="00D64B2B">
      <w:pPr>
        <w:pStyle w:val="Bibliography"/>
      </w:pPr>
      <w:bookmarkStart w:id="117" w:name="ref-zellweger_seasonal_2019"/>
      <w:bookmarkEnd w:id="116"/>
      <w:r>
        <w:t xml:space="preserve">Zellweger, Florian, David </w:t>
      </w:r>
      <w:proofErr w:type="spellStart"/>
      <w:r>
        <w:t>Coomes</w:t>
      </w:r>
      <w:proofErr w:type="spellEnd"/>
      <w:r>
        <w:t xml:space="preserve">, Jonathan Lenoir, Leen </w:t>
      </w:r>
      <w:proofErr w:type="spellStart"/>
      <w:r>
        <w:t>Depauw</w:t>
      </w:r>
      <w:proofErr w:type="spellEnd"/>
      <w:r>
        <w:t xml:space="preserve">, </w:t>
      </w:r>
      <w:proofErr w:type="spellStart"/>
      <w:r>
        <w:t>Sybryn</w:t>
      </w:r>
      <w:proofErr w:type="spellEnd"/>
      <w:r>
        <w:t xml:space="preserve"> L. </w:t>
      </w:r>
      <w:proofErr w:type="spellStart"/>
      <w:r>
        <w:t>Maes</w:t>
      </w:r>
      <w:proofErr w:type="spellEnd"/>
      <w:r>
        <w:t xml:space="preserve">, Monika Wulf, Keith J. Kirby, et al. 2019. “Seasonal Drivers of </w:t>
      </w:r>
      <w:proofErr w:type="spellStart"/>
      <w:r>
        <w:t>Understorey</w:t>
      </w:r>
      <w:proofErr w:type="spellEnd"/>
      <w:r>
        <w:t xml:space="preserve"> Temperature Buffering in Temperate Deciduous Forests Across Europe.” </w:t>
      </w:r>
      <w:r>
        <w:rPr>
          <w:i/>
        </w:rPr>
        <w:t>Global Ecology and Biogeography</w:t>
      </w:r>
      <w:r>
        <w:t xml:space="preserve"> 28 (12): 1774–86. </w:t>
      </w:r>
      <w:hyperlink r:id="rId121">
        <w:r>
          <w:t>https://doi.org/10.1111/geb.12991</w:t>
        </w:r>
      </w:hyperlink>
      <w:r>
        <w:t>.</w:t>
      </w:r>
    </w:p>
    <w:p w14:paraId="7FB80FD3" w14:textId="77777777" w:rsidR="006B51FB" w:rsidRDefault="00D64B2B">
      <w:pPr>
        <w:pStyle w:val="Bibliography"/>
      </w:pPr>
      <w:bookmarkStart w:id="118" w:name="ref-zhu_leaf_2018"/>
      <w:bookmarkEnd w:id="117"/>
      <w:r>
        <w:lastRenderedPageBreak/>
        <w:t xml:space="preserve">Zhu, Shi-Dan, </w:t>
      </w:r>
      <w:proofErr w:type="spellStart"/>
      <w:r>
        <w:t>Ya</w:t>
      </w:r>
      <w:proofErr w:type="spellEnd"/>
      <w:r>
        <w:t xml:space="preserve">-Jun Chen, Qing Ye, Peng-Cheng He, Hui Liu, Rong-Hua Li, Pei-Li Fu, Guo-Feng Jiang, and </w:t>
      </w:r>
      <w:proofErr w:type="spellStart"/>
      <w:r>
        <w:t>Kun</w:t>
      </w:r>
      <w:proofErr w:type="spellEnd"/>
      <w:r>
        <w:t xml:space="preserve">-Fang Cao. 2018. “Leaf Turgor Loss Point Is Correlated with Drought Tolerance and Leaf Carbon Economics Traits.” </w:t>
      </w:r>
      <w:r>
        <w:rPr>
          <w:i/>
        </w:rPr>
        <w:t>Tree Physiology</w:t>
      </w:r>
      <w:r>
        <w:t xml:space="preserve"> 38 (5): 658–63. </w:t>
      </w:r>
      <w:hyperlink r:id="rId122">
        <w:r>
          <w:t>https://doi.org/10.1093/treephys/tpy013</w:t>
        </w:r>
      </w:hyperlink>
      <w:r>
        <w:t>.</w:t>
      </w:r>
    </w:p>
    <w:p w14:paraId="5344074A" w14:textId="01EE404F" w:rsidR="006B51FB" w:rsidRDefault="00D64B2B">
      <w:pPr>
        <w:pStyle w:val="Bibliography"/>
      </w:pPr>
      <w:bookmarkStart w:id="119" w:name="ref-zuleta_drought-induced_2017"/>
      <w:bookmarkEnd w:id="118"/>
      <w:proofErr w:type="spellStart"/>
      <w:r>
        <w:t>Zuleta</w:t>
      </w:r>
      <w:proofErr w:type="spellEnd"/>
      <w:r>
        <w:t xml:space="preserve">, Daniel, Alvaro Duque, </w:t>
      </w:r>
      <w:proofErr w:type="spellStart"/>
      <w:r>
        <w:t>Dairon</w:t>
      </w:r>
      <w:proofErr w:type="spellEnd"/>
      <w:r>
        <w:t xml:space="preserve"> Cardenas, Helene C. Muller‐Landau, and Stuart J. Davies. 2017. “Drought-Induced Mortality Patterns and Rapid Biomass Recovery in a Terra Firme Forest in the Colombian Amazon.” </w:t>
      </w:r>
      <w:r>
        <w:rPr>
          <w:i/>
        </w:rPr>
        <w:t>Ecology</w:t>
      </w:r>
      <w:r>
        <w:t xml:space="preserve"> 98 (10): 2538–46. </w:t>
      </w:r>
      <w:hyperlink r:id="rId123">
        <w:r>
          <w:t>https://doi.org/10.1002/ecy.1950</w:t>
        </w:r>
      </w:hyperlink>
      <w:r>
        <w:t>.</w:t>
      </w:r>
    </w:p>
    <w:p w14:paraId="2C25C90D" w14:textId="4EAAD656" w:rsidR="00D64B2B" w:rsidRDefault="00D64B2B">
      <w:pPr>
        <w:pStyle w:val="Bibliography"/>
      </w:pPr>
    </w:p>
    <w:p w14:paraId="0AED6F52" w14:textId="7D7ADB2C" w:rsidR="00D64B2B" w:rsidRDefault="00D64B2B">
      <w:pPr>
        <w:pStyle w:val="Bibliography"/>
      </w:pPr>
    </w:p>
    <w:p w14:paraId="6D3728E8" w14:textId="43D967EE" w:rsidR="00D64B2B" w:rsidRDefault="00D64B2B">
      <w:pPr>
        <w:pStyle w:val="Bibliography"/>
      </w:pPr>
    </w:p>
    <w:p w14:paraId="0674E08B" w14:textId="20275829" w:rsidR="00D64B2B" w:rsidRDefault="00D64B2B">
      <w:pPr>
        <w:pStyle w:val="Bibliography"/>
      </w:pPr>
    </w:p>
    <w:p w14:paraId="206DEBF2" w14:textId="331CD013" w:rsidR="00D64B2B" w:rsidRDefault="00D64B2B">
      <w:pPr>
        <w:pStyle w:val="Bibliography"/>
      </w:pPr>
    </w:p>
    <w:p w14:paraId="5DAFC392" w14:textId="0D652D2C" w:rsidR="00D64B2B" w:rsidRDefault="00D64B2B" w:rsidP="00D64B2B">
      <w:pPr>
        <w:pStyle w:val="BodyText"/>
        <w:rPr>
          <w:i/>
        </w:rPr>
      </w:pPr>
    </w:p>
    <w:p w14:paraId="7D82B5C4" w14:textId="6957E09D" w:rsidR="00982B4F" w:rsidRDefault="00982B4F" w:rsidP="00D64B2B">
      <w:pPr>
        <w:pStyle w:val="BodyText"/>
        <w:rPr>
          <w:i/>
        </w:rPr>
      </w:pPr>
    </w:p>
    <w:p w14:paraId="6B50CD29" w14:textId="15DB8DD7" w:rsidR="00982B4F" w:rsidRDefault="00982B4F" w:rsidP="00D64B2B">
      <w:pPr>
        <w:pStyle w:val="BodyText"/>
        <w:rPr>
          <w:i/>
        </w:rPr>
      </w:pPr>
    </w:p>
    <w:p w14:paraId="22DD32F8" w14:textId="1AF920F9" w:rsidR="00982B4F" w:rsidRDefault="00982B4F" w:rsidP="00D64B2B">
      <w:pPr>
        <w:pStyle w:val="BodyText"/>
        <w:rPr>
          <w:i/>
        </w:rPr>
      </w:pPr>
    </w:p>
    <w:p w14:paraId="6272B1DE" w14:textId="651E8171" w:rsidR="00982B4F" w:rsidRDefault="00982B4F" w:rsidP="00D64B2B">
      <w:pPr>
        <w:pStyle w:val="BodyText"/>
        <w:rPr>
          <w:i/>
        </w:rPr>
      </w:pPr>
    </w:p>
    <w:p w14:paraId="5E58A630" w14:textId="09EC6CFC" w:rsidR="00982B4F" w:rsidRDefault="00982B4F" w:rsidP="00D64B2B">
      <w:pPr>
        <w:pStyle w:val="BodyText"/>
        <w:rPr>
          <w:i/>
        </w:rPr>
      </w:pPr>
    </w:p>
    <w:p w14:paraId="4E1DC874" w14:textId="679FD9DD" w:rsidR="00982B4F" w:rsidRDefault="00982B4F" w:rsidP="00D64B2B">
      <w:pPr>
        <w:pStyle w:val="BodyText"/>
        <w:rPr>
          <w:i/>
        </w:rPr>
      </w:pPr>
    </w:p>
    <w:p w14:paraId="7A75D750" w14:textId="15D204B6" w:rsidR="00982B4F" w:rsidRDefault="00982B4F" w:rsidP="00D64B2B">
      <w:pPr>
        <w:pStyle w:val="BodyText"/>
        <w:rPr>
          <w:i/>
        </w:rPr>
      </w:pPr>
    </w:p>
    <w:p w14:paraId="350B7C48" w14:textId="14AB988C" w:rsidR="00982B4F" w:rsidRDefault="00982B4F" w:rsidP="00D64B2B">
      <w:pPr>
        <w:pStyle w:val="BodyText"/>
        <w:rPr>
          <w:i/>
        </w:rPr>
      </w:pPr>
    </w:p>
    <w:p w14:paraId="1607E3CA" w14:textId="47BA8750" w:rsidR="00982B4F" w:rsidRDefault="00982B4F" w:rsidP="00D64B2B">
      <w:pPr>
        <w:pStyle w:val="BodyText"/>
        <w:rPr>
          <w:i/>
        </w:rPr>
      </w:pPr>
    </w:p>
    <w:p w14:paraId="59E5D41D" w14:textId="61074462" w:rsidR="00982B4F" w:rsidRDefault="00982B4F" w:rsidP="00D64B2B">
      <w:pPr>
        <w:pStyle w:val="BodyText"/>
        <w:rPr>
          <w:i/>
        </w:rPr>
      </w:pPr>
    </w:p>
    <w:p w14:paraId="6ED75A5C" w14:textId="56B277CD" w:rsidR="00982B4F" w:rsidRDefault="00982B4F" w:rsidP="00D64B2B">
      <w:pPr>
        <w:pStyle w:val="BodyText"/>
        <w:rPr>
          <w:i/>
        </w:rPr>
      </w:pPr>
    </w:p>
    <w:p w14:paraId="17AAE165" w14:textId="1195A514" w:rsidR="00982B4F" w:rsidRDefault="00982B4F" w:rsidP="00D64B2B">
      <w:pPr>
        <w:pStyle w:val="BodyText"/>
        <w:rPr>
          <w:i/>
        </w:rPr>
      </w:pPr>
    </w:p>
    <w:p w14:paraId="34EAAB63" w14:textId="29BDB481" w:rsidR="00982B4F" w:rsidRDefault="00982B4F" w:rsidP="00D64B2B">
      <w:pPr>
        <w:pStyle w:val="BodyText"/>
        <w:rPr>
          <w:i/>
        </w:rPr>
      </w:pPr>
    </w:p>
    <w:p w14:paraId="6DC293E6" w14:textId="5CB0D2FE" w:rsidR="00982B4F" w:rsidRDefault="00982B4F" w:rsidP="00D64B2B">
      <w:pPr>
        <w:pStyle w:val="BodyText"/>
        <w:rPr>
          <w:i/>
        </w:rPr>
      </w:pPr>
    </w:p>
    <w:p w14:paraId="069B3E9B" w14:textId="0CBD7C1B" w:rsidR="00982B4F" w:rsidRDefault="00982B4F" w:rsidP="00D64B2B">
      <w:pPr>
        <w:pStyle w:val="BodyText"/>
        <w:rPr>
          <w:i/>
        </w:rPr>
      </w:pPr>
    </w:p>
    <w:p w14:paraId="5C4EC956" w14:textId="558EC48E" w:rsidR="00982B4F" w:rsidRDefault="00982B4F" w:rsidP="00D64B2B">
      <w:pPr>
        <w:pStyle w:val="BodyText"/>
        <w:rPr>
          <w:i/>
        </w:rPr>
      </w:pPr>
    </w:p>
    <w:p w14:paraId="61174D08" w14:textId="55F316C1" w:rsidR="00982B4F" w:rsidRDefault="00982B4F" w:rsidP="00D64B2B">
      <w:pPr>
        <w:pStyle w:val="BodyText"/>
        <w:rPr>
          <w:i/>
        </w:rPr>
      </w:pPr>
    </w:p>
    <w:p w14:paraId="010FDEBF" w14:textId="77777777" w:rsidR="00982B4F" w:rsidRDefault="00982B4F" w:rsidP="00D64B2B">
      <w:pPr>
        <w:pStyle w:val="BodyText"/>
        <w:rPr>
          <w:i/>
        </w:rPr>
        <w:sectPr w:rsidR="00982B4F" w:rsidSect="00982B4F">
          <w:type w:val="continuous"/>
          <w:pgSz w:w="12240" w:h="15840"/>
          <w:pgMar w:top="1320" w:right="280" w:bottom="1340" w:left="1140" w:header="720" w:footer="720" w:gutter="0"/>
          <w:cols w:space="720"/>
          <w:docGrid w:linePitch="326"/>
        </w:sectPr>
      </w:pPr>
    </w:p>
    <w:tbl>
      <w:tblPr>
        <w:tblpPr w:leftFromText="180" w:rightFromText="180" w:vertAnchor="page" w:horzAnchor="margin" w:tblpXSpec="center" w:tblpY="1570"/>
        <w:tblW w:w="14631" w:type="dxa"/>
        <w:tblBorders>
          <w:top w:val="single" w:sz="4" w:space="0" w:color="auto"/>
          <w:bottom w:val="single" w:sz="4" w:space="0" w:color="auto"/>
          <w:insideH w:val="single" w:sz="4" w:space="0" w:color="auto"/>
        </w:tblBorders>
        <w:tblLook w:val="04A0" w:firstRow="1" w:lastRow="0" w:firstColumn="1" w:lastColumn="0" w:noHBand="0" w:noVBand="1"/>
      </w:tblPr>
      <w:tblGrid>
        <w:gridCol w:w="8506"/>
        <w:gridCol w:w="1417"/>
        <w:gridCol w:w="1165"/>
        <w:gridCol w:w="1134"/>
        <w:gridCol w:w="1134"/>
        <w:gridCol w:w="1275"/>
      </w:tblGrid>
      <w:tr w:rsidR="004052B0" w:rsidRPr="004052B0" w14:paraId="7CB8CCB8" w14:textId="77777777" w:rsidTr="00133254">
        <w:trPr>
          <w:trHeight w:val="290"/>
        </w:trPr>
        <w:tc>
          <w:tcPr>
            <w:tcW w:w="8506" w:type="dxa"/>
            <w:tcBorders>
              <w:bottom w:val="nil"/>
            </w:tcBorders>
            <w:shd w:val="clear" w:color="auto" w:fill="auto"/>
            <w:noWrap/>
            <w:vAlign w:val="bottom"/>
          </w:tcPr>
          <w:p w14:paraId="0A9AAD91" w14:textId="77777777" w:rsidR="004052B0" w:rsidRPr="004052B0" w:rsidRDefault="004052B0" w:rsidP="004052B0">
            <w:pPr>
              <w:spacing w:after="0"/>
              <w:rPr>
                <w:rFonts w:ascii="Calibri" w:eastAsia="Times New Roman" w:hAnsi="Calibri" w:cs="Calibri"/>
                <w:color w:val="000000"/>
                <w:sz w:val="20"/>
                <w:szCs w:val="20"/>
              </w:rPr>
            </w:pPr>
          </w:p>
        </w:tc>
        <w:tc>
          <w:tcPr>
            <w:tcW w:w="4850" w:type="dxa"/>
            <w:gridSpan w:val="4"/>
            <w:shd w:val="clear" w:color="auto" w:fill="auto"/>
            <w:noWrap/>
            <w:vAlign w:val="bottom"/>
          </w:tcPr>
          <w:p w14:paraId="6B015563" w14:textId="77777777" w:rsidR="004052B0" w:rsidRPr="004052B0" w:rsidRDefault="004052B0" w:rsidP="004052B0">
            <w:pPr>
              <w:spacing w:after="0"/>
              <w:jc w:val="center"/>
              <w:rPr>
                <w:rFonts w:ascii="Calibri" w:eastAsia="Times New Roman" w:hAnsi="Calibri" w:cs="Calibri"/>
                <w:color w:val="000000"/>
                <w:sz w:val="20"/>
                <w:szCs w:val="20"/>
              </w:rPr>
            </w:pPr>
            <w:r w:rsidRPr="004052B0">
              <w:rPr>
                <w:rFonts w:ascii="Calibri" w:eastAsia="Times New Roman" w:hAnsi="Calibri" w:cs="Calibri"/>
                <w:color w:val="000000"/>
                <w:sz w:val="20"/>
                <w:szCs w:val="20"/>
              </w:rPr>
              <w:t>Prediction supported?</w:t>
            </w:r>
          </w:p>
        </w:tc>
        <w:tc>
          <w:tcPr>
            <w:tcW w:w="1275" w:type="dxa"/>
            <w:shd w:val="clear" w:color="auto" w:fill="auto"/>
            <w:noWrap/>
            <w:vAlign w:val="bottom"/>
          </w:tcPr>
          <w:p w14:paraId="2D359C45"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78D882DB" w14:textId="77777777" w:rsidTr="00133254">
        <w:trPr>
          <w:trHeight w:val="290"/>
        </w:trPr>
        <w:tc>
          <w:tcPr>
            <w:tcW w:w="8506" w:type="dxa"/>
            <w:tcBorders>
              <w:top w:val="nil"/>
              <w:bottom w:val="single" w:sz="4" w:space="0" w:color="auto"/>
            </w:tcBorders>
            <w:shd w:val="clear" w:color="auto" w:fill="auto"/>
            <w:noWrap/>
            <w:vAlign w:val="bottom"/>
            <w:hideMark/>
          </w:tcPr>
          <w:p w14:paraId="58929DE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Hypotheses &amp; Specific Predictions</w:t>
            </w:r>
          </w:p>
        </w:tc>
        <w:tc>
          <w:tcPr>
            <w:tcW w:w="1417" w:type="dxa"/>
            <w:tcBorders>
              <w:bottom w:val="single" w:sz="4" w:space="0" w:color="auto"/>
            </w:tcBorders>
            <w:shd w:val="clear" w:color="auto" w:fill="auto"/>
            <w:noWrap/>
            <w:vAlign w:val="bottom"/>
            <w:hideMark/>
          </w:tcPr>
          <w:p w14:paraId="0BBFEEC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recent non-drought conditions</w:t>
            </w:r>
          </w:p>
        </w:tc>
        <w:tc>
          <w:tcPr>
            <w:tcW w:w="1165" w:type="dxa"/>
            <w:tcBorders>
              <w:bottom w:val="single" w:sz="4" w:space="0" w:color="auto"/>
            </w:tcBorders>
            <w:shd w:val="clear" w:color="auto" w:fill="auto"/>
            <w:noWrap/>
            <w:vAlign w:val="bottom"/>
            <w:hideMark/>
          </w:tcPr>
          <w:p w14:paraId="5D38E01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Resistance (Rt)</w:t>
            </w:r>
          </w:p>
        </w:tc>
        <w:tc>
          <w:tcPr>
            <w:tcW w:w="1134" w:type="dxa"/>
            <w:tcBorders>
              <w:bottom w:val="single" w:sz="4" w:space="0" w:color="auto"/>
            </w:tcBorders>
            <w:shd w:val="clear" w:color="auto" w:fill="auto"/>
            <w:noWrap/>
            <w:vAlign w:val="bottom"/>
            <w:hideMark/>
          </w:tcPr>
          <w:p w14:paraId="69F91C2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Recovery (</w:t>
            </w:r>
            <w:proofErr w:type="spellStart"/>
            <w:r w:rsidRPr="00982B4F">
              <w:rPr>
                <w:rFonts w:ascii="Calibri" w:eastAsia="Times New Roman" w:hAnsi="Calibri" w:cs="Calibri"/>
                <w:color w:val="000000"/>
                <w:sz w:val="20"/>
                <w:szCs w:val="20"/>
              </w:rPr>
              <w:t>Rc</w:t>
            </w:r>
            <w:proofErr w:type="spellEnd"/>
            <w:r w:rsidRPr="00982B4F">
              <w:rPr>
                <w:rFonts w:ascii="Calibri" w:eastAsia="Times New Roman" w:hAnsi="Calibri" w:cs="Calibri"/>
                <w:color w:val="000000"/>
                <w:sz w:val="20"/>
                <w:szCs w:val="20"/>
              </w:rPr>
              <w:t>)</w:t>
            </w:r>
          </w:p>
        </w:tc>
        <w:tc>
          <w:tcPr>
            <w:tcW w:w="1134" w:type="dxa"/>
            <w:tcBorders>
              <w:bottom w:val="single" w:sz="4" w:space="0" w:color="auto"/>
            </w:tcBorders>
            <w:shd w:val="clear" w:color="auto" w:fill="auto"/>
            <w:noWrap/>
            <w:vAlign w:val="bottom"/>
            <w:hideMark/>
          </w:tcPr>
          <w:p w14:paraId="14BB046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Resilience (Rs)</w:t>
            </w:r>
          </w:p>
        </w:tc>
        <w:tc>
          <w:tcPr>
            <w:tcW w:w="1275" w:type="dxa"/>
            <w:tcBorders>
              <w:bottom w:val="single" w:sz="4" w:space="0" w:color="auto"/>
            </w:tcBorders>
            <w:shd w:val="clear" w:color="auto" w:fill="auto"/>
            <w:noWrap/>
            <w:vAlign w:val="bottom"/>
            <w:hideMark/>
          </w:tcPr>
          <w:p w14:paraId="65A4A846"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Results</w:t>
            </w:r>
          </w:p>
        </w:tc>
      </w:tr>
      <w:tr w:rsidR="004052B0" w:rsidRPr="004052B0" w14:paraId="7BE1D173" w14:textId="77777777" w:rsidTr="00133254">
        <w:trPr>
          <w:trHeight w:val="290"/>
        </w:trPr>
        <w:tc>
          <w:tcPr>
            <w:tcW w:w="8506" w:type="dxa"/>
            <w:tcBorders>
              <w:bottom w:val="nil"/>
            </w:tcBorders>
            <w:shd w:val="clear" w:color="auto" w:fill="auto"/>
            <w:noWrap/>
            <w:vAlign w:val="bottom"/>
          </w:tcPr>
          <w:p w14:paraId="25210E4F" w14:textId="77777777" w:rsidR="004052B0" w:rsidRPr="004052B0" w:rsidRDefault="004052B0" w:rsidP="004052B0">
            <w:pPr>
              <w:spacing w:after="0"/>
              <w:rPr>
                <w:rFonts w:ascii="Calibri" w:eastAsia="Times New Roman" w:hAnsi="Calibri" w:cs="Calibri"/>
                <w:b/>
                <w:bCs/>
                <w:color w:val="000000"/>
                <w:sz w:val="20"/>
                <w:szCs w:val="20"/>
              </w:rPr>
            </w:pPr>
            <w:r w:rsidRPr="004052B0">
              <w:rPr>
                <w:rFonts w:ascii="Calibri" w:eastAsia="Times New Roman" w:hAnsi="Calibri" w:cs="Calibri"/>
                <w:b/>
                <w:bCs/>
                <w:color w:val="000000"/>
                <w:sz w:val="20"/>
                <w:szCs w:val="20"/>
              </w:rPr>
              <w:t>Tree size and microenvironment</w:t>
            </w:r>
          </w:p>
        </w:tc>
        <w:tc>
          <w:tcPr>
            <w:tcW w:w="1417" w:type="dxa"/>
            <w:tcBorders>
              <w:bottom w:val="nil"/>
            </w:tcBorders>
            <w:shd w:val="clear" w:color="auto" w:fill="auto"/>
            <w:noWrap/>
            <w:vAlign w:val="bottom"/>
          </w:tcPr>
          <w:p w14:paraId="002EC532" w14:textId="77777777" w:rsidR="004052B0" w:rsidRPr="004052B0" w:rsidRDefault="004052B0" w:rsidP="004052B0">
            <w:pPr>
              <w:spacing w:after="0"/>
              <w:rPr>
                <w:rFonts w:ascii="Calibri" w:eastAsia="Times New Roman" w:hAnsi="Calibri" w:cs="Calibri"/>
                <w:color w:val="000000"/>
                <w:sz w:val="20"/>
                <w:szCs w:val="20"/>
              </w:rPr>
            </w:pPr>
          </w:p>
        </w:tc>
        <w:tc>
          <w:tcPr>
            <w:tcW w:w="1165" w:type="dxa"/>
            <w:tcBorders>
              <w:bottom w:val="nil"/>
            </w:tcBorders>
            <w:shd w:val="clear" w:color="auto" w:fill="auto"/>
            <w:noWrap/>
            <w:vAlign w:val="bottom"/>
          </w:tcPr>
          <w:p w14:paraId="1D4FB023"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bottom w:val="nil"/>
            </w:tcBorders>
            <w:shd w:val="clear" w:color="auto" w:fill="auto"/>
            <w:noWrap/>
            <w:vAlign w:val="bottom"/>
          </w:tcPr>
          <w:p w14:paraId="1524DF33"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bottom w:val="nil"/>
            </w:tcBorders>
            <w:shd w:val="clear" w:color="auto" w:fill="auto"/>
            <w:noWrap/>
            <w:vAlign w:val="bottom"/>
          </w:tcPr>
          <w:p w14:paraId="42935708" w14:textId="77777777" w:rsidR="004052B0" w:rsidRPr="004052B0" w:rsidRDefault="004052B0" w:rsidP="004052B0">
            <w:pPr>
              <w:spacing w:after="0"/>
              <w:rPr>
                <w:rFonts w:ascii="Calibri" w:eastAsia="Times New Roman" w:hAnsi="Calibri" w:cs="Calibri"/>
                <w:color w:val="000000"/>
                <w:sz w:val="20"/>
                <w:szCs w:val="20"/>
              </w:rPr>
            </w:pPr>
          </w:p>
        </w:tc>
        <w:tc>
          <w:tcPr>
            <w:tcW w:w="1275" w:type="dxa"/>
            <w:tcBorders>
              <w:bottom w:val="nil"/>
            </w:tcBorders>
            <w:shd w:val="clear" w:color="auto" w:fill="auto"/>
            <w:noWrap/>
            <w:vAlign w:val="bottom"/>
          </w:tcPr>
          <w:p w14:paraId="297EADE4"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5D926B08" w14:textId="77777777" w:rsidTr="00133254">
        <w:trPr>
          <w:trHeight w:val="569"/>
        </w:trPr>
        <w:tc>
          <w:tcPr>
            <w:tcW w:w="14631" w:type="dxa"/>
            <w:gridSpan w:val="6"/>
            <w:tcBorders>
              <w:top w:val="nil"/>
              <w:bottom w:val="nil"/>
            </w:tcBorders>
            <w:shd w:val="clear" w:color="auto" w:fill="auto"/>
            <w:noWrap/>
            <w:vAlign w:val="bottom"/>
          </w:tcPr>
          <w:p w14:paraId="212D2FE0"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Across the forest vertical profile, taller trees are exposed to higher evaporative demand.</w:t>
            </w:r>
          </w:p>
        </w:tc>
      </w:tr>
      <w:tr w:rsidR="004052B0" w:rsidRPr="004052B0" w14:paraId="0500FEA6" w14:textId="77777777" w:rsidTr="00133254">
        <w:trPr>
          <w:trHeight w:val="290"/>
        </w:trPr>
        <w:tc>
          <w:tcPr>
            <w:tcW w:w="8506" w:type="dxa"/>
            <w:tcBorders>
              <w:top w:val="nil"/>
              <w:bottom w:val="nil"/>
            </w:tcBorders>
            <w:shd w:val="clear" w:color="auto" w:fill="auto"/>
            <w:noWrap/>
            <w:vAlign w:val="bottom"/>
            <w:hideMark/>
          </w:tcPr>
          <w:p w14:paraId="5520F6C2"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higher wind speeds during the peak growing season months.</w:t>
            </w:r>
          </w:p>
        </w:tc>
        <w:tc>
          <w:tcPr>
            <w:tcW w:w="1417" w:type="dxa"/>
            <w:tcBorders>
              <w:top w:val="nil"/>
              <w:bottom w:val="nil"/>
            </w:tcBorders>
            <w:shd w:val="clear" w:color="auto" w:fill="auto"/>
            <w:noWrap/>
            <w:vAlign w:val="bottom"/>
            <w:hideMark/>
          </w:tcPr>
          <w:p w14:paraId="6CA75D0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tcBorders>
              <w:top w:val="nil"/>
              <w:bottom w:val="nil"/>
            </w:tcBorders>
            <w:shd w:val="clear" w:color="auto" w:fill="auto"/>
            <w:noWrap/>
            <w:vAlign w:val="bottom"/>
            <w:hideMark/>
          </w:tcPr>
          <w:p w14:paraId="6BA976C4"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5F3E1C23"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6CCA49F2"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2783C3F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0C20FA17" w14:textId="77777777" w:rsidTr="00133254">
        <w:trPr>
          <w:trHeight w:val="290"/>
        </w:trPr>
        <w:tc>
          <w:tcPr>
            <w:tcW w:w="8506" w:type="dxa"/>
            <w:tcBorders>
              <w:top w:val="nil"/>
              <w:bottom w:val="nil"/>
            </w:tcBorders>
            <w:shd w:val="clear" w:color="auto" w:fill="auto"/>
            <w:noWrap/>
            <w:vAlign w:val="bottom"/>
            <w:hideMark/>
          </w:tcPr>
          <w:p w14:paraId="1235D0B8"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lower humidity during the peak growing season months.</w:t>
            </w:r>
          </w:p>
        </w:tc>
        <w:tc>
          <w:tcPr>
            <w:tcW w:w="1417" w:type="dxa"/>
            <w:tcBorders>
              <w:top w:val="nil"/>
              <w:bottom w:val="nil"/>
            </w:tcBorders>
            <w:shd w:val="clear" w:color="auto" w:fill="auto"/>
            <w:noWrap/>
            <w:vAlign w:val="bottom"/>
            <w:hideMark/>
          </w:tcPr>
          <w:p w14:paraId="3594CEF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tcBorders>
              <w:top w:val="nil"/>
              <w:bottom w:val="nil"/>
            </w:tcBorders>
            <w:shd w:val="clear" w:color="auto" w:fill="auto"/>
            <w:noWrap/>
            <w:vAlign w:val="bottom"/>
            <w:hideMark/>
          </w:tcPr>
          <w:p w14:paraId="28D52623"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1424D3FA"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63E4C754"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5ABFD37B"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13306BB5" w14:textId="77777777" w:rsidTr="00133254">
        <w:trPr>
          <w:trHeight w:val="290"/>
        </w:trPr>
        <w:tc>
          <w:tcPr>
            <w:tcW w:w="8506" w:type="dxa"/>
            <w:tcBorders>
              <w:top w:val="nil"/>
              <w:bottom w:val="nil"/>
            </w:tcBorders>
            <w:shd w:val="clear" w:color="auto" w:fill="auto"/>
            <w:noWrap/>
            <w:vAlign w:val="bottom"/>
            <w:hideMark/>
          </w:tcPr>
          <w:p w14:paraId="6827071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higher air temperatures during the peak growing season months.</w:t>
            </w:r>
          </w:p>
        </w:tc>
        <w:tc>
          <w:tcPr>
            <w:tcW w:w="1417" w:type="dxa"/>
            <w:tcBorders>
              <w:top w:val="nil"/>
              <w:bottom w:val="nil"/>
            </w:tcBorders>
            <w:shd w:val="clear" w:color="auto" w:fill="auto"/>
            <w:noWrap/>
            <w:vAlign w:val="bottom"/>
            <w:hideMark/>
          </w:tcPr>
          <w:p w14:paraId="3C48DDAB"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65" w:type="dxa"/>
            <w:tcBorders>
              <w:top w:val="nil"/>
              <w:bottom w:val="nil"/>
            </w:tcBorders>
            <w:shd w:val="clear" w:color="auto" w:fill="auto"/>
            <w:noWrap/>
            <w:vAlign w:val="bottom"/>
            <w:hideMark/>
          </w:tcPr>
          <w:p w14:paraId="526CC5CE"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31ED6420"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7B26F5DD"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20B3221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218ACECF" w14:textId="77777777" w:rsidTr="00133254">
        <w:trPr>
          <w:trHeight w:val="290"/>
        </w:trPr>
        <w:tc>
          <w:tcPr>
            <w:tcW w:w="8506" w:type="dxa"/>
            <w:tcBorders>
              <w:top w:val="nil"/>
              <w:bottom w:val="nil"/>
            </w:tcBorders>
            <w:shd w:val="clear" w:color="auto" w:fill="auto"/>
            <w:noWrap/>
            <w:vAlign w:val="bottom"/>
            <w:hideMark/>
          </w:tcPr>
          <w:p w14:paraId="43A0C8E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 xml:space="preserve">Taller trees have more sun-exposed crowns. </w:t>
            </w:r>
          </w:p>
        </w:tc>
        <w:tc>
          <w:tcPr>
            <w:tcW w:w="1417" w:type="dxa"/>
            <w:tcBorders>
              <w:top w:val="nil"/>
              <w:bottom w:val="nil"/>
            </w:tcBorders>
            <w:shd w:val="clear" w:color="auto" w:fill="auto"/>
            <w:noWrap/>
            <w:vAlign w:val="bottom"/>
            <w:hideMark/>
          </w:tcPr>
          <w:p w14:paraId="0A494BE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tcBorders>
              <w:top w:val="nil"/>
              <w:bottom w:val="nil"/>
            </w:tcBorders>
            <w:shd w:val="clear" w:color="auto" w:fill="auto"/>
            <w:noWrap/>
            <w:vAlign w:val="bottom"/>
            <w:hideMark/>
          </w:tcPr>
          <w:p w14:paraId="38F26112"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4582BC31"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437A76AC"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4C277A4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7DF3A045" w14:textId="77777777" w:rsidTr="00133254">
        <w:trPr>
          <w:trHeight w:val="481"/>
        </w:trPr>
        <w:tc>
          <w:tcPr>
            <w:tcW w:w="14631" w:type="dxa"/>
            <w:gridSpan w:val="6"/>
            <w:tcBorders>
              <w:top w:val="nil"/>
              <w:bottom w:val="nil"/>
            </w:tcBorders>
            <w:shd w:val="clear" w:color="auto" w:fill="auto"/>
            <w:noWrap/>
            <w:vAlign w:val="bottom"/>
          </w:tcPr>
          <w:p w14:paraId="652CACF2"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At least within the forest setting, taller trees are less drought tolerant.</w:t>
            </w:r>
          </w:p>
        </w:tc>
      </w:tr>
      <w:tr w:rsidR="004052B0" w:rsidRPr="004052B0" w14:paraId="6D7D0C5D" w14:textId="77777777" w:rsidTr="00133254">
        <w:trPr>
          <w:trHeight w:val="330"/>
        </w:trPr>
        <w:tc>
          <w:tcPr>
            <w:tcW w:w="9923" w:type="dxa"/>
            <w:gridSpan w:val="2"/>
            <w:tcBorders>
              <w:top w:val="nil"/>
              <w:bottom w:val="nil"/>
            </w:tcBorders>
            <w:shd w:val="clear" w:color="auto" w:fill="auto"/>
            <w:noWrap/>
            <w:vAlign w:val="bottom"/>
            <w:hideMark/>
          </w:tcPr>
          <w:p w14:paraId="0658678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Drought tolerance decreases with height (H).</w:t>
            </w:r>
          </w:p>
        </w:tc>
        <w:tc>
          <w:tcPr>
            <w:tcW w:w="1165" w:type="dxa"/>
            <w:tcBorders>
              <w:top w:val="nil"/>
              <w:bottom w:val="nil"/>
            </w:tcBorders>
            <w:shd w:val="clear" w:color="auto" w:fill="auto"/>
            <w:noWrap/>
            <w:vAlign w:val="bottom"/>
            <w:hideMark/>
          </w:tcPr>
          <w:p w14:paraId="0888BEF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011325E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56A11742"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bottom w:val="nil"/>
            </w:tcBorders>
            <w:shd w:val="clear" w:color="auto" w:fill="auto"/>
            <w:noWrap/>
            <w:vAlign w:val="bottom"/>
            <w:hideMark/>
          </w:tcPr>
          <w:p w14:paraId="7D0615B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r w:rsidR="004052B0" w:rsidRPr="004052B0" w14:paraId="2BD43075" w14:textId="77777777" w:rsidTr="00133254">
        <w:trPr>
          <w:trHeight w:val="584"/>
        </w:trPr>
        <w:tc>
          <w:tcPr>
            <w:tcW w:w="14631" w:type="dxa"/>
            <w:gridSpan w:val="6"/>
            <w:tcBorders>
              <w:top w:val="nil"/>
              <w:bottom w:val="nil"/>
            </w:tcBorders>
            <w:shd w:val="clear" w:color="auto" w:fill="auto"/>
            <w:noWrap/>
            <w:vAlign w:val="bottom"/>
          </w:tcPr>
          <w:p w14:paraId="71502CD1"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Smaller trees (lower root volume) in drier microhabitats have lower drought tolerance.</w:t>
            </w:r>
          </w:p>
        </w:tc>
      </w:tr>
      <w:tr w:rsidR="004052B0" w:rsidRPr="004052B0" w14:paraId="3A7B7F36" w14:textId="77777777" w:rsidTr="00133254">
        <w:trPr>
          <w:trHeight w:val="290"/>
        </w:trPr>
        <w:tc>
          <w:tcPr>
            <w:tcW w:w="9923" w:type="dxa"/>
            <w:gridSpan w:val="2"/>
            <w:tcBorders>
              <w:top w:val="nil"/>
              <w:bottom w:val="nil"/>
            </w:tcBorders>
            <w:shd w:val="clear" w:color="auto" w:fill="auto"/>
            <w:noWrap/>
            <w:vAlign w:val="bottom"/>
            <w:hideMark/>
          </w:tcPr>
          <w:p w14:paraId="0653CC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There is a negative interactive effect between H and topographic wetness index.</w:t>
            </w:r>
          </w:p>
        </w:tc>
        <w:tc>
          <w:tcPr>
            <w:tcW w:w="1165" w:type="dxa"/>
            <w:tcBorders>
              <w:top w:val="nil"/>
              <w:bottom w:val="nil"/>
            </w:tcBorders>
            <w:shd w:val="clear" w:color="auto" w:fill="auto"/>
            <w:noWrap/>
            <w:vAlign w:val="bottom"/>
            <w:hideMark/>
          </w:tcPr>
          <w:p w14:paraId="57EA54F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34" w:type="dxa"/>
            <w:tcBorders>
              <w:top w:val="nil"/>
              <w:bottom w:val="nil"/>
            </w:tcBorders>
            <w:shd w:val="clear" w:color="auto" w:fill="auto"/>
            <w:noWrap/>
            <w:vAlign w:val="bottom"/>
            <w:hideMark/>
          </w:tcPr>
          <w:p w14:paraId="53C9E3D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033688B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bottom w:val="nil"/>
            </w:tcBorders>
            <w:shd w:val="clear" w:color="auto" w:fill="auto"/>
            <w:noWrap/>
            <w:vAlign w:val="bottom"/>
            <w:hideMark/>
          </w:tcPr>
          <w:p w14:paraId="5E27DDF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S8-S11</w:t>
            </w:r>
          </w:p>
        </w:tc>
      </w:tr>
      <w:tr w:rsidR="004052B0" w:rsidRPr="004052B0" w14:paraId="6A909F80" w14:textId="77777777" w:rsidTr="00133254">
        <w:trPr>
          <w:trHeight w:val="290"/>
        </w:trPr>
        <w:tc>
          <w:tcPr>
            <w:tcW w:w="9923" w:type="dxa"/>
            <w:gridSpan w:val="2"/>
            <w:tcBorders>
              <w:top w:val="nil"/>
              <w:bottom w:val="nil"/>
            </w:tcBorders>
            <w:shd w:val="clear" w:color="auto" w:fill="auto"/>
            <w:noWrap/>
            <w:vAlign w:val="bottom"/>
          </w:tcPr>
          <w:p w14:paraId="2ECC1EB9" w14:textId="77777777" w:rsidR="004052B0" w:rsidRPr="004052B0" w:rsidRDefault="004052B0" w:rsidP="004052B0">
            <w:pPr>
              <w:spacing w:after="0"/>
              <w:rPr>
                <w:rFonts w:ascii="Calibri" w:eastAsia="Times New Roman" w:hAnsi="Calibri" w:cs="Calibri"/>
                <w:b/>
                <w:bCs/>
                <w:color w:val="000000"/>
                <w:sz w:val="20"/>
                <w:szCs w:val="20"/>
              </w:rPr>
            </w:pPr>
            <w:r w:rsidRPr="004052B0">
              <w:rPr>
                <w:rFonts w:ascii="Calibri" w:eastAsia="Times New Roman" w:hAnsi="Calibri" w:cs="Calibri"/>
                <w:b/>
                <w:bCs/>
                <w:color w:val="000000"/>
                <w:sz w:val="20"/>
                <w:szCs w:val="20"/>
              </w:rPr>
              <w:t>Species traits</w:t>
            </w:r>
          </w:p>
        </w:tc>
        <w:tc>
          <w:tcPr>
            <w:tcW w:w="1165" w:type="dxa"/>
            <w:tcBorders>
              <w:top w:val="nil"/>
              <w:bottom w:val="nil"/>
            </w:tcBorders>
            <w:shd w:val="clear" w:color="auto" w:fill="auto"/>
            <w:noWrap/>
            <w:vAlign w:val="bottom"/>
          </w:tcPr>
          <w:p w14:paraId="67C36C75"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tcPr>
          <w:p w14:paraId="4F24A8C2"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tcPr>
          <w:p w14:paraId="4C6AF5AA" w14:textId="77777777" w:rsidR="004052B0" w:rsidRPr="004052B0" w:rsidRDefault="004052B0" w:rsidP="004052B0">
            <w:pPr>
              <w:spacing w:after="0"/>
              <w:rPr>
                <w:rFonts w:ascii="Calibri" w:eastAsia="Times New Roman" w:hAnsi="Calibri" w:cs="Calibri"/>
                <w:color w:val="000000"/>
                <w:sz w:val="20"/>
                <w:szCs w:val="20"/>
              </w:rPr>
            </w:pPr>
          </w:p>
        </w:tc>
        <w:tc>
          <w:tcPr>
            <w:tcW w:w="1275" w:type="dxa"/>
            <w:tcBorders>
              <w:top w:val="nil"/>
              <w:bottom w:val="nil"/>
            </w:tcBorders>
            <w:shd w:val="clear" w:color="auto" w:fill="auto"/>
            <w:noWrap/>
            <w:vAlign w:val="bottom"/>
          </w:tcPr>
          <w:p w14:paraId="3E5F56C5"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4DE18078" w14:textId="77777777" w:rsidTr="00133254">
        <w:trPr>
          <w:trHeight w:val="563"/>
        </w:trPr>
        <w:tc>
          <w:tcPr>
            <w:tcW w:w="14631" w:type="dxa"/>
            <w:gridSpan w:val="6"/>
            <w:tcBorders>
              <w:top w:val="nil"/>
              <w:bottom w:val="nil"/>
            </w:tcBorders>
            <w:shd w:val="clear" w:color="auto" w:fill="auto"/>
            <w:noWrap/>
            <w:vAlign w:val="bottom"/>
          </w:tcPr>
          <w:p w14:paraId="4943ECD5"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Species’ traits – particularly leaf drought tolerance traits – predict drought tolerance.</w:t>
            </w:r>
          </w:p>
        </w:tc>
      </w:tr>
      <w:tr w:rsidR="004052B0" w:rsidRPr="004052B0" w14:paraId="731EA52B" w14:textId="77777777" w:rsidTr="00133254">
        <w:trPr>
          <w:trHeight w:val="290"/>
        </w:trPr>
        <w:tc>
          <w:tcPr>
            <w:tcW w:w="9923" w:type="dxa"/>
            <w:gridSpan w:val="2"/>
            <w:tcBorders>
              <w:top w:val="nil"/>
              <w:bottom w:val="nil"/>
            </w:tcBorders>
            <w:shd w:val="clear" w:color="auto" w:fill="auto"/>
            <w:noWrap/>
            <w:vAlign w:val="bottom"/>
            <w:hideMark/>
          </w:tcPr>
          <w:p w14:paraId="5F0A544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Wood density correlates (positively or negatively) to drought tolerance.</w:t>
            </w:r>
          </w:p>
        </w:tc>
        <w:tc>
          <w:tcPr>
            <w:tcW w:w="1165" w:type="dxa"/>
            <w:tcBorders>
              <w:top w:val="nil"/>
              <w:bottom w:val="nil"/>
            </w:tcBorders>
            <w:shd w:val="clear" w:color="auto" w:fill="auto"/>
            <w:noWrap/>
            <w:vAlign w:val="bottom"/>
            <w:hideMark/>
          </w:tcPr>
          <w:p w14:paraId="2A5136F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08B55FA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3123EBB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tcBorders>
              <w:top w:val="nil"/>
              <w:bottom w:val="nil"/>
            </w:tcBorders>
            <w:shd w:val="clear" w:color="auto" w:fill="auto"/>
            <w:noWrap/>
            <w:vAlign w:val="bottom"/>
            <w:hideMark/>
          </w:tcPr>
          <w:p w14:paraId="4A1718C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0A005E9F" w14:textId="77777777" w:rsidTr="00133254">
        <w:trPr>
          <w:trHeight w:val="290"/>
        </w:trPr>
        <w:tc>
          <w:tcPr>
            <w:tcW w:w="9923" w:type="dxa"/>
            <w:gridSpan w:val="2"/>
            <w:tcBorders>
              <w:top w:val="nil"/>
              <w:bottom w:val="nil"/>
            </w:tcBorders>
            <w:shd w:val="clear" w:color="auto" w:fill="auto"/>
            <w:noWrap/>
            <w:vAlign w:val="bottom"/>
            <w:hideMark/>
          </w:tcPr>
          <w:p w14:paraId="79B34DC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Leaf mass per area correlates positively to drought tolerance.</w:t>
            </w:r>
          </w:p>
        </w:tc>
        <w:tc>
          <w:tcPr>
            <w:tcW w:w="1165" w:type="dxa"/>
            <w:tcBorders>
              <w:top w:val="nil"/>
              <w:bottom w:val="nil"/>
            </w:tcBorders>
            <w:shd w:val="clear" w:color="auto" w:fill="auto"/>
            <w:noWrap/>
            <w:vAlign w:val="bottom"/>
            <w:hideMark/>
          </w:tcPr>
          <w:p w14:paraId="6EBB4ED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22CB7015"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7197AC78"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tcBorders>
              <w:top w:val="nil"/>
              <w:bottom w:val="nil"/>
            </w:tcBorders>
            <w:shd w:val="clear" w:color="auto" w:fill="auto"/>
            <w:noWrap/>
            <w:vAlign w:val="bottom"/>
            <w:hideMark/>
          </w:tcPr>
          <w:p w14:paraId="62C0657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0ADAF74B" w14:textId="77777777" w:rsidTr="00133254">
        <w:trPr>
          <w:trHeight w:val="290"/>
        </w:trPr>
        <w:tc>
          <w:tcPr>
            <w:tcW w:w="9923" w:type="dxa"/>
            <w:gridSpan w:val="2"/>
            <w:tcBorders>
              <w:top w:val="nil"/>
              <w:bottom w:val="nil"/>
            </w:tcBorders>
            <w:shd w:val="clear" w:color="auto" w:fill="auto"/>
            <w:noWrap/>
            <w:vAlign w:val="bottom"/>
            <w:hideMark/>
          </w:tcPr>
          <w:p w14:paraId="4B3AA09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Ring-porous species have higher drought tolerance than diffuse- or semi-ring- porous.</w:t>
            </w:r>
          </w:p>
        </w:tc>
        <w:tc>
          <w:tcPr>
            <w:tcW w:w="1165" w:type="dxa"/>
            <w:tcBorders>
              <w:top w:val="nil"/>
              <w:bottom w:val="nil"/>
            </w:tcBorders>
            <w:shd w:val="clear" w:color="auto" w:fill="auto"/>
            <w:noWrap/>
            <w:vAlign w:val="bottom"/>
            <w:hideMark/>
          </w:tcPr>
          <w:p w14:paraId="232F04B1"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5DD3B33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34" w:type="dxa"/>
            <w:tcBorders>
              <w:top w:val="nil"/>
              <w:bottom w:val="nil"/>
            </w:tcBorders>
            <w:shd w:val="clear" w:color="auto" w:fill="auto"/>
            <w:noWrap/>
            <w:vAlign w:val="bottom"/>
            <w:hideMark/>
          </w:tcPr>
          <w:p w14:paraId="1D90538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tcBorders>
              <w:top w:val="nil"/>
              <w:bottom w:val="nil"/>
            </w:tcBorders>
            <w:shd w:val="clear" w:color="auto" w:fill="auto"/>
            <w:noWrap/>
            <w:vAlign w:val="bottom"/>
            <w:hideMark/>
          </w:tcPr>
          <w:p w14:paraId="44E11B2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5FAF7954" w14:textId="77777777" w:rsidTr="00133254">
        <w:trPr>
          <w:trHeight w:val="290"/>
        </w:trPr>
        <w:tc>
          <w:tcPr>
            <w:tcW w:w="9923" w:type="dxa"/>
            <w:gridSpan w:val="2"/>
            <w:tcBorders>
              <w:top w:val="nil"/>
              <w:bottom w:val="nil"/>
            </w:tcBorders>
            <w:shd w:val="clear" w:color="auto" w:fill="auto"/>
            <w:noWrap/>
            <w:vAlign w:val="bottom"/>
            <w:hideMark/>
          </w:tcPr>
          <w:p w14:paraId="0D4DA91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Percent loss leaf area upon desiccation correlates negatively with drought tolerance.</w:t>
            </w:r>
          </w:p>
        </w:tc>
        <w:tc>
          <w:tcPr>
            <w:tcW w:w="1165" w:type="dxa"/>
            <w:tcBorders>
              <w:top w:val="nil"/>
              <w:bottom w:val="nil"/>
            </w:tcBorders>
            <w:shd w:val="clear" w:color="auto" w:fill="auto"/>
            <w:noWrap/>
            <w:vAlign w:val="bottom"/>
            <w:hideMark/>
          </w:tcPr>
          <w:p w14:paraId="775D0E6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47FE7B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08E62745"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bottom w:val="nil"/>
            </w:tcBorders>
            <w:shd w:val="clear" w:color="auto" w:fill="auto"/>
            <w:noWrap/>
            <w:vAlign w:val="bottom"/>
            <w:hideMark/>
          </w:tcPr>
          <w:p w14:paraId="007D3D9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r w:rsidR="004052B0" w:rsidRPr="004052B0" w14:paraId="65E97509" w14:textId="77777777" w:rsidTr="00133254">
        <w:trPr>
          <w:trHeight w:val="290"/>
        </w:trPr>
        <w:tc>
          <w:tcPr>
            <w:tcW w:w="9923" w:type="dxa"/>
            <w:gridSpan w:val="2"/>
            <w:tcBorders>
              <w:top w:val="nil"/>
            </w:tcBorders>
            <w:shd w:val="clear" w:color="auto" w:fill="auto"/>
            <w:noWrap/>
            <w:vAlign w:val="bottom"/>
            <w:hideMark/>
          </w:tcPr>
          <w:p w14:paraId="69CE784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Water potential at turgor loss correlates negatively with drought tolerance.</w:t>
            </w:r>
          </w:p>
        </w:tc>
        <w:tc>
          <w:tcPr>
            <w:tcW w:w="1165" w:type="dxa"/>
            <w:tcBorders>
              <w:top w:val="nil"/>
            </w:tcBorders>
            <w:shd w:val="clear" w:color="auto" w:fill="auto"/>
            <w:noWrap/>
            <w:vAlign w:val="bottom"/>
            <w:hideMark/>
          </w:tcPr>
          <w:p w14:paraId="30EA707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tcBorders>
            <w:shd w:val="clear" w:color="auto" w:fill="auto"/>
            <w:noWrap/>
            <w:vAlign w:val="bottom"/>
            <w:hideMark/>
          </w:tcPr>
          <w:p w14:paraId="2CE9C2E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tcBorders>
            <w:shd w:val="clear" w:color="auto" w:fill="auto"/>
            <w:noWrap/>
            <w:vAlign w:val="bottom"/>
            <w:hideMark/>
          </w:tcPr>
          <w:p w14:paraId="1EE5DA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tcBorders>
            <w:shd w:val="clear" w:color="auto" w:fill="auto"/>
            <w:noWrap/>
            <w:vAlign w:val="bottom"/>
            <w:hideMark/>
          </w:tcPr>
          <w:p w14:paraId="730D725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bl>
    <w:p w14:paraId="087FB6DB" w14:textId="77777777" w:rsidR="004052B0" w:rsidRPr="004052B0" w:rsidRDefault="004052B0" w:rsidP="004052B0">
      <w:pPr>
        <w:pStyle w:val="BodyText"/>
        <w:spacing w:before="0" w:after="0" w:line="266" w:lineRule="auto"/>
      </w:pPr>
      <w:r w:rsidRPr="004052B0">
        <w:t>Table 1. Summary of hypotheses, corresponding specific predictions, and results.</w:t>
      </w:r>
    </w:p>
    <w:p w14:paraId="54B04EC5" w14:textId="1E1CA2C4" w:rsidR="004052B0" w:rsidRDefault="004052B0" w:rsidP="004052B0">
      <w:pPr>
        <w:pStyle w:val="BodyText"/>
        <w:spacing w:line="266" w:lineRule="auto"/>
      </w:pPr>
      <w:r>
        <w:t>Parentheses</w:t>
      </w:r>
      <w:r>
        <w:rPr>
          <w:spacing w:val="-6"/>
        </w:rPr>
        <w:t xml:space="preserve"> </w:t>
      </w:r>
      <w:r>
        <w:t>indicate</w:t>
      </w:r>
      <w:r>
        <w:rPr>
          <w:spacing w:val="-6"/>
        </w:rPr>
        <w:t xml:space="preserve"> </w:t>
      </w:r>
      <w:r>
        <w:t>that</w:t>
      </w:r>
      <w:r>
        <w:rPr>
          <w:spacing w:val="-6"/>
        </w:rPr>
        <w:t xml:space="preserve"> </w:t>
      </w:r>
      <w:r>
        <w:t>the</w:t>
      </w:r>
      <w:r>
        <w:rPr>
          <w:spacing w:val="-6"/>
        </w:rPr>
        <w:t xml:space="preserve"> </w:t>
      </w:r>
      <w:r>
        <w:t>prediction</w:t>
      </w:r>
      <w:r>
        <w:rPr>
          <w:spacing w:val="-6"/>
        </w:rPr>
        <w:t xml:space="preserve"> </w:t>
      </w:r>
      <w:r>
        <w:t>was</w:t>
      </w:r>
      <w:r>
        <w:rPr>
          <w:spacing w:val="-6"/>
        </w:rPr>
        <w:t xml:space="preserve"> </w:t>
      </w:r>
      <w:r>
        <w:t>supported</w:t>
      </w:r>
      <w:r>
        <w:rPr>
          <w:spacing w:val="-5"/>
        </w:rPr>
        <w:t xml:space="preserve"> </w:t>
      </w:r>
      <w:r>
        <w:t>by</w:t>
      </w:r>
      <w:r>
        <w:rPr>
          <w:spacing w:val="-6"/>
        </w:rPr>
        <w:t xml:space="preserve"> </w:t>
      </w:r>
      <w:r>
        <w:t>at</w:t>
      </w:r>
      <w:r>
        <w:rPr>
          <w:spacing w:val="-5"/>
        </w:rPr>
        <w:t xml:space="preserve"> </w:t>
      </w:r>
      <w:r>
        <w:t>least</w:t>
      </w:r>
      <w:r>
        <w:rPr>
          <w:spacing w:val="-6"/>
        </w:rPr>
        <w:t xml:space="preserve"> </w:t>
      </w:r>
      <w:r>
        <w:t>one</w:t>
      </w:r>
      <w:r>
        <w:rPr>
          <w:spacing w:val="-6"/>
        </w:rPr>
        <w:t xml:space="preserve"> </w:t>
      </w:r>
      <w:r>
        <w:t>but</w:t>
      </w:r>
      <w:r>
        <w:rPr>
          <w:spacing w:val="-6"/>
        </w:rPr>
        <w:t xml:space="preserve"> </w:t>
      </w:r>
      <w:r>
        <w:t>not</w:t>
      </w:r>
      <w:r>
        <w:rPr>
          <w:spacing w:val="-6"/>
        </w:rPr>
        <w:t xml:space="preserve"> </w:t>
      </w:r>
      <w:r>
        <w:t>all</w:t>
      </w:r>
      <w:r>
        <w:rPr>
          <w:spacing w:val="-6"/>
        </w:rPr>
        <w:t xml:space="preserve"> </w:t>
      </w:r>
      <w:r>
        <w:t>of</w:t>
      </w:r>
      <w:r>
        <w:rPr>
          <w:spacing w:val="-5"/>
        </w:rPr>
        <w:t xml:space="preserve"> </w:t>
      </w:r>
      <w:r>
        <w:t>the</w:t>
      </w:r>
      <w:r>
        <w:rPr>
          <w:spacing w:val="-6"/>
        </w:rPr>
        <w:t xml:space="preserve"> </w:t>
      </w:r>
      <w:r>
        <w:t>top</w:t>
      </w:r>
      <w:r>
        <w:rPr>
          <w:spacing w:val="-6"/>
        </w:rPr>
        <w:t xml:space="preserve"> </w:t>
      </w:r>
      <w:r>
        <w:t>models</w:t>
      </w:r>
      <w:r>
        <w:rPr>
          <w:spacing w:val="-6"/>
        </w:rPr>
        <w:t xml:space="preserve"> </w:t>
      </w:r>
      <w:r>
        <w:t>(Tables</w:t>
      </w:r>
      <w:r>
        <w:rPr>
          <w:spacing w:val="-5"/>
        </w:rPr>
        <w:t xml:space="preserve"> </w:t>
      </w:r>
      <w:r>
        <w:t>S8,</w:t>
      </w:r>
      <w:r>
        <w:rPr>
          <w:spacing w:val="-6"/>
        </w:rPr>
        <w:t xml:space="preserve"> </w:t>
      </w:r>
      <w:r>
        <w:t>S10,</w:t>
      </w:r>
      <w:r>
        <w:rPr>
          <w:spacing w:val="-6"/>
        </w:rPr>
        <w:t xml:space="preserve"> </w:t>
      </w:r>
      <w:r>
        <w:t>S11).</w:t>
      </w:r>
      <w:r>
        <w:rPr>
          <w:spacing w:val="9"/>
        </w:rPr>
        <w:t xml:space="preserve"> </w:t>
      </w:r>
      <w:r>
        <w:t>Dash</w:t>
      </w:r>
      <w:r>
        <w:rPr>
          <w:spacing w:val="-6"/>
        </w:rPr>
        <w:t xml:space="preserve"> </w:t>
      </w:r>
      <w:r>
        <w:t>symbols</w:t>
      </w:r>
      <w:r>
        <w:rPr>
          <w:spacing w:val="-5"/>
        </w:rPr>
        <w:t xml:space="preserve"> </w:t>
      </w:r>
      <w:r>
        <w:t>indicate</w:t>
      </w:r>
      <w:r>
        <w:rPr>
          <w:spacing w:val="-5"/>
        </w:rPr>
        <w:t xml:space="preserve"> </w:t>
      </w:r>
      <w:r>
        <w:t>that the</w:t>
      </w:r>
      <w:r>
        <w:rPr>
          <w:spacing w:val="15"/>
        </w:rPr>
        <w:t xml:space="preserve"> </w:t>
      </w:r>
      <w:r>
        <w:t>response</w:t>
      </w:r>
      <w:r>
        <w:rPr>
          <w:spacing w:val="15"/>
        </w:rPr>
        <w:t xml:space="preserve"> </w:t>
      </w:r>
      <w:r>
        <w:t>was</w:t>
      </w:r>
      <w:r>
        <w:rPr>
          <w:spacing w:val="15"/>
        </w:rPr>
        <w:t xml:space="preserve"> </w:t>
      </w:r>
      <w:r>
        <w:t>not</w:t>
      </w:r>
      <w:r>
        <w:rPr>
          <w:spacing w:val="15"/>
        </w:rPr>
        <w:t xml:space="preserve"> </w:t>
      </w:r>
      <w:r>
        <w:t>significant</w:t>
      </w:r>
      <w:r>
        <w:rPr>
          <w:spacing w:val="16"/>
        </w:rPr>
        <w:t xml:space="preserve"> </w:t>
      </w:r>
      <w:r>
        <w:t>(Tables</w:t>
      </w:r>
      <w:r>
        <w:rPr>
          <w:spacing w:val="15"/>
        </w:rPr>
        <w:t xml:space="preserve"> </w:t>
      </w:r>
      <w:r>
        <w:t>S4,</w:t>
      </w:r>
      <w:r>
        <w:rPr>
          <w:spacing w:val="15"/>
        </w:rPr>
        <w:t xml:space="preserve"> </w:t>
      </w:r>
      <w:r>
        <w:t>S6,</w:t>
      </w:r>
      <w:r>
        <w:rPr>
          <w:spacing w:val="15"/>
        </w:rPr>
        <w:t xml:space="preserve"> </w:t>
      </w:r>
      <w:r>
        <w:t>S7).</w:t>
      </w:r>
    </w:p>
    <w:p w14:paraId="7E57E6A6" w14:textId="0ACAB8B5" w:rsidR="004052B0" w:rsidRPr="004052B0" w:rsidRDefault="004052B0" w:rsidP="004052B0">
      <w:pPr>
        <w:tabs>
          <w:tab w:val="left" w:pos="1183"/>
        </w:tabs>
      </w:pPr>
    </w:p>
    <w:p w14:paraId="4ACE8D8F" w14:textId="77777777" w:rsidR="004052B0" w:rsidRPr="004052B0" w:rsidRDefault="004052B0" w:rsidP="004052B0"/>
    <w:p w14:paraId="5E692450" w14:textId="1B5C129C" w:rsidR="004052B0" w:rsidRPr="004052B0" w:rsidRDefault="004052B0" w:rsidP="004052B0">
      <w:pPr>
        <w:sectPr w:rsidR="004052B0" w:rsidRPr="004052B0" w:rsidSect="00982B4F">
          <w:pgSz w:w="15840" w:h="12240" w:orient="landscape"/>
          <w:pgMar w:top="1140" w:right="1320" w:bottom="280" w:left="1340" w:header="720" w:footer="720" w:gutter="0"/>
          <w:cols w:space="720"/>
          <w:docGrid w:linePitch="326"/>
        </w:sectPr>
      </w:pPr>
    </w:p>
    <w:p w14:paraId="2569AF09" w14:textId="4FE65A67" w:rsidR="00D64B2B" w:rsidRPr="00D64B2B" w:rsidRDefault="00D64B2B" w:rsidP="00D64B2B">
      <w:pPr>
        <w:spacing w:before="101" w:line="218" w:lineRule="auto"/>
        <w:ind w:left="118" w:right="198" w:firstLine="21"/>
        <w:rPr>
          <w:position w:val="2"/>
        </w:rPr>
      </w:pPr>
      <w:r w:rsidRPr="00D64B2B">
        <w:lastRenderedPageBreak/>
        <w:t xml:space="preserve">Table 2.  Overview of analyzed species, listed in order of their relative contributions to woody stem productivity </w:t>
      </w:r>
      <w:r w:rsidRPr="00D64B2B">
        <w:rPr>
          <w:position w:val="2"/>
        </w:rPr>
        <w:t>(</w:t>
      </w:r>
      <w:r w:rsidRPr="00D64B2B">
        <w:rPr>
          <w:rFonts w:ascii="Georgia"/>
          <w:i/>
          <w:position w:val="2"/>
        </w:rPr>
        <w:t>ANPP</w:t>
      </w:r>
      <w:r w:rsidRPr="00D64B2B">
        <w:rPr>
          <w:rFonts w:ascii="Georgia"/>
          <w:i/>
        </w:rPr>
        <w:t>stem</w:t>
      </w:r>
      <w:r w:rsidRPr="00D64B2B">
        <w:rPr>
          <w:position w:val="2"/>
        </w:rPr>
        <w:t>)</w:t>
      </w:r>
      <w:r w:rsidRPr="00D64B2B">
        <w:rPr>
          <w:spacing w:val="17"/>
          <w:position w:val="2"/>
        </w:rPr>
        <w:t xml:space="preserve"> </w:t>
      </w:r>
      <w:r w:rsidRPr="00D64B2B">
        <w:rPr>
          <w:position w:val="2"/>
        </w:rPr>
        <w:t>in</w:t>
      </w:r>
      <w:r w:rsidRPr="00D64B2B">
        <w:rPr>
          <w:spacing w:val="17"/>
          <w:position w:val="2"/>
        </w:rPr>
        <w:t xml:space="preserve"> </w:t>
      </w:r>
      <w:r w:rsidRPr="00D64B2B">
        <w:rPr>
          <w:position w:val="2"/>
        </w:rPr>
        <w:t>the</w:t>
      </w:r>
      <w:r w:rsidRPr="00D64B2B">
        <w:rPr>
          <w:spacing w:val="18"/>
          <w:position w:val="2"/>
        </w:rPr>
        <w:t xml:space="preserve"> </w:t>
      </w:r>
      <w:r w:rsidRPr="00D64B2B">
        <w:rPr>
          <w:position w:val="2"/>
        </w:rPr>
        <w:t>plot,</w:t>
      </w:r>
      <w:r w:rsidRPr="00D64B2B">
        <w:rPr>
          <w:spacing w:val="17"/>
          <w:position w:val="2"/>
        </w:rPr>
        <w:t xml:space="preserve"> </w:t>
      </w:r>
      <w:r w:rsidRPr="00D64B2B">
        <w:rPr>
          <w:position w:val="2"/>
        </w:rPr>
        <w:t>along</w:t>
      </w:r>
      <w:r w:rsidRPr="00D64B2B">
        <w:rPr>
          <w:spacing w:val="17"/>
          <w:position w:val="2"/>
        </w:rPr>
        <w:t xml:space="preserve"> </w:t>
      </w:r>
      <w:r w:rsidRPr="00D64B2B">
        <w:rPr>
          <w:position w:val="2"/>
        </w:rPr>
        <w:t>with</w:t>
      </w:r>
      <w:r w:rsidRPr="00D64B2B">
        <w:rPr>
          <w:spacing w:val="18"/>
          <w:position w:val="2"/>
        </w:rPr>
        <w:t xml:space="preserve"> </w:t>
      </w:r>
      <w:r w:rsidRPr="00D64B2B">
        <w:rPr>
          <w:position w:val="2"/>
        </w:rPr>
        <w:t>numbers</w:t>
      </w:r>
      <w:r w:rsidRPr="00D64B2B">
        <w:rPr>
          <w:spacing w:val="17"/>
          <w:position w:val="2"/>
        </w:rPr>
        <w:t xml:space="preserve"> </w:t>
      </w:r>
      <w:r w:rsidRPr="00D64B2B">
        <w:rPr>
          <w:position w:val="2"/>
        </w:rPr>
        <w:t>and</w:t>
      </w:r>
      <w:r w:rsidRPr="00D64B2B">
        <w:rPr>
          <w:spacing w:val="17"/>
          <w:position w:val="2"/>
        </w:rPr>
        <w:t xml:space="preserve"> </w:t>
      </w:r>
      <w:r w:rsidRPr="00D64B2B">
        <w:rPr>
          <w:position w:val="2"/>
        </w:rPr>
        <w:t>sizes</w:t>
      </w:r>
      <w:r w:rsidRPr="00D64B2B">
        <w:rPr>
          <w:spacing w:val="17"/>
          <w:position w:val="2"/>
        </w:rPr>
        <w:t xml:space="preserve"> </w:t>
      </w:r>
      <w:r w:rsidRPr="00D64B2B">
        <w:rPr>
          <w:position w:val="2"/>
        </w:rPr>
        <w:t>sampled,</w:t>
      </w:r>
      <w:r w:rsidRPr="00D64B2B">
        <w:rPr>
          <w:spacing w:val="18"/>
          <w:position w:val="2"/>
        </w:rPr>
        <w:t xml:space="preserve"> </w:t>
      </w:r>
      <w:r w:rsidRPr="00D64B2B">
        <w:rPr>
          <w:position w:val="2"/>
        </w:rPr>
        <w:t>and</w:t>
      </w:r>
      <w:r w:rsidRPr="00D64B2B">
        <w:rPr>
          <w:spacing w:val="17"/>
          <w:position w:val="2"/>
        </w:rPr>
        <w:t xml:space="preserve"> </w:t>
      </w:r>
      <w:r w:rsidRPr="00D64B2B">
        <w:rPr>
          <w:position w:val="2"/>
        </w:rPr>
        <w:t>species</w:t>
      </w:r>
      <w:r w:rsidRPr="00D64B2B">
        <w:rPr>
          <w:spacing w:val="17"/>
          <w:position w:val="2"/>
        </w:rPr>
        <w:t xml:space="preserve"> </w:t>
      </w:r>
      <w:r w:rsidRPr="00D64B2B">
        <w:rPr>
          <w:position w:val="2"/>
        </w:rPr>
        <w:t>traits.</w:t>
      </w:r>
    </w:p>
    <w:tbl>
      <w:tblPr>
        <w:tblW w:w="14922" w:type="dxa"/>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1241"/>
        <w:gridCol w:w="1004"/>
        <w:gridCol w:w="906"/>
        <w:gridCol w:w="1577"/>
        <w:gridCol w:w="1432"/>
        <w:gridCol w:w="1433"/>
        <w:gridCol w:w="1432"/>
        <w:gridCol w:w="1433"/>
        <w:gridCol w:w="1597"/>
      </w:tblGrid>
      <w:tr w:rsidR="00FB50FF" w:rsidRPr="007A66F8" w14:paraId="6CF2CF7D" w14:textId="77777777" w:rsidTr="00FB50FF">
        <w:trPr>
          <w:trHeight w:val="233"/>
        </w:trPr>
        <w:tc>
          <w:tcPr>
            <w:tcW w:w="2867" w:type="dxa"/>
            <w:shd w:val="clear" w:color="auto" w:fill="auto"/>
            <w:noWrap/>
            <w:vAlign w:val="bottom"/>
          </w:tcPr>
          <w:p w14:paraId="2BF445C6" w14:textId="77777777" w:rsidR="00FB50FF" w:rsidRPr="007A66F8" w:rsidRDefault="00FB50FF" w:rsidP="00AF46DE">
            <w:pPr>
              <w:spacing w:after="0"/>
              <w:rPr>
                <w:rFonts w:ascii="Calibri" w:eastAsia="Times New Roman" w:hAnsi="Calibri" w:cs="Calibri"/>
                <w:color w:val="000000"/>
                <w:sz w:val="20"/>
                <w:szCs w:val="20"/>
              </w:rPr>
            </w:pPr>
          </w:p>
        </w:tc>
        <w:tc>
          <w:tcPr>
            <w:tcW w:w="1241" w:type="dxa"/>
            <w:shd w:val="clear" w:color="auto" w:fill="auto"/>
            <w:noWrap/>
            <w:vAlign w:val="bottom"/>
          </w:tcPr>
          <w:p w14:paraId="552582E9" w14:textId="77777777" w:rsidR="00FB50FF" w:rsidRPr="007A66F8" w:rsidRDefault="00FB50FF" w:rsidP="00AF46DE">
            <w:pPr>
              <w:spacing w:after="0"/>
              <w:rPr>
                <w:rFonts w:ascii="Calibri" w:eastAsia="Times New Roman" w:hAnsi="Calibri" w:cs="Calibri"/>
                <w:i/>
                <w:iCs/>
                <w:color w:val="000000"/>
                <w:sz w:val="20"/>
                <w:szCs w:val="20"/>
              </w:rPr>
            </w:pPr>
          </w:p>
        </w:tc>
        <w:tc>
          <w:tcPr>
            <w:tcW w:w="1004" w:type="dxa"/>
            <w:shd w:val="clear" w:color="auto" w:fill="auto"/>
            <w:noWrap/>
            <w:vAlign w:val="bottom"/>
          </w:tcPr>
          <w:p w14:paraId="1B1C1783" w14:textId="77777777" w:rsidR="00FB50FF" w:rsidRPr="007A66F8" w:rsidRDefault="00FB50FF" w:rsidP="00AF46DE">
            <w:pPr>
              <w:spacing w:after="0"/>
              <w:rPr>
                <w:rFonts w:ascii="Calibri" w:eastAsia="Times New Roman" w:hAnsi="Calibri" w:cs="Calibri"/>
                <w:color w:val="000000"/>
                <w:sz w:val="20"/>
                <w:szCs w:val="20"/>
              </w:rPr>
            </w:pPr>
          </w:p>
        </w:tc>
        <w:tc>
          <w:tcPr>
            <w:tcW w:w="2483" w:type="dxa"/>
            <w:gridSpan w:val="2"/>
            <w:shd w:val="clear" w:color="auto" w:fill="auto"/>
            <w:noWrap/>
            <w:vAlign w:val="bottom"/>
          </w:tcPr>
          <w:p w14:paraId="74130FB6" w14:textId="1B70D21A" w:rsidR="00FB50FF" w:rsidRPr="007A66F8" w:rsidRDefault="00FB50FF" w:rsidP="00AF46DE">
            <w:pPr>
              <w:spacing w:after="0"/>
              <w:rPr>
                <w:rFonts w:ascii="Calibri" w:eastAsia="Times New Roman" w:hAnsi="Calibri" w:cs="Calibri"/>
                <w:color w:val="000000"/>
                <w:sz w:val="20"/>
                <w:szCs w:val="20"/>
              </w:rPr>
            </w:pPr>
            <w:r w:rsidRPr="007A66F8">
              <w:rPr>
                <w:rFonts w:ascii="Calibri" w:eastAsia="Times New Roman" w:hAnsi="Calibri" w:cs="Calibri"/>
                <w:color w:val="000000"/>
                <w:sz w:val="20"/>
                <w:szCs w:val="20"/>
              </w:rPr>
              <w:t>contemporary DBH (cm)</w:t>
            </w:r>
          </w:p>
        </w:tc>
        <w:tc>
          <w:tcPr>
            <w:tcW w:w="7327" w:type="dxa"/>
            <w:gridSpan w:val="5"/>
            <w:tcBorders>
              <w:top w:val="single" w:sz="4" w:space="0" w:color="auto"/>
            </w:tcBorders>
            <w:shd w:val="clear" w:color="auto" w:fill="auto"/>
            <w:noWrap/>
            <w:vAlign w:val="bottom"/>
          </w:tcPr>
          <w:p w14:paraId="45D08E60" w14:textId="7BEE521F" w:rsidR="00FB50FF" w:rsidRPr="007A66F8" w:rsidRDefault="00FB50FF" w:rsidP="00FB50FF">
            <w:pPr>
              <w:spacing w:after="0"/>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species traits (mean </w:t>
            </w:r>
            <w:r w:rsidR="0013325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se)</w:t>
            </w:r>
          </w:p>
        </w:tc>
      </w:tr>
      <w:tr w:rsidR="00FB50FF" w:rsidRPr="007A66F8" w14:paraId="7C369992" w14:textId="77777777" w:rsidTr="00FB50FF">
        <w:trPr>
          <w:trHeight w:val="233"/>
        </w:trPr>
        <w:tc>
          <w:tcPr>
            <w:tcW w:w="2867" w:type="dxa"/>
            <w:shd w:val="clear" w:color="auto" w:fill="auto"/>
            <w:noWrap/>
            <w:vAlign w:val="bottom"/>
            <w:hideMark/>
          </w:tcPr>
          <w:p w14:paraId="6DF37990"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species</w:t>
            </w:r>
          </w:p>
        </w:tc>
        <w:tc>
          <w:tcPr>
            <w:tcW w:w="1241" w:type="dxa"/>
            <w:shd w:val="clear" w:color="auto" w:fill="auto"/>
            <w:noWrap/>
            <w:vAlign w:val="bottom"/>
            <w:hideMark/>
          </w:tcPr>
          <w:p w14:paraId="708F8815" w14:textId="7844A0D2" w:rsidR="007A66F8" w:rsidRPr="00A40668" w:rsidRDefault="007A66F8" w:rsidP="00A40668">
            <w:pPr>
              <w:spacing w:after="0"/>
              <w:rPr>
                <w:rFonts w:ascii="Calibri" w:eastAsia="Times New Roman" w:hAnsi="Calibri" w:cs="Calibri"/>
                <w:i/>
                <w:iCs/>
                <w:color w:val="000000"/>
                <w:sz w:val="20"/>
                <w:szCs w:val="20"/>
              </w:rPr>
            </w:pPr>
            <w:r w:rsidRPr="007A66F8">
              <w:rPr>
                <w:rFonts w:ascii="Calibri" w:eastAsia="Times New Roman" w:hAnsi="Calibri" w:cs="Calibri"/>
                <w:i/>
                <w:iCs/>
                <w:color w:val="000000"/>
                <w:sz w:val="20"/>
                <w:szCs w:val="20"/>
              </w:rPr>
              <w:t xml:space="preserve">% </w:t>
            </w:r>
            <w:r w:rsidRPr="00A40668">
              <w:rPr>
                <w:rFonts w:ascii="Calibri" w:eastAsia="Times New Roman" w:hAnsi="Calibri" w:cs="Calibri"/>
                <w:i/>
                <w:iCs/>
                <w:color w:val="000000"/>
                <w:sz w:val="20"/>
                <w:szCs w:val="20"/>
              </w:rPr>
              <w:t>ANPP</w:t>
            </w:r>
            <w:r w:rsidRPr="007A66F8">
              <w:rPr>
                <w:rFonts w:ascii="Calibri" w:eastAsia="Times New Roman" w:hAnsi="Calibri" w:cs="Calibri"/>
                <w:i/>
                <w:iCs/>
                <w:color w:val="000000"/>
                <w:sz w:val="20"/>
                <w:szCs w:val="20"/>
                <w:vertAlign w:val="subscript"/>
              </w:rPr>
              <w:t>stem</w:t>
            </w:r>
            <w:r w:rsidRPr="00A40668">
              <w:rPr>
                <w:rFonts w:ascii="Calibri" w:eastAsia="Times New Roman" w:hAnsi="Calibri" w:cs="Calibri"/>
                <w:i/>
                <w:iCs/>
                <w:color w:val="000000"/>
                <w:sz w:val="20"/>
                <w:szCs w:val="20"/>
              </w:rPr>
              <w:t xml:space="preserve"> </w:t>
            </w:r>
          </w:p>
        </w:tc>
        <w:tc>
          <w:tcPr>
            <w:tcW w:w="1004" w:type="dxa"/>
            <w:shd w:val="clear" w:color="auto" w:fill="auto"/>
            <w:noWrap/>
            <w:vAlign w:val="bottom"/>
            <w:hideMark/>
          </w:tcPr>
          <w:p w14:paraId="4D647C5F"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n trees*</w:t>
            </w:r>
          </w:p>
        </w:tc>
        <w:tc>
          <w:tcPr>
            <w:tcW w:w="906" w:type="dxa"/>
            <w:tcBorders>
              <w:right w:val="nil"/>
            </w:tcBorders>
            <w:shd w:val="clear" w:color="auto" w:fill="auto"/>
            <w:noWrap/>
            <w:vAlign w:val="bottom"/>
            <w:hideMark/>
          </w:tcPr>
          <w:p w14:paraId="2304345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mean</w:t>
            </w:r>
          </w:p>
        </w:tc>
        <w:tc>
          <w:tcPr>
            <w:tcW w:w="1577" w:type="dxa"/>
            <w:tcBorders>
              <w:left w:val="nil"/>
            </w:tcBorders>
            <w:shd w:val="clear" w:color="auto" w:fill="auto"/>
            <w:noWrap/>
            <w:vAlign w:val="bottom"/>
            <w:hideMark/>
          </w:tcPr>
          <w:p w14:paraId="73588953"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range</w:t>
            </w:r>
          </w:p>
        </w:tc>
        <w:tc>
          <w:tcPr>
            <w:tcW w:w="1432" w:type="dxa"/>
            <w:shd w:val="clear" w:color="auto" w:fill="auto"/>
            <w:noWrap/>
            <w:vAlign w:val="bottom"/>
            <w:hideMark/>
          </w:tcPr>
          <w:p w14:paraId="26993D4D" w14:textId="1E5AF049" w:rsidR="007A66F8" w:rsidRPr="00A40668" w:rsidRDefault="007A66F8"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WD (g cm</w:t>
            </w:r>
            <w:r>
              <w:rPr>
                <w:rFonts w:ascii="Calibri" w:eastAsia="Times New Roman" w:hAnsi="Calibri" w:cs="Calibri"/>
                <w:i/>
                <w:iCs/>
                <w:color w:val="000000"/>
                <w:sz w:val="20"/>
                <w:szCs w:val="20"/>
                <w:vertAlign w:val="superscript"/>
              </w:rPr>
              <w:t>-3</w:t>
            </w:r>
            <w:r>
              <w:rPr>
                <w:rFonts w:ascii="Calibri" w:eastAsia="Times New Roman" w:hAnsi="Calibri" w:cs="Calibri"/>
                <w:i/>
                <w:iCs/>
                <w:color w:val="000000"/>
                <w:sz w:val="20"/>
                <w:szCs w:val="20"/>
              </w:rPr>
              <w:t>)</w:t>
            </w:r>
          </w:p>
        </w:tc>
        <w:tc>
          <w:tcPr>
            <w:tcW w:w="1433" w:type="dxa"/>
            <w:shd w:val="clear" w:color="auto" w:fill="auto"/>
            <w:noWrap/>
            <w:vAlign w:val="bottom"/>
            <w:hideMark/>
          </w:tcPr>
          <w:p w14:paraId="5FD16818" w14:textId="7B183FFD" w:rsidR="007A66F8" w:rsidRPr="00A40668" w:rsidRDefault="007A66F8"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LMA (g cm</w:t>
            </w:r>
            <w:r>
              <w:rPr>
                <w:rFonts w:ascii="Calibri" w:eastAsia="Times New Roman" w:hAnsi="Calibri" w:cs="Calibri"/>
                <w:i/>
                <w:iCs/>
                <w:color w:val="000000"/>
                <w:sz w:val="20"/>
                <w:szCs w:val="20"/>
                <w:vertAlign w:val="superscript"/>
              </w:rPr>
              <w:t>-2</w:t>
            </w:r>
            <w:r>
              <w:rPr>
                <w:rFonts w:ascii="Calibri" w:eastAsia="Times New Roman" w:hAnsi="Calibri" w:cs="Calibri"/>
                <w:i/>
                <w:iCs/>
                <w:color w:val="000000"/>
                <w:sz w:val="20"/>
                <w:szCs w:val="20"/>
              </w:rPr>
              <w:t>)</w:t>
            </w:r>
          </w:p>
        </w:tc>
        <w:tc>
          <w:tcPr>
            <w:tcW w:w="1432" w:type="dxa"/>
            <w:shd w:val="clear" w:color="auto" w:fill="auto"/>
            <w:noWrap/>
            <w:vAlign w:val="bottom"/>
            <w:hideMark/>
          </w:tcPr>
          <w:p w14:paraId="7F93589A"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xylem porosity</w:t>
            </w:r>
          </w:p>
        </w:tc>
        <w:tc>
          <w:tcPr>
            <w:tcW w:w="1433" w:type="dxa"/>
            <w:shd w:val="clear" w:color="auto" w:fill="auto"/>
            <w:noWrap/>
            <w:vAlign w:val="bottom"/>
            <w:hideMark/>
          </w:tcPr>
          <w:p w14:paraId="52BAFDC3" w14:textId="48FD6D06" w:rsidR="007A66F8" w:rsidRPr="00A40668" w:rsidRDefault="00B25CD5" w:rsidP="00A40668">
            <w:pPr>
              <w:spacing w:after="0"/>
              <w:rPr>
                <w:rFonts w:ascii="Calibri" w:eastAsia="Times New Roman" w:hAnsi="Calibri" w:cs="Calibri"/>
                <w:color w:val="000000"/>
                <w:sz w:val="20"/>
                <w:szCs w:val="20"/>
              </w:rPr>
            </w:pP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133254">
              <w:t xml:space="preserve"> </w:t>
            </w:r>
            <w:r w:rsidR="00FB50FF">
              <w:rPr>
                <w:rFonts w:ascii="Calibri" w:eastAsia="Times New Roman" w:hAnsi="Calibri" w:cs="Calibri"/>
                <w:color w:val="000000"/>
                <w:sz w:val="20"/>
                <w:szCs w:val="20"/>
              </w:rPr>
              <w:t>(M</w:t>
            </w:r>
            <w:r w:rsidR="00480481">
              <w:rPr>
                <w:rFonts w:ascii="Calibri" w:eastAsia="Times New Roman" w:hAnsi="Calibri" w:cs="Calibri"/>
                <w:color w:val="000000"/>
                <w:sz w:val="20"/>
                <w:szCs w:val="20"/>
              </w:rPr>
              <w:t>P</w:t>
            </w:r>
            <w:r w:rsidR="00FB50FF">
              <w:rPr>
                <w:rFonts w:ascii="Calibri" w:eastAsia="Times New Roman" w:hAnsi="Calibri" w:cs="Calibri"/>
                <w:color w:val="000000"/>
                <w:sz w:val="20"/>
                <w:szCs w:val="20"/>
              </w:rPr>
              <w:t>a)</w:t>
            </w:r>
          </w:p>
        </w:tc>
        <w:tc>
          <w:tcPr>
            <w:tcW w:w="1597" w:type="dxa"/>
            <w:shd w:val="clear" w:color="auto" w:fill="auto"/>
            <w:noWrap/>
            <w:vAlign w:val="bottom"/>
            <w:hideMark/>
          </w:tcPr>
          <w:p w14:paraId="6AA5F861" w14:textId="631F2309" w:rsidR="007A66F8" w:rsidRPr="00A40668" w:rsidRDefault="00FB50FF" w:rsidP="00A40668">
            <w:pPr>
              <w:spacing w:after="0"/>
              <w:rPr>
                <w:rFonts w:ascii="Calibri" w:eastAsia="Times New Roman" w:hAnsi="Calibri" w:cs="Calibri"/>
                <w:i/>
                <w:iCs/>
                <w:color w:val="000000"/>
                <w:sz w:val="20"/>
                <w:szCs w:val="20"/>
              </w:rPr>
            </w:pPr>
            <w:proofErr w:type="spellStart"/>
            <w:r>
              <w:rPr>
                <w:rFonts w:ascii="Calibri" w:eastAsia="Times New Roman" w:hAnsi="Calibri" w:cs="Calibri"/>
                <w:i/>
                <w:iCs/>
                <w:color w:val="000000"/>
                <w:sz w:val="20"/>
                <w:szCs w:val="20"/>
              </w:rPr>
              <w:t>PLA</w:t>
            </w:r>
            <w:r>
              <w:rPr>
                <w:rFonts w:ascii="Calibri" w:eastAsia="Times New Roman" w:hAnsi="Calibri" w:cs="Calibri"/>
                <w:i/>
                <w:iCs/>
                <w:color w:val="000000"/>
                <w:sz w:val="20"/>
                <w:szCs w:val="20"/>
                <w:vertAlign w:val="subscript"/>
              </w:rPr>
              <w:t>dry</w:t>
            </w:r>
            <w:proofErr w:type="spellEnd"/>
            <w:r>
              <w:rPr>
                <w:rFonts w:ascii="Calibri" w:eastAsia="Times New Roman" w:hAnsi="Calibri" w:cs="Calibri"/>
                <w:i/>
                <w:iCs/>
                <w:color w:val="000000"/>
                <w:sz w:val="20"/>
                <w:szCs w:val="20"/>
              </w:rPr>
              <w:t xml:space="preserve"> (%)</w:t>
            </w:r>
          </w:p>
        </w:tc>
      </w:tr>
      <w:tr w:rsidR="00FB50FF" w:rsidRPr="007A66F8" w14:paraId="425D33CF" w14:textId="77777777" w:rsidTr="00FB50FF">
        <w:trPr>
          <w:trHeight w:val="233"/>
        </w:trPr>
        <w:tc>
          <w:tcPr>
            <w:tcW w:w="2867" w:type="dxa"/>
            <w:shd w:val="clear" w:color="auto" w:fill="auto"/>
            <w:noWrap/>
            <w:vAlign w:val="bottom"/>
            <w:hideMark/>
          </w:tcPr>
          <w:p w14:paraId="55AE6B4D" w14:textId="647B71C7"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Liriodendron tulipifera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(LITU)</w:t>
            </w:r>
          </w:p>
        </w:tc>
        <w:tc>
          <w:tcPr>
            <w:tcW w:w="1241" w:type="dxa"/>
            <w:shd w:val="clear" w:color="auto" w:fill="auto"/>
            <w:noWrap/>
            <w:vAlign w:val="bottom"/>
            <w:hideMark/>
          </w:tcPr>
          <w:p w14:paraId="7337A56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47.1</w:t>
            </w:r>
          </w:p>
        </w:tc>
        <w:tc>
          <w:tcPr>
            <w:tcW w:w="1004" w:type="dxa"/>
            <w:shd w:val="clear" w:color="auto" w:fill="auto"/>
            <w:noWrap/>
            <w:vAlign w:val="bottom"/>
            <w:hideMark/>
          </w:tcPr>
          <w:p w14:paraId="38D0A71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98</w:t>
            </w:r>
          </w:p>
        </w:tc>
        <w:tc>
          <w:tcPr>
            <w:tcW w:w="906" w:type="dxa"/>
            <w:shd w:val="clear" w:color="auto" w:fill="auto"/>
            <w:noWrap/>
            <w:vAlign w:val="bottom"/>
            <w:hideMark/>
          </w:tcPr>
          <w:p w14:paraId="37A745B8"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36.9</w:t>
            </w:r>
          </w:p>
        </w:tc>
        <w:tc>
          <w:tcPr>
            <w:tcW w:w="1577" w:type="dxa"/>
            <w:shd w:val="clear" w:color="auto" w:fill="auto"/>
            <w:noWrap/>
            <w:vAlign w:val="bottom"/>
            <w:hideMark/>
          </w:tcPr>
          <w:p w14:paraId="272A834E"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10 - 100.4</w:t>
            </w:r>
          </w:p>
        </w:tc>
        <w:tc>
          <w:tcPr>
            <w:tcW w:w="1432" w:type="dxa"/>
            <w:shd w:val="clear" w:color="auto" w:fill="auto"/>
            <w:noWrap/>
            <w:vAlign w:val="bottom"/>
            <w:hideMark/>
          </w:tcPr>
          <w:p w14:paraId="24FC0A8C" w14:textId="13A2776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0.4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0.03</w:t>
            </w:r>
          </w:p>
        </w:tc>
        <w:tc>
          <w:tcPr>
            <w:tcW w:w="1433" w:type="dxa"/>
            <w:shd w:val="clear" w:color="auto" w:fill="auto"/>
            <w:noWrap/>
            <w:vAlign w:val="bottom"/>
            <w:hideMark/>
          </w:tcPr>
          <w:p w14:paraId="742D7413" w14:textId="5FE0B9E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46.9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12.4</w:t>
            </w:r>
          </w:p>
        </w:tc>
        <w:tc>
          <w:tcPr>
            <w:tcW w:w="1432" w:type="dxa"/>
            <w:shd w:val="clear" w:color="auto" w:fill="auto"/>
            <w:noWrap/>
            <w:vAlign w:val="bottom"/>
            <w:hideMark/>
          </w:tcPr>
          <w:p w14:paraId="0ECAE73B"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diffuse</w:t>
            </w:r>
          </w:p>
        </w:tc>
        <w:tc>
          <w:tcPr>
            <w:tcW w:w="1433" w:type="dxa"/>
            <w:shd w:val="clear" w:color="auto" w:fill="auto"/>
            <w:noWrap/>
            <w:vAlign w:val="bottom"/>
            <w:hideMark/>
          </w:tcPr>
          <w:p w14:paraId="19156C52" w14:textId="70B0D96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-1.92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0.17</w:t>
            </w:r>
          </w:p>
        </w:tc>
        <w:tc>
          <w:tcPr>
            <w:tcW w:w="1597" w:type="dxa"/>
            <w:shd w:val="clear" w:color="auto" w:fill="auto"/>
            <w:noWrap/>
            <w:vAlign w:val="bottom"/>
            <w:hideMark/>
          </w:tcPr>
          <w:p w14:paraId="65E94DDE" w14:textId="1EB1DD2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19.6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2.06</w:t>
            </w:r>
          </w:p>
        </w:tc>
      </w:tr>
      <w:tr w:rsidR="00FB50FF" w:rsidRPr="007A66F8" w14:paraId="15DDE720" w14:textId="77777777" w:rsidTr="00FB50FF">
        <w:trPr>
          <w:trHeight w:val="233"/>
        </w:trPr>
        <w:tc>
          <w:tcPr>
            <w:tcW w:w="2867" w:type="dxa"/>
            <w:shd w:val="clear" w:color="auto" w:fill="auto"/>
            <w:noWrap/>
            <w:vAlign w:val="bottom"/>
            <w:hideMark/>
          </w:tcPr>
          <w:p w14:paraId="0C997733" w14:textId="4E6767FC"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alba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(QUAL)</w:t>
            </w:r>
          </w:p>
        </w:tc>
        <w:tc>
          <w:tcPr>
            <w:tcW w:w="1241" w:type="dxa"/>
            <w:shd w:val="clear" w:color="auto" w:fill="auto"/>
            <w:noWrap/>
            <w:vAlign w:val="bottom"/>
            <w:hideMark/>
          </w:tcPr>
          <w:p w14:paraId="730DC5AF"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10.7</w:t>
            </w:r>
          </w:p>
        </w:tc>
        <w:tc>
          <w:tcPr>
            <w:tcW w:w="1004" w:type="dxa"/>
            <w:shd w:val="clear" w:color="auto" w:fill="auto"/>
            <w:noWrap/>
            <w:vAlign w:val="bottom"/>
            <w:hideMark/>
          </w:tcPr>
          <w:p w14:paraId="7265C86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61</w:t>
            </w:r>
          </w:p>
        </w:tc>
        <w:tc>
          <w:tcPr>
            <w:tcW w:w="906" w:type="dxa"/>
            <w:shd w:val="clear" w:color="auto" w:fill="auto"/>
            <w:noWrap/>
            <w:vAlign w:val="bottom"/>
            <w:hideMark/>
          </w:tcPr>
          <w:p w14:paraId="45C50A2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47.2</w:t>
            </w:r>
          </w:p>
        </w:tc>
        <w:tc>
          <w:tcPr>
            <w:tcW w:w="1577" w:type="dxa"/>
            <w:shd w:val="clear" w:color="auto" w:fill="auto"/>
            <w:noWrap/>
            <w:vAlign w:val="bottom"/>
            <w:hideMark/>
          </w:tcPr>
          <w:p w14:paraId="33245191"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11.4 - 79.1</w:t>
            </w:r>
          </w:p>
        </w:tc>
        <w:tc>
          <w:tcPr>
            <w:tcW w:w="1432" w:type="dxa"/>
            <w:shd w:val="clear" w:color="auto" w:fill="auto"/>
            <w:noWrap/>
            <w:vAlign w:val="bottom"/>
            <w:hideMark/>
          </w:tcPr>
          <w:p w14:paraId="1359ECC3" w14:textId="10ACD8F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0.61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0.02</w:t>
            </w:r>
          </w:p>
        </w:tc>
        <w:tc>
          <w:tcPr>
            <w:tcW w:w="1433" w:type="dxa"/>
            <w:shd w:val="clear" w:color="auto" w:fill="auto"/>
            <w:noWrap/>
            <w:vAlign w:val="bottom"/>
            <w:hideMark/>
          </w:tcPr>
          <w:p w14:paraId="7BDCBA72" w14:textId="629A6EE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75.8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11.1</w:t>
            </w:r>
          </w:p>
        </w:tc>
        <w:tc>
          <w:tcPr>
            <w:tcW w:w="1432" w:type="dxa"/>
            <w:shd w:val="clear" w:color="auto" w:fill="auto"/>
            <w:noWrap/>
            <w:vAlign w:val="bottom"/>
            <w:hideMark/>
          </w:tcPr>
          <w:p w14:paraId="5DE99DCD"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66579B03" w14:textId="1FC0C63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-2.58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0.08</w:t>
            </w:r>
          </w:p>
        </w:tc>
        <w:tc>
          <w:tcPr>
            <w:tcW w:w="1597" w:type="dxa"/>
            <w:shd w:val="clear" w:color="auto" w:fill="auto"/>
            <w:noWrap/>
            <w:vAlign w:val="bottom"/>
            <w:hideMark/>
          </w:tcPr>
          <w:p w14:paraId="49E29E40" w14:textId="6CE5B5C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8.52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0.37</w:t>
            </w:r>
          </w:p>
        </w:tc>
      </w:tr>
      <w:tr w:rsidR="00FB50FF" w:rsidRPr="007A66F8" w14:paraId="60B2D4F4" w14:textId="77777777" w:rsidTr="00FB50FF">
        <w:trPr>
          <w:trHeight w:val="233"/>
        </w:trPr>
        <w:tc>
          <w:tcPr>
            <w:tcW w:w="2867" w:type="dxa"/>
            <w:shd w:val="clear" w:color="auto" w:fill="auto"/>
            <w:noWrap/>
            <w:vAlign w:val="bottom"/>
            <w:hideMark/>
          </w:tcPr>
          <w:p w14:paraId="7CF88359" w14:textId="15F6DC13"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rubra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(QURU)</w:t>
            </w:r>
          </w:p>
        </w:tc>
        <w:tc>
          <w:tcPr>
            <w:tcW w:w="1241" w:type="dxa"/>
            <w:shd w:val="clear" w:color="auto" w:fill="auto"/>
            <w:noWrap/>
            <w:vAlign w:val="bottom"/>
            <w:hideMark/>
          </w:tcPr>
          <w:p w14:paraId="314C7284"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10.1</w:t>
            </w:r>
          </w:p>
        </w:tc>
        <w:tc>
          <w:tcPr>
            <w:tcW w:w="1004" w:type="dxa"/>
            <w:shd w:val="clear" w:color="auto" w:fill="auto"/>
            <w:noWrap/>
            <w:vAlign w:val="bottom"/>
            <w:hideMark/>
          </w:tcPr>
          <w:p w14:paraId="5CD2124F"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69</w:t>
            </w:r>
          </w:p>
        </w:tc>
        <w:tc>
          <w:tcPr>
            <w:tcW w:w="906" w:type="dxa"/>
            <w:shd w:val="clear" w:color="auto" w:fill="auto"/>
            <w:noWrap/>
            <w:vAlign w:val="bottom"/>
            <w:hideMark/>
          </w:tcPr>
          <w:p w14:paraId="0215512C"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54.9</w:t>
            </w:r>
          </w:p>
        </w:tc>
        <w:tc>
          <w:tcPr>
            <w:tcW w:w="1577" w:type="dxa"/>
            <w:shd w:val="clear" w:color="auto" w:fill="auto"/>
            <w:noWrap/>
            <w:vAlign w:val="bottom"/>
            <w:hideMark/>
          </w:tcPr>
          <w:p w14:paraId="06D7AAC1"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11.1 - 148</w:t>
            </w:r>
          </w:p>
        </w:tc>
        <w:tc>
          <w:tcPr>
            <w:tcW w:w="1432" w:type="dxa"/>
            <w:shd w:val="clear" w:color="auto" w:fill="auto"/>
            <w:noWrap/>
            <w:vAlign w:val="bottom"/>
            <w:hideMark/>
          </w:tcPr>
          <w:p w14:paraId="1ABE5036" w14:textId="305FC710"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0.02</w:t>
            </w:r>
          </w:p>
        </w:tc>
        <w:tc>
          <w:tcPr>
            <w:tcW w:w="1433" w:type="dxa"/>
            <w:shd w:val="clear" w:color="auto" w:fill="auto"/>
            <w:noWrap/>
            <w:vAlign w:val="bottom"/>
            <w:hideMark/>
          </w:tcPr>
          <w:p w14:paraId="1217E487" w14:textId="5232C6CC"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71.1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6.70</w:t>
            </w:r>
          </w:p>
        </w:tc>
        <w:tc>
          <w:tcPr>
            <w:tcW w:w="1432" w:type="dxa"/>
            <w:shd w:val="clear" w:color="auto" w:fill="auto"/>
            <w:noWrap/>
            <w:vAlign w:val="bottom"/>
            <w:hideMark/>
          </w:tcPr>
          <w:p w14:paraId="39A6CD1F"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4F17F7B0" w14:textId="2ECD0F75"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-2.64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0.28</w:t>
            </w:r>
          </w:p>
        </w:tc>
        <w:tc>
          <w:tcPr>
            <w:tcW w:w="1597" w:type="dxa"/>
            <w:shd w:val="clear" w:color="auto" w:fill="auto"/>
            <w:noWrap/>
            <w:vAlign w:val="bottom"/>
            <w:hideMark/>
          </w:tcPr>
          <w:p w14:paraId="6585FFCA" w14:textId="4B3051A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11.0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0.84</w:t>
            </w:r>
          </w:p>
        </w:tc>
      </w:tr>
      <w:tr w:rsidR="00FB50FF" w:rsidRPr="007A66F8" w14:paraId="62A05CC4" w14:textId="77777777" w:rsidTr="00FB50FF">
        <w:trPr>
          <w:trHeight w:val="233"/>
        </w:trPr>
        <w:tc>
          <w:tcPr>
            <w:tcW w:w="2867" w:type="dxa"/>
            <w:shd w:val="clear" w:color="auto" w:fill="auto"/>
            <w:noWrap/>
            <w:vAlign w:val="bottom"/>
            <w:hideMark/>
          </w:tcPr>
          <w:p w14:paraId="47A0760C" w14:textId="08AC5799"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Quercus </w:t>
            </w:r>
            <w:proofErr w:type="spellStart"/>
            <w:r w:rsidRPr="00A40668">
              <w:rPr>
                <w:rFonts w:ascii="Calibri" w:eastAsia="Times New Roman" w:hAnsi="Calibri" w:cs="Calibri"/>
                <w:i/>
                <w:iCs/>
                <w:color w:val="000000"/>
                <w:sz w:val="20"/>
                <w:szCs w:val="20"/>
              </w:rPr>
              <w:t>velutina</w:t>
            </w:r>
            <w:proofErr w:type="spellEnd"/>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Lam. (QUVE)</w:t>
            </w:r>
          </w:p>
        </w:tc>
        <w:tc>
          <w:tcPr>
            <w:tcW w:w="1241" w:type="dxa"/>
            <w:shd w:val="clear" w:color="auto" w:fill="auto"/>
            <w:noWrap/>
            <w:vAlign w:val="bottom"/>
            <w:hideMark/>
          </w:tcPr>
          <w:p w14:paraId="5AE8E16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7.8</w:t>
            </w:r>
          </w:p>
        </w:tc>
        <w:tc>
          <w:tcPr>
            <w:tcW w:w="1004" w:type="dxa"/>
            <w:shd w:val="clear" w:color="auto" w:fill="auto"/>
            <w:noWrap/>
            <w:vAlign w:val="bottom"/>
            <w:hideMark/>
          </w:tcPr>
          <w:p w14:paraId="331C20A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77</w:t>
            </w:r>
          </w:p>
        </w:tc>
        <w:tc>
          <w:tcPr>
            <w:tcW w:w="906" w:type="dxa"/>
            <w:shd w:val="clear" w:color="auto" w:fill="auto"/>
            <w:noWrap/>
            <w:vAlign w:val="bottom"/>
            <w:hideMark/>
          </w:tcPr>
          <w:p w14:paraId="591CB62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54.1</w:t>
            </w:r>
          </w:p>
        </w:tc>
        <w:tc>
          <w:tcPr>
            <w:tcW w:w="1577" w:type="dxa"/>
            <w:shd w:val="clear" w:color="auto" w:fill="auto"/>
            <w:noWrap/>
            <w:vAlign w:val="bottom"/>
            <w:hideMark/>
          </w:tcPr>
          <w:p w14:paraId="3D83CA3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16.0 - 114.2</w:t>
            </w:r>
          </w:p>
        </w:tc>
        <w:tc>
          <w:tcPr>
            <w:tcW w:w="1432" w:type="dxa"/>
            <w:shd w:val="clear" w:color="auto" w:fill="auto"/>
            <w:noWrap/>
            <w:vAlign w:val="bottom"/>
            <w:hideMark/>
          </w:tcPr>
          <w:p w14:paraId="03F13244" w14:textId="60130B25"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0.65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0.04</w:t>
            </w:r>
          </w:p>
        </w:tc>
        <w:tc>
          <w:tcPr>
            <w:tcW w:w="1433" w:type="dxa"/>
            <w:shd w:val="clear" w:color="auto" w:fill="auto"/>
            <w:noWrap/>
            <w:vAlign w:val="bottom"/>
            <w:hideMark/>
          </w:tcPr>
          <w:p w14:paraId="57221A77" w14:textId="7E82DDEA"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48.7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3.30</w:t>
            </w:r>
          </w:p>
        </w:tc>
        <w:tc>
          <w:tcPr>
            <w:tcW w:w="1432" w:type="dxa"/>
            <w:shd w:val="clear" w:color="auto" w:fill="auto"/>
            <w:noWrap/>
            <w:vAlign w:val="bottom"/>
            <w:hideMark/>
          </w:tcPr>
          <w:p w14:paraId="525E372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3777B10" w14:textId="71786CB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-2.39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0.15</w:t>
            </w:r>
          </w:p>
        </w:tc>
        <w:tc>
          <w:tcPr>
            <w:tcW w:w="1597" w:type="dxa"/>
            <w:shd w:val="clear" w:color="auto" w:fill="auto"/>
            <w:noWrap/>
            <w:vAlign w:val="bottom"/>
            <w:hideMark/>
          </w:tcPr>
          <w:p w14:paraId="19B8D3C1" w14:textId="15CF425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13.42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0.84</w:t>
            </w:r>
          </w:p>
        </w:tc>
      </w:tr>
      <w:tr w:rsidR="00FB50FF" w:rsidRPr="007A66F8" w14:paraId="5AD673BA" w14:textId="77777777" w:rsidTr="00FB50FF">
        <w:trPr>
          <w:trHeight w:val="233"/>
        </w:trPr>
        <w:tc>
          <w:tcPr>
            <w:tcW w:w="2867" w:type="dxa"/>
            <w:shd w:val="clear" w:color="auto" w:fill="auto"/>
            <w:noWrap/>
            <w:vAlign w:val="bottom"/>
            <w:hideMark/>
          </w:tcPr>
          <w:p w14:paraId="3D13BA3F" w14:textId="4AD5C5E4"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Quercus </w:t>
            </w:r>
            <w:proofErr w:type="spellStart"/>
            <w:r w:rsidRPr="00A40668">
              <w:rPr>
                <w:rFonts w:ascii="Calibri" w:eastAsia="Times New Roman" w:hAnsi="Calibri" w:cs="Calibri"/>
                <w:i/>
                <w:iCs/>
                <w:color w:val="000000"/>
                <w:sz w:val="20"/>
                <w:szCs w:val="20"/>
              </w:rPr>
              <w:t>montana</w:t>
            </w:r>
            <w:proofErr w:type="spellEnd"/>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(QUPR)</w:t>
            </w:r>
          </w:p>
        </w:tc>
        <w:tc>
          <w:tcPr>
            <w:tcW w:w="1241" w:type="dxa"/>
            <w:shd w:val="clear" w:color="auto" w:fill="auto"/>
            <w:noWrap/>
            <w:vAlign w:val="bottom"/>
            <w:hideMark/>
          </w:tcPr>
          <w:p w14:paraId="0D26509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4.8</w:t>
            </w:r>
          </w:p>
        </w:tc>
        <w:tc>
          <w:tcPr>
            <w:tcW w:w="1004" w:type="dxa"/>
            <w:shd w:val="clear" w:color="auto" w:fill="auto"/>
            <w:noWrap/>
            <w:vAlign w:val="bottom"/>
            <w:hideMark/>
          </w:tcPr>
          <w:p w14:paraId="11EDB633"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59</w:t>
            </w:r>
          </w:p>
        </w:tc>
        <w:tc>
          <w:tcPr>
            <w:tcW w:w="906" w:type="dxa"/>
            <w:shd w:val="clear" w:color="auto" w:fill="auto"/>
            <w:noWrap/>
            <w:vAlign w:val="bottom"/>
            <w:hideMark/>
          </w:tcPr>
          <w:p w14:paraId="67738F1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42.3</w:t>
            </w:r>
          </w:p>
        </w:tc>
        <w:tc>
          <w:tcPr>
            <w:tcW w:w="1577" w:type="dxa"/>
            <w:shd w:val="clear" w:color="auto" w:fill="auto"/>
            <w:noWrap/>
            <w:vAlign w:val="bottom"/>
            <w:hideMark/>
          </w:tcPr>
          <w:p w14:paraId="5745CAB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10.5 - 87.2</w:t>
            </w:r>
          </w:p>
        </w:tc>
        <w:tc>
          <w:tcPr>
            <w:tcW w:w="1432" w:type="dxa"/>
            <w:shd w:val="clear" w:color="auto" w:fill="auto"/>
            <w:noWrap/>
            <w:vAlign w:val="bottom"/>
            <w:hideMark/>
          </w:tcPr>
          <w:p w14:paraId="2B7E8208" w14:textId="2814DD0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0.61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0.01</w:t>
            </w:r>
          </w:p>
        </w:tc>
        <w:tc>
          <w:tcPr>
            <w:tcW w:w="1433" w:type="dxa"/>
            <w:shd w:val="clear" w:color="auto" w:fill="auto"/>
            <w:noWrap/>
            <w:vAlign w:val="bottom"/>
            <w:hideMark/>
          </w:tcPr>
          <w:p w14:paraId="2F4F458C" w14:textId="5037ACF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71.8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40.2</w:t>
            </w:r>
          </w:p>
        </w:tc>
        <w:tc>
          <w:tcPr>
            <w:tcW w:w="1432" w:type="dxa"/>
            <w:shd w:val="clear" w:color="auto" w:fill="auto"/>
            <w:noWrap/>
            <w:vAlign w:val="bottom"/>
            <w:hideMark/>
          </w:tcPr>
          <w:p w14:paraId="0F2BE12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21687D97" w14:textId="7ADD949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-2.36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0.09</w:t>
            </w:r>
          </w:p>
        </w:tc>
        <w:tc>
          <w:tcPr>
            <w:tcW w:w="1597" w:type="dxa"/>
            <w:shd w:val="clear" w:color="auto" w:fill="auto"/>
            <w:noWrap/>
            <w:vAlign w:val="bottom"/>
            <w:hideMark/>
          </w:tcPr>
          <w:p w14:paraId="40A6D216" w14:textId="51E9EA5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11.75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1.37</w:t>
            </w:r>
          </w:p>
        </w:tc>
      </w:tr>
      <w:tr w:rsidR="00FB50FF" w:rsidRPr="007A66F8" w14:paraId="5B87F35E" w14:textId="77777777" w:rsidTr="00FB50FF">
        <w:trPr>
          <w:trHeight w:val="233"/>
        </w:trPr>
        <w:tc>
          <w:tcPr>
            <w:tcW w:w="2867" w:type="dxa"/>
            <w:shd w:val="clear" w:color="auto" w:fill="auto"/>
            <w:noWrap/>
            <w:vAlign w:val="bottom"/>
            <w:hideMark/>
          </w:tcPr>
          <w:p w14:paraId="70228953" w14:textId="544C0BBD"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Fraxinus americana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(FRAM)</w:t>
            </w:r>
          </w:p>
        </w:tc>
        <w:tc>
          <w:tcPr>
            <w:tcW w:w="1241" w:type="dxa"/>
            <w:shd w:val="clear" w:color="auto" w:fill="auto"/>
            <w:noWrap/>
            <w:vAlign w:val="bottom"/>
            <w:hideMark/>
          </w:tcPr>
          <w:p w14:paraId="77CB1D6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3.8</w:t>
            </w:r>
          </w:p>
        </w:tc>
        <w:tc>
          <w:tcPr>
            <w:tcW w:w="1004" w:type="dxa"/>
            <w:shd w:val="clear" w:color="auto" w:fill="auto"/>
            <w:noWrap/>
            <w:vAlign w:val="bottom"/>
            <w:hideMark/>
          </w:tcPr>
          <w:p w14:paraId="4632EDB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62</w:t>
            </w:r>
          </w:p>
        </w:tc>
        <w:tc>
          <w:tcPr>
            <w:tcW w:w="906" w:type="dxa"/>
            <w:shd w:val="clear" w:color="auto" w:fill="auto"/>
            <w:noWrap/>
            <w:vAlign w:val="bottom"/>
            <w:hideMark/>
          </w:tcPr>
          <w:p w14:paraId="2AD6CA2B"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35.4</w:t>
            </w:r>
          </w:p>
        </w:tc>
        <w:tc>
          <w:tcPr>
            <w:tcW w:w="1577" w:type="dxa"/>
            <w:shd w:val="clear" w:color="auto" w:fill="auto"/>
            <w:noWrap/>
            <w:vAlign w:val="bottom"/>
            <w:hideMark/>
          </w:tcPr>
          <w:p w14:paraId="0D16A60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6.4 - 94.7</w:t>
            </w:r>
          </w:p>
        </w:tc>
        <w:tc>
          <w:tcPr>
            <w:tcW w:w="1432" w:type="dxa"/>
            <w:shd w:val="clear" w:color="auto" w:fill="auto"/>
            <w:noWrap/>
            <w:vAlign w:val="bottom"/>
            <w:hideMark/>
          </w:tcPr>
          <w:p w14:paraId="38ECC658" w14:textId="4375932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0.56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0.01</w:t>
            </w:r>
          </w:p>
        </w:tc>
        <w:tc>
          <w:tcPr>
            <w:tcW w:w="1433" w:type="dxa"/>
            <w:shd w:val="clear" w:color="auto" w:fill="auto"/>
            <w:noWrap/>
            <w:vAlign w:val="bottom"/>
            <w:hideMark/>
          </w:tcPr>
          <w:p w14:paraId="6E81E958" w14:textId="6EF3E03E"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43.3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4.78</w:t>
            </w:r>
          </w:p>
        </w:tc>
        <w:tc>
          <w:tcPr>
            <w:tcW w:w="1432" w:type="dxa"/>
            <w:shd w:val="clear" w:color="auto" w:fill="auto"/>
            <w:noWrap/>
            <w:vAlign w:val="bottom"/>
            <w:hideMark/>
          </w:tcPr>
          <w:p w14:paraId="08E1CAD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592F1C94" w14:textId="098BC52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0.36</w:t>
            </w:r>
          </w:p>
        </w:tc>
        <w:tc>
          <w:tcPr>
            <w:tcW w:w="1597" w:type="dxa"/>
            <w:shd w:val="clear" w:color="auto" w:fill="auto"/>
            <w:noWrap/>
            <w:vAlign w:val="bottom"/>
            <w:hideMark/>
          </w:tcPr>
          <w:p w14:paraId="7F683360" w14:textId="72A90F2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13.06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1.06</w:t>
            </w:r>
          </w:p>
        </w:tc>
      </w:tr>
      <w:tr w:rsidR="00FB50FF" w:rsidRPr="007A66F8" w14:paraId="4BFB2437" w14:textId="77777777" w:rsidTr="00FB50FF">
        <w:trPr>
          <w:trHeight w:val="233"/>
        </w:trPr>
        <w:tc>
          <w:tcPr>
            <w:tcW w:w="2867" w:type="dxa"/>
            <w:shd w:val="clear" w:color="auto" w:fill="auto"/>
            <w:noWrap/>
            <w:vAlign w:val="bottom"/>
            <w:hideMark/>
          </w:tcPr>
          <w:p w14:paraId="099042FB" w14:textId="54DBCBFE"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glabra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(Mill.) Sweet (CAGL)</w:t>
            </w:r>
          </w:p>
        </w:tc>
        <w:tc>
          <w:tcPr>
            <w:tcW w:w="1241" w:type="dxa"/>
            <w:shd w:val="clear" w:color="auto" w:fill="auto"/>
            <w:noWrap/>
            <w:vAlign w:val="bottom"/>
            <w:hideMark/>
          </w:tcPr>
          <w:p w14:paraId="346DB10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3.7</w:t>
            </w:r>
          </w:p>
        </w:tc>
        <w:tc>
          <w:tcPr>
            <w:tcW w:w="1004" w:type="dxa"/>
            <w:shd w:val="clear" w:color="auto" w:fill="auto"/>
            <w:noWrap/>
            <w:vAlign w:val="bottom"/>
            <w:hideMark/>
          </w:tcPr>
          <w:p w14:paraId="6F2D170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w:t>
            </w:r>
          </w:p>
        </w:tc>
        <w:tc>
          <w:tcPr>
            <w:tcW w:w="906" w:type="dxa"/>
            <w:shd w:val="clear" w:color="auto" w:fill="auto"/>
            <w:noWrap/>
            <w:vAlign w:val="bottom"/>
            <w:hideMark/>
          </w:tcPr>
          <w:p w14:paraId="2FDA792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31.4</w:t>
            </w:r>
          </w:p>
        </w:tc>
        <w:tc>
          <w:tcPr>
            <w:tcW w:w="1577" w:type="dxa"/>
            <w:shd w:val="clear" w:color="auto" w:fill="auto"/>
            <w:noWrap/>
            <w:vAlign w:val="bottom"/>
            <w:hideMark/>
          </w:tcPr>
          <w:p w14:paraId="6B66E42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9.8 - 98.5</w:t>
            </w:r>
          </w:p>
        </w:tc>
        <w:tc>
          <w:tcPr>
            <w:tcW w:w="1432" w:type="dxa"/>
            <w:shd w:val="clear" w:color="auto" w:fill="auto"/>
            <w:noWrap/>
            <w:vAlign w:val="bottom"/>
            <w:hideMark/>
          </w:tcPr>
          <w:p w14:paraId="654B5FDE" w14:textId="0F1497D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0.04</w:t>
            </w:r>
          </w:p>
        </w:tc>
        <w:tc>
          <w:tcPr>
            <w:tcW w:w="1433" w:type="dxa"/>
            <w:shd w:val="clear" w:color="auto" w:fill="auto"/>
            <w:noWrap/>
            <w:vAlign w:val="bottom"/>
            <w:hideMark/>
          </w:tcPr>
          <w:p w14:paraId="17A9AE61" w14:textId="2F9D61A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42.8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0.94</w:t>
            </w:r>
          </w:p>
        </w:tc>
        <w:tc>
          <w:tcPr>
            <w:tcW w:w="1432" w:type="dxa"/>
            <w:shd w:val="clear" w:color="auto" w:fill="auto"/>
            <w:noWrap/>
            <w:vAlign w:val="bottom"/>
            <w:hideMark/>
          </w:tcPr>
          <w:p w14:paraId="639373D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2ACFC637" w14:textId="6861F13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0.50</w:t>
            </w:r>
          </w:p>
        </w:tc>
        <w:tc>
          <w:tcPr>
            <w:tcW w:w="1597" w:type="dxa"/>
            <w:shd w:val="clear" w:color="auto" w:fill="auto"/>
            <w:noWrap/>
            <w:vAlign w:val="bottom"/>
            <w:hideMark/>
          </w:tcPr>
          <w:p w14:paraId="7FF3EDEA" w14:textId="4A810000"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21.09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5.48</w:t>
            </w:r>
          </w:p>
        </w:tc>
      </w:tr>
      <w:tr w:rsidR="00FB50FF" w:rsidRPr="007A66F8" w14:paraId="5E7A33A9" w14:textId="77777777" w:rsidTr="00FB50FF">
        <w:trPr>
          <w:trHeight w:val="233"/>
        </w:trPr>
        <w:tc>
          <w:tcPr>
            <w:tcW w:w="2867" w:type="dxa"/>
            <w:shd w:val="clear" w:color="auto" w:fill="auto"/>
            <w:noWrap/>
            <w:vAlign w:val="bottom"/>
            <w:hideMark/>
          </w:tcPr>
          <w:p w14:paraId="7CA935B5" w14:textId="48E8609D"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Juglans nigra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(JUNI)</w:t>
            </w:r>
          </w:p>
        </w:tc>
        <w:tc>
          <w:tcPr>
            <w:tcW w:w="1241" w:type="dxa"/>
            <w:shd w:val="clear" w:color="auto" w:fill="auto"/>
            <w:noWrap/>
            <w:vAlign w:val="bottom"/>
            <w:hideMark/>
          </w:tcPr>
          <w:p w14:paraId="43FE987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2.1</w:t>
            </w:r>
          </w:p>
        </w:tc>
        <w:tc>
          <w:tcPr>
            <w:tcW w:w="1004" w:type="dxa"/>
            <w:shd w:val="clear" w:color="auto" w:fill="auto"/>
            <w:noWrap/>
            <w:vAlign w:val="bottom"/>
            <w:hideMark/>
          </w:tcPr>
          <w:p w14:paraId="192C413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w:t>
            </w:r>
          </w:p>
        </w:tc>
        <w:tc>
          <w:tcPr>
            <w:tcW w:w="906" w:type="dxa"/>
            <w:shd w:val="clear" w:color="auto" w:fill="auto"/>
            <w:noWrap/>
            <w:vAlign w:val="bottom"/>
            <w:hideMark/>
          </w:tcPr>
          <w:p w14:paraId="51CE8AA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48.1</w:t>
            </w:r>
          </w:p>
        </w:tc>
        <w:tc>
          <w:tcPr>
            <w:tcW w:w="1577" w:type="dxa"/>
            <w:shd w:val="clear" w:color="auto" w:fill="auto"/>
            <w:noWrap/>
            <w:vAlign w:val="bottom"/>
            <w:hideMark/>
          </w:tcPr>
          <w:p w14:paraId="7BA956C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24.2 - 87</w:t>
            </w:r>
          </w:p>
        </w:tc>
        <w:tc>
          <w:tcPr>
            <w:tcW w:w="1432" w:type="dxa"/>
            <w:shd w:val="clear" w:color="auto" w:fill="auto"/>
            <w:noWrap/>
            <w:vAlign w:val="bottom"/>
            <w:hideMark/>
          </w:tcPr>
          <w:p w14:paraId="2A72AF51" w14:textId="4D824D2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1.09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0.09</w:t>
            </w:r>
          </w:p>
        </w:tc>
        <w:tc>
          <w:tcPr>
            <w:tcW w:w="1433" w:type="dxa"/>
            <w:shd w:val="clear" w:color="auto" w:fill="auto"/>
            <w:noWrap/>
            <w:vAlign w:val="bottom"/>
            <w:hideMark/>
          </w:tcPr>
          <w:p w14:paraId="0CBC71B3" w14:textId="593A31C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72.1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7.10</w:t>
            </w:r>
          </w:p>
        </w:tc>
        <w:tc>
          <w:tcPr>
            <w:tcW w:w="1432" w:type="dxa"/>
            <w:shd w:val="clear" w:color="auto" w:fill="auto"/>
            <w:noWrap/>
            <w:vAlign w:val="bottom"/>
            <w:hideMark/>
          </w:tcPr>
          <w:p w14:paraId="34628724"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semi-ring</w:t>
            </w:r>
          </w:p>
        </w:tc>
        <w:tc>
          <w:tcPr>
            <w:tcW w:w="1433" w:type="dxa"/>
            <w:shd w:val="clear" w:color="auto" w:fill="auto"/>
            <w:noWrap/>
            <w:vAlign w:val="bottom"/>
            <w:hideMark/>
          </w:tcPr>
          <w:p w14:paraId="42E742E0" w14:textId="518D879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-2.76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0.21</w:t>
            </w:r>
          </w:p>
        </w:tc>
        <w:tc>
          <w:tcPr>
            <w:tcW w:w="1597" w:type="dxa"/>
            <w:shd w:val="clear" w:color="auto" w:fill="auto"/>
            <w:noWrap/>
            <w:vAlign w:val="bottom"/>
            <w:hideMark/>
          </w:tcPr>
          <w:p w14:paraId="3CFD5A33" w14:textId="6EB5AB7E"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24.64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8.72</w:t>
            </w:r>
          </w:p>
        </w:tc>
      </w:tr>
      <w:tr w:rsidR="00FB50FF" w:rsidRPr="007A66F8" w14:paraId="10DABE8A" w14:textId="77777777" w:rsidTr="00FB50FF">
        <w:trPr>
          <w:trHeight w:val="233"/>
        </w:trPr>
        <w:tc>
          <w:tcPr>
            <w:tcW w:w="2867" w:type="dxa"/>
            <w:shd w:val="clear" w:color="auto" w:fill="auto"/>
            <w:noWrap/>
            <w:vAlign w:val="bottom"/>
            <w:hideMark/>
          </w:tcPr>
          <w:p w14:paraId="111CD222" w14:textId="1E27A1A8"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Carya </w:t>
            </w:r>
            <w:proofErr w:type="spellStart"/>
            <w:r w:rsidRPr="00A40668">
              <w:rPr>
                <w:rFonts w:ascii="Calibri" w:eastAsia="Times New Roman" w:hAnsi="Calibri" w:cs="Calibri"/>
                <w:i/>
                <w:iCs/>
                <w:color w:val="000000"/>
                <w:sz w:val="20"/>
                <w:szCs w:val="20"/>
              </w:rPr>
              <w:t>cordiformis</w:t>
            </w:r>
            <w:proofErr w:type="spellEnd"/>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w:t>
            </w:r>
            <w:proofErr w:type="spellStart"/>
            <w:r w:rsidRPr="00A40668">
              <w:rPr>
                <w:rFonts w:ascii="Calibri" w:eastAsia="Times New Roman" w:hAnsi="Calibri" w:cs="Calibri"/>
                <w:color w:val="000000"/>
                <w:sz w:val="20"/>
                <w:szCs w:val="20"/>
              </w:rPr>
              <w:t>Wangenh</w:t>
            </w:r>
            <w:proofErr w:type="spellEnd"/>
            <w:r w:rsidRPr="00A40668">
              <w:rPr>
                <w:rFonts w:ascii="Calibri" w:eastAsia="Times New Roman" w:hAnsi="Calibri" w:cs="Calibri"/>
                <w:color w:val="000000"/>
                <w:sz w:val="20"/>
                <w:szCs w:val="20"/>
              </w:rPr>
              <w:t>.) K. Koch (CACO)</w:t>
            </w:r>
          </w:p>
        </w:tc>
        <w:tc>
          <w:tcPr>
            <w:tcW w:w="1241" w:type="dxa"/>
            <w:shd w:val="clear" w:color="auto" w:fill="auto"/>
            <w:noWrap/>
            <w:vAlign w:val="bottom"/>
            <w:hideMark/>
          </w:tcPr>
          <w:p w14:paraId="7AF1665B"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w:t>
            </w:r>
          </w:p>
        </w:tc>
        <w:tc>
          <w:tcPr>
            <w:tcW w:w="1004" w:type="dxa"/>
            <w:shd w:val="clear" w:color="auto" w:fill="auto"/>
            <w:noWrap/>
            <w:vAlign w:val="bottom"/>
            <w:hideMark/>
          </w:tcPr>
          <w:p w14:paraId="19F0A1A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13</w:t>
            </w:r>
          </w:p>
        </w:tc>
        <w:tc>
          <w:tcPr>
            <w:tcW w:w="906" w:type="dxa"/>
            <w:shd w:val="clear" w:color="auto" w:fill="auto"/>
            <w:noWrap/>
            <w:vAlign w:val="bottom"/>
            <w:hideMark/>
          </w:tcPr>
          <w:p w14:paraId="3F7743FD"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27.2</w:t>
            </w:r>
          </w:p>
        </w:tc>
        <w:tc>
          <w:tcPr>
            <w:tcW w:w="1577" w:type="dxa"/>
            <w:shd w:val="clear" w:color="auto" w:fill="auto"/>
            <w:noWrap/>
            <w:vAlign w:val="bottom"/>
            <w:hideMark/>
          </w:tcPr>
          <w:p w14:paraId="5D780817"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10.7 - 61.5</w:t>
            </w:r>
          </w:p>
        </w:tc>
        <w:tc>
          <w:tcPr>
            <w:tcW w:w="1432" w:type="dxa"/>
            <w:shd w:val="clear" w:color="auto" w:fill="auto"/>
            <w:noWrap/>
            <w:vAlign w:val="bottom"/>
            <w:hideMark/>
          </w:tcPr>
          <w:p w14:paraId="60DB499F" w14:textId="37CB440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0.83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0.10</w:t>
            </w:r>
          </w:p>
        </w:tc>
        <w:tc>
          <w:tcPr>
            <w:tcW w:w="1433" w:type="dxa"/>
            <w:shd w:val="clear" w:color="auto" w:fill="auto"/>
            <w:noWrap/>
            <w:vAlign w:val="bottom"/>
            <w:hideMark/>
          </w:tcPr>
          <w:p w14:paraId="57A44ED9" w14:textId="4B51B59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45.9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15.6</w:t>
            </w:r>
          </w:p>
        </w:tc>
        <w:tc>
          <w:tcPr>
            <w:tcW w:w="1432" w:type="dxa"/>
            <w:shd w:val="clear" w:color="auto" w:fill="auto"/>
            <w:noWrap/>
            <w:vAlign w:val="bottom"/>
            <w:hideMark/>
          </w:tcPr>
          <w:p w14:paraId="5571BED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7B3EA92" w14:textId="3E86EF7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0.45</w:t>
            </w:r>
          </w:p>
        </w:tc>
        <w:tc>
          <w:tcPr>
            <w:tcW w:w="1597" w:type="dxa"/>
            <w:shd w:val="clear" w:color="auto" w:fill="auto"/>
            <w:noWrap/>
            <w:vAlign w:val="bottom"/>
            <w:hideMark/>
          </w:tcPr>
          <w:p w14:paraId="1C3AA50E" w14:textId="05D3D4E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17.22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2.25</w:t>
            </w:r>
          </w:p>
        </w:tc>
      </w:tr>
      <w:tr w:rsidR="00FB50FF" w:rsidRPr="007A66F8" w14:paraId="03CEA055" w14:textId="77777777" w:rsidTr="00FB50FF">
        <w:trPr>
          <w:trHeight w:val="233"/>
        </w:trPr>
        <w:tc>
          <w:tcPr>
            <w:tcW w:w="2867" w:type="dxa"/>
            <w:shd w:val="clear" w:color="auto" w:fill="auto"/>
            <w:noWrap/>
            <w:vAlign w:val="bottom"/>
            <w:hideMark/>
          </w:tcPr>
          <w:p w14:paraId="32CC6D4E" w14:textId="0A211A67" w:rsidR="00FB50FF" w:rsidRPr="00A40668" w:rsidRDefault="00FB50FF"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tomentosa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 xml:space="preserve">(Lam. ex </w:t>
            </w:r>
            <w:proofErr w:type="spellStart"/>
            <w:r w:rsidRPr="00A40668">
              <w:rPr>
                <w:rFonts w:ascii="Calibri" w:eastAsia="Times New Roman" w:hAnsi="Calibri" w:cs="Calibri"/>
                <w:color w:val="000000"/>
                <w:sz w:val="20"/>
                <w:szCs w:val="20"/>
              </w:rPr>
              <w:t>Poir</w:t>
            </w:r>
            <w:proofErr w:type="spellEnd"/>
            <w:r w:rsidRPr="00A40668">
              <w:rPr>
                <w:rFonts w:ascii="Calibri" w:eastAsia="Times New Roman" w:hAnsi="Calibri" w:cs="Calibri"/>
                <w:color w:val="000000"/>
                <w:sz w:val="20"/>
                <w:szCs w:val="20"/>
              </w:rPr>
              <w:t>.) Nutt. (CATO)</w:t>
            </w:r>
          </w:p>
        </w:tc>
        <w:tc>
          <w:tcPr>
            <w:tcW w:w="1241" w:type="dxa"/>
            <w:shd w:val="clear" w:color="auto" w:fill="auto"/>
            <w:noWrap/>
            <w:vAlign w:val="bottom"/>
            <w:hideMark/>
          </w:tcPr>
          <w:p w14:paraId="371B820D"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w:t>
            </w:r>
          </w:p>
        </w:tc>
        <w:tc>
          <w:tcPr>
            <w:tcW w:w="1004" w:type="dxa"/>
            <w:shd w:val="clear" w:color="auto" w:fill="auto"/>
            <w:noWrap/>
            <w:vAlign w:val="bottom"/>
            <w:hideMark/>
          </w:tcPr>
          <w:p w14:paraId="3558F10F"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13</w:t>
            </w:r>
          </w:p>
        </w:tc>
        <w:tc>
          <w:tcPr>
            <w:tcW w:w="906" w:type="dxa"/>
            <w:shd w:val="clear" w:color="auto" w:fill="auto"/>
            <w:noWrap/>
            <w:vAlign w:val="bottom"/>
            <w:hideMark/>
          </w:tcPr>
          <w:p w14:paraId="3024991A"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21</w:t>
            </w:r>
          </w:p>
        </w:tc>
        <w:tc>
          <w:tcPr>
            <w:tcW w:w="1577" w:type="dxa"/>
            <w:shd w:val="clear" w:color="auto" w:fill="auto"/>
            <w:noWrap/>
            <w:vAlign w:val="bottom"/>
            <w:hideMark/>
          </w:tcPr>
          <w:p w14:paraId="07124D52" w14:textId="77777777" w:rsidR="00FB50FF" w:rsidRPr="00A40668" w:rsidRDefault="00FB50FF"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12.1 - 32.2</w:t>
            </w:r>
          </w:p>
        </w:tc>
        <w:tc>
          <w:tcPr>
            <w:tcW w:w="1432" w:type="dxa"/>
            <w:shd w:val="clear" w:color="auto" w:fill="auto"/>
            <w:noWrap/>
            <w:vAlign w:val="bottom"/>
            <w:hideMark/>
          </w:tcPr>
          <w:p w14:paraId="642CF237"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0.83</w:t>
            </w:r>
          </w:p>
        </w:tc>
        <w:tc>
          <w:tcPr>
            <w:tcW w:w="1433" w:type="dxa"/>
            <w:shd w:val="clear" w:color="auto" w:fill="auto"/>
            <w:noWrap/>
            <w:vAlign w:val="bottom"/>
            <w:hideMark/>
          </w:tcPr>
          <w:p w14:paraId="2B55275C"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45.4</w:t>
            </w:r>
          </w:p>
        </w:tc>
        <w:tc>
          <w:tcPr>
            <w:tcW w:w="1432" w:type="dxa"/>
            <w:shd w:val="clear" w:color="auto" w:fill="auto"/>
            <w:noWrap/>
            <w:vAlign w:val="bottom"/>
            <w:hideMark/>
          </w:tcPr>
          <w:p w14:paraId="7CD3C62A"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63663FFA"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-2.2</w:t>
            </w:r>
          </w:p>
        </w:tc>
        <w:tc>
          <w:tcPr>
            <w:tcW w:w="1597" w:type="dxa"/>
            <w:shd w:val="clear" w:color="auto" w:fill="auto"/>
            <w:noWrap/>
            <w:vAlign w:val="bottom"/>
            <w:hideMark/>
          </w:tcPr>
          <w:p w14:paraId="64B14A70" w14:textId="77777777" w:rsidR="00FB50FF" w:rsidRPr="00A40668" w:rsidRDefault="00FB50FF" w:rsidP="00FB50FF">
            <w:pPr>
              <w:spacing w:after="0"/>
              <w:ind w:right="521"/>
              <w:rPr>
                <w:rFonts w:ascii="Calibri" w:eastAsia="Times New Roman" w:hAnsi="Calibri" w:cs="Calibri"/>
                <w:color w:val="000000"/>
                <w:sz w:val="20"/>
                <w:szCs w:val="20"/>
              </w:rPr>
            </w:pPr>
            <w:r w:rsidRPr="00A40668">
              <w:rPr>
                <w:rFonts w:ascii="Calibri" w:eastAsia="Times New Roman" w:hAnsi="Calibri" w:cs="Calibri"/>
                <w:color w:val="000000"/>
                <w:sz w:val="20"/>
                <w:szCs w:val="20"/>
              </w:rPr>
              <w:t>16.56</w:t>
            </w:r>
          </w:p>
        </w:tc>
      </w:tr>
      <w:tr w:rsidR="00FB50FF" w:rsidRPr="007A66F8" w14:paraId="28254975" w14:textId="77777777" w:rsidTr="00FB50FF">
        <w:trPr>
          <w:trHeight w:val="233"/>
        </w:trPr>
        <w:tc>
          <w:tcPr>
            <w:tcW w:w="2867" w:type="dxa"/>
            <w:shd w:val="clear" w:color="auto" w:fill="auto"/>
            <w:noWrap/>
            <w:vAlign w:val="bottom"/>
            <w:hideMark/>
          </w:tcPr>
          <w:p w14:paraId="28E9838B" w14:textId="29AB3B47"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Fagus </w:t>
            </w:r>
            <w:proofErr w:type="spellStart"/>
            <w:r w:rsidRPr="00A40668">
              <w:rPr>
                <w:rFonts w:ascii="Calibri" w:eastAsia="Times New Roman" w:hAnsi="Calibri" w:cs="Calibri"/>
                <w:i/>
                <w:iCs/>
                <w:color w:val="000000"/>
                <w:sz w:val="20"/>
                <w:szCs w:val="20"/>
              </w:rPr>
              <w:t>grandifolia</w:t>
            </w:r>
            <w:proofErr w:type="spellEnd"/>
            <w:r w:rsidRPr="007A66F8">
              <w:rPr>
                <w:rFonts w:ascii="Calibri" w:eastAsia="Times New Roman" w:hAnsi="Calibri" w:cs="Calibri"/>
                <w:i/>
                <w:iCs/>
                <w:color w:val="000000"/>
                <w:sz w:val="20"/>
                <w:szCs w:val="20"/>
              </w:rPr>
              <w:t xml:space="preserve"> </w:t>
            </w:r>
            <w:proofErr w:type="spellStart"/>
            <w:r w:rsidRPr="00A40668">
              <w:rPr>
                <w:rFonts w:ascii="Calibri" w:eastAsia="Times New Roman" w:hAnsi="Calibri" w:cs="Calibri"/>
                <w:color w:val="000000"/>
                <w:sz w:val="20"/>
                <w:szCs w:val="20"/>
              </w:rPr>
              <w:t>Ehrh</w:t>
            </w:r>
            <w:proofErr w:type="spellEnd"/>
            <w:r w:rsidRPr="00A40668">
              <w:rPr>
                <w:rFonts w:ascii="Calibri" w:eastAsia="Times New Roman" w:hAnsi="Calibri" w:cs="Calibri"/>
                <w:color w:val="000000"/>
                <w:sz w:val="20"/>
                <w:szCs w:val="20"/>
              </w:rPr>
              <w:t>. (FAGR)</w:t>
            </w:r>
          </w:p>
        </w:tc>
        <w:tc>
          <w:tcPr>
            <w:tcW w:w="1241" w:type="dxa"/>
            <w:shd w:val="clear" w:color="auto" w:fill="auto"/>
            <w:noWrap/>
            <w:vAlign w:val="bottom"/>
            <w:hideMark/>
          </w:tcPr>
          <w:p w14:paraId="385F662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1.5</w:t>
            </w:r>
          </w:p>
        </w:tc>
        <w:tc>
          <w:tcPr>
            <w:tcW w:w="1004" w:type="dxa"/>
            <w:shd w:val="clear" w:color="auto" w:fill="auto"/>
            <w:noWrap/>
            <w:vAlign w:val="bottom"/>
            <w:hideMark/>
          </w:tcPr>
          <w:p w14:paraId="3EDF2054"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80</w:t>
            </w:r>
          </w:p>
        </w:tc>
        <w:tc>
          <w:tcPr>
            <w:tcW w:w="906" w:type="dxa"/>
            <w:shd w:val="clear" w:color="auto" w:fill="auto"/>
            <w:noWrap/>
            <w:vAlign w:val="bottom"/>
            <w:hideMark/>
          </w:tcPr>
          <w:p w14:paraId="10E80831"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23.5</w:t>
            </w:r>
          </w:p>
        </w:tc>
        <w:tc>
          <w:tcPr>
            <w:tcW w:w="1577" w:type="dxa"/>
            <w:shd w:val="clear" w:color="auto" w:fill="auto"/>
            <w:noWrap/>
            <w:vAlign w:val="bottom"/>
            <w:hideMark/>
          </w:tcPr>
          <w:p w14:paraId="308EF2D4"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11.2 - 107.2</w:t>
            </w:r>
          </w:p>
        </w:tc>
        <w:tc>
          <w:tcPr>
            <w:tcW w:w="1432" w:type="dxa"/>
            <w:shd w:val="clear" w:color="auto" w:fill="auto"/>
            <w:noWrap/>
            <w:vAlign w:val="bottom"/>
            <w:hideMark/>
          </w:tcPr>
          <w:p w14:paraId="77067D3D" w14:textId="73CBD40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0.03</w:t>
            </w:r>
          </w:p>
        </w:tc>
        <w:tc>
          <w:tcPr>
            <w:tcW w:w="1433" w:type="dxa"/>
            <w:shd w:val="clear" w:color="auto" w:fill="auto"/>
            <w:noWrap/>
            <w:vAlign w:val="bottom"/>
            <w:hideMark/>
          </w:tcPr>
          <w:p w14:paraId="4EFF7F46" w14:textId="3D9C502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30.7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4.94</w:t>
            </w:r>
          </w:p>
        </w:tc>
        <w:tc>
          <w:tcPr>
            <w:tcW w:w="1432" w:type="dxa"/>
            <w:shd w:val="clear" w:color="auto" w:fill="auto"/>
            <w:noWrap/>
            <w:vAlign w:val="bottom"/>
            <w:hideMark/>
          </w:tcPr>
          <w:p w14:paraId="3AC292D9"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diffuse</w:t>
            </w:r>
          </w:p>
        </w:tc>
        <w:tc>
          <w:tcPr>
            <w:tcW w:w="1433" w:type="dxa"/>
            <w:shd w:val="clear" w:color="auto" w:fill="auto"/>
            <w:noWrap/>
            <w:vAlign w:val="bottom"/>
            <w:hideMark/>
          </w:tcPr>
          <w:p w14:paraId="55885052" w14:textId="77777777" w:rsidR="007A66F8" w:rsidRPr="00A40668" w:rsidRDefault="007A66F8" w:rsidP="00FB50FF">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-2.57</w:t>
            </w:r>
          </w:p>
        </w:tc>
        <w:tc>
          <w:tcPr>
            <w:tcW w:w="1597" w:type="dxa"/>
            <w:shd w:val="clear" w:color="auto" w:fill="auto"/>
            <w:noWrap/>
            <w:vAlign w:val="bottom"/>
            <w:hideMark/>
          </w:tcPr>
          <w:p w14:paraId="697E2A2F" w14:textId="070084BD"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9.45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1.25</w:t>
            </w:r>
          </w:p>
        </w:tc>
      </w:tr>
      <w:tr w:rsidR="00FB50FF" w:rsidRPr="007A66F8" w14:paraId="4F0BAF74" w14:textId="77777777" w:rsidTr="00FB50FF">
        <w:trPr>
          <w:trHeight w:val="233"/>
        </w:trPr>
        <w:tc>
          <w:tcPr>
            <w:tcW w:w="2867" w:type="dxa"/>
            <w:shd w:val="clear" w:color="auto" w:fill="auto"/>
            <w:noWrap/>
            <w:vAlign w:val="bottom"/>
            <w:hideMark/>
          </w:tcPr>
          <w:p w14:paraId="397FD510" w14:textId="225F632E"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ovalis</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w:t>
            </w:r>
            <w:proofErr w:type="spellStart"/>
            <w:r w:rsidRPr="00A40668">
              <w:rPr>
                <w:rFonts w:ascii="Calibri" w:eastAsia="Times New Roman" w:hAnsi="Calibri" w:cs="Calibri"/>
                <w:color w:val="000000"/>
                <w:sz w:val="20"/>
                <w:szCs w:val="20"/>
              </w:rPr>
              <w:t>Wangenh</w:t>
            </w:r>
            <w:proofErr w:type="spellEnd"/>
            <w:r w:rsidRPr="00A40668">
              <w:rPr>
                <w:rFonts w:ascii="Calibri" w:eastAsia="Times New Roman" w:hAnsi="Calibri" w:cs="Calibri"/>
                <w:color w:val="000000"/>
                <w:sz w:val="20"/>
                <w:szCs w:val="20"/>
              </w:rPr>
              <w:t xml:space="preserve">.) </w:t>
            </w:r>
            <w:proofErr w:type="spellStart"/>
            <w:r w:rsidRPr="00A40668">
              <w:rPr>
                <w:rFonts w:ascii="Calibri" w:eastAsia="Times New Roman" w:hAnsi="Calibri" w:cs="Calibri"/>
                <w:color w:val="000000"/>
                <w:sz w:val="20"/>
                <w:szCs w:val="20"/>
              </w:rPr>
              <w:t>Sarg</w:t>
            </w:r>
            <w:proofErr w:type="spellEnd"/>
            <w:r w:rsidRPr="00A40668">
              <w:rPr>
                <w:rFonts w:ascii="Calibri" w:eastAsia="Times New Roman" w:hAnsi="Calibri" w:cs="Calibri"/>
                <w:color w:val="000000"/>
                <w:sz w:val="20"/>
                <w:szCs w:val="20"/>
              </w:rPr>
              <w:t>. (CAOVL)</w:t>
            </w:r>
          </w:p>
        </w:tc>
        <w:tc>
          <w:tcPr>
            <w:tcW w:w="1241" w:type="dxa"/>
            <w:shd w:val="clear" w:color="auto" w:fill="auto"/>
            <w:noWrap/>
            <w:vAlign w:val="bottom"/>
            <w:hideMark/>
          </w:tcPr>
          <w:p w14:paraId="20983BA6"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1.1</w:t>
            </w:r>
          </w:p>
        </w:tc>
        <w:tc>
          <w:tcPr>
            <w:tcW w:w="1004" w:type="dxa"/>
            <w:shd w:val="clear" w:color="auto" w:fill="auto"/>
            <w:noWrap/>
            <w:vAlign w:val="bottom"/>
            <w:hideMark/>
          </w:tcPr>
          <w:p w14:paraId="0B350EEC"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23</w:t>
            </w:r>
          </w:p>
        </w:tc>
        <w:tc>
          <w:tcPr>
            <w:tcW w:w="906" w:type="dxa"/>
            <w:shd w:val="clear" w:color="auto" w:fill="auto"/>
            <w:noWrap/>
            <w:vAlign w:val="bottom"/>
            <w:hideMark/>
          </w:tcPr>
          <w:p w14:paraId="0D8A2F61"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35.3</w:t>
            </w:r>
          </w:p>
        </w:tc>
        <w:tc>
          <w:tcPr>
            <w:tcW w:w="1577" w:type="dxa"/>
            <w:shd w:val="clear" w:color="auto" w:fill="auto"/>
            <w:noWrap/>
            <w:vAlign w:val="bottom"/>
            <w:hideMark/>
          </w:tcPr>
          <w:p w14:paraId="0948663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14.9 - 66.0</w:t>
            </w:r>
          </w:p>
        </w:tc>
        <w:tc>
          <w:tcPr>
            <w:tcW w:w="1432" w:type="dxa"/>
            <w:shd w:val="clear" w:color="auto" w:fill="auto"/>
            <w:noWrap/>
            <w:vAlign w:val="bottom"/>
            <w:hideMark/>
          </w:tcPr>
          <w:p w14:paraId="39854A5B" w14:textId="434EC22A"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0.96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0.33</w:t>
            </w:r>
          </w:p>
        </w:tc>
        <w:tc>
          <w:tcPr>
            <w:tcW w:w="1433" w:type="dxa"/>
            <w:shd w:val="clear" w:color="auto" w:fill="auto"/>
            <w:noWrap/>
            <w:vAlign w:val="bottom"/>
            <w:hideMark/>
          </w:tcPr>
          <w:p w14:paraId="498255C2" w14:textId="3318AC69"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47.6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3.95</w:t>
            </w:r>
          </w:p>
        </w:tc>
        <w:tc>
          <w:tcPr>
            <w:tcW w:w="1432" w:type="dxa"/>
            <w:shd w:val="clear" w:color="auto" w:fill="auto"/>
            <w:noWrap/>
            <w:vAlign w:val="bottom"/>
            <w:hideMark/>
          </w:tcPr>
          <w:p w14:paraId="2820BF0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B4C66CD" w14:textId="5B5B8A3C"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-2.48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0.04</w:t>
            </w:r>
          </w:p>
        </w:tc>
        <w:tc>
          <w:tcPr>
            <w:tcW w:w="1597" w:type="dxa"/>
            <w:shd w:val="clear" w:color="auto" w:fill="auto"/>
            <w:noWrap/>
            <w:vAlign w:val="bottom"/>
            <w:hideMark/>
          </w:tcPr>
          <w:p w14:paraId="0D108D5C" w14:textId="39F1076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14.8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6.34</w:t>
            </w:r>
          </w:p>
        </w:tc>
      </w:tr>
    </w:tbl>
    <w:p w14:paraId="2A34CD1E" w14:textId="77777777" w:rsidR="00A40668" w:rsidRDefault="00A40668" w:rsidP="00D64B2B">
      <w:pPr>
        <w:spacing w:before="101" w:line="218" w:lineRule="auto"/>
        <w:ind w:left="118" w:right="198" w:firstLine="21"/>
        <w:rPr>
          <w:position w:val="2"/>
          <w:sz w:val="18"/>
        </w:rPr>
      </w:pPr>
    </w:p>
    <w:p w14:paraId="016EF80E" w14:textId="77777777" w:rsidR="00D64B2B" w:rsidRDefault="00D64B2B" w:rsidP="00D64B2B">
      <w:pPr>
        <w:pStyle w:val="BodyText"/>
        <w:spacing w:before="111" w:line="266" w:lineRule="auto"/>
        <w:ind w:left="135" w:hanging="3"/>
      </w:pPr>
      <w:r>
        <w:t>Variable</w:t>
      </w:r>
      <w:r>
        <w:rPr>
          <w:spacing w:val="-8"/>
        </w:rPr>
        <w:t xml:space="preserve"> </w:t>
      </w:r>
      <w:r>
        <w:t>abbreviations</w:t>
      </w:r>
      <w:r>
        <w:rPr>
          <w:spacing w:val="-8"/>
        </w:rPr>
        <w:t xml:space="preserve"> </w:t>
      </w:r>
      <w:r>
        <w:t>are</w:t>
      </w:r>
      <w:r>
        <w:rPr>
          <w:spacing w:val="-7"/>
        </w:rPr>
        <w:t xml:space="preserve"> </w:t>
      </w:r>
      <w:r>
        <w:t>as</w:t>
      </w:r>
      <w:r>
        <w:rPr>
          <w:spacing w:val="-8"/>
        </w:rPr>
        <w:t xml:space="preserve"> </w:t>
      </w:r>
      <w:r>
        <w:t>in</w:t>
      </w:r>
      <w:r>
        <w:rPr>
          <w:spacing w:val="-7"/>
        </w:rPr>
        <w:t xml:space="preserve"> </w:t>
      </w:r>
      <w:r>
        <w:t>Table</w:t>
      </w:r>
      <w:r>
        <w:rPr>
          <w:spacing w:val="-8"/>
        </w:rPr>
        <w:t xml:space="preserve"> </w:t>
      </w:r>
      <w:r>
        <w:t>3.</w:t>
      </w:r>
      <w:r>
        <w:rPr>
          <w:spacing w:val="8"/>
        </w:rPr>
        <w:t xml:space="preserve"> </w:t>
      </w:r>
      <w:r>
        <w:t>DBH</w:t>
      </w:r>
      <w:r>
        <w:rPr>
          <w:spacing w:val="-8"/>
        </w:rPr>
        <w:t xml:space="preserve"> </w:t>
      </w:r>
      <w:r>
        <w:t>measurements</w:t>
      </w:r>
      <w:r>
        <w:rPr>
          <w:spacing w:val="-7"/>
        </w:rPr>
        <w:t xml:space="preserve"> </w:t>
      </w:r>
      <w:r>
        <w:t>are</w:t>
      </w:r>
      <w:r>
        <w:rPr>
          <w:spacing w:val="-8"/>
        </w:rPr>
        <w:t xml:space="preserve"> </w:t>
      </w:r>
      <w:r>
        <w:t>from</w:t>
      </w:r>
      <w:r>
        <w:rPr>
          <w:spacing w:val="-7"/>
        </w:rPr>
        <w:t xml:space="preserve"> </w:t>
      </w:r>
      <w:r>
        <w:t>the</w:t>
      </w:r>
      <w:r>
        <w:rPr>
          <w:spacing w:val="-8"/>
        </w:rPr>
        <w:t xml:space="preserve"> </w:t>
      </w:r>
      <w:r>
        <w:t>most</w:t>
      </w:r>
      <w:r>
        <w:rPr>
          <w:spacing w:val="-7"/>
        </w:rPr>
        <w:t xml:space="preserve"> </w:t>
      </w:r>
      <w:r>
        <w:t>recent</w:t>
      </w:r>
      <w:r>
        <w:rPr>
          <w:spacing w:val="-8"/>
        </w:rPr>
        <w:t xml:space="preserve"> </w:t>
      </w:r>
      <w:r>
        <w:t>ForestGEO</w:t>
      </w:r>
      <w:r>
        <w:rPr>
          <w:spacing w:val="-7"/>
        </w:rPr>
        <w:t xml:space="preserve"> </w:t>
      </w:r>
      <w:r>
        <w:t>census</w:t>
      </w:r>
      <w:r>
        <w:rPr>
          <w:spacing w:val="-8"/>
        </w:rPr>
        <w:t xml:space="preserve"> </w:t>
      </w:r>
      <w:r>
        <w:t>in 2018</w:t>
      </w:r>
      <w:r>
        <w:rPr>
          <w:spacing w:val="12"/>
        </w:rPr>
        <w:t xml:space="preserve"> </w:t>
      </w:r>
      <w:r>
        <w:t>(live</w:t>
      </w:r>
      <w:r>
        <w:rPr>
          <w:spacing w:val="12"/>
        </w:rPr>
        <w:t xml:space="preserve"> </w:t>
      </w:r>
      <w:r>
        <w:t>trees)</w:t>
      </w:r>
      <w:r>
        <w:rPr>
          <w:spacing w:val="12"/>
        </w:rPr>
        <w:t xml:space="preserve"> </w:t>
      </w:r>
      <w:r>
        <w:t>or</w:t>
      </w:r>
      <w:r>
        <w:rPr>
          <w:spacing w:val="12"/>
        </w:rPr>
        <w:t xml:space="preserve"> </w:t>
      </w:r>
      <w:r>
        <w:t>tree</w:t>
      </w:r>
      <w:r>
        <w:rPr>
          <w:spacing w:val="13"/>
        </w:rPr>
        <w:t xml:space="preserve"> </w:t>
      </w:r>
      <w:r>
        <w:t>mortality</w:t>
      </w:r>
      <w:r>
        <w:rPr>
          <w:spacing w:val="12"/>
        </w:rPr>
        <w:t xml:space="preserve"> </w:t>
      </w:r>
      <w:r>
        <w:t>censuses</w:t>
      </w:r>
      <w:r>
        <w:rPr>
          <w:spacing w:val="12"/>
        </w:rPr>
        <w:t xml:space="preserve"> </w:t>
      </w:r>
      <w:r>
        <w:t>in</w:t>
      </w:r>
      <w:r>
        <w:rPr>
          <w:spacing w:val="12"/>
        </w:rPr>
        <w:t xml:space="preserve"> </w:t>
      </w:r>
      <w:r>
        <w:t>2016</w:t>
      </w:r>
      <w:r>
        <w:rPr>
          <w:spacing w:val="13"/>
        </w:rPr>
        <w:t xml:space="preserve"> </w:t>
      </w:r>
      <w:r>
        <w:t>and</w:t>
      </w:r>
      <w:r>
        <w:rPr>
          <w:spacing w:val="12"/>
        </w:rPr>
        <w:t xml:space="preserve"> </w:t>
      </w:r>
      <w:r>
        <w:t>2017</w:t>
      </w:r>
      <w:r>
        <w:rPr>
          <w:spacing w:val="12"/>
        </w:rPr>
        <w:t xml:space="preserve"> </w:t>
      </w:r>
      <w:r>
        <w:t>(trees</w:t>
      </w:r>
      <w:r>
        <w:rPr>
          <w:spacing w:val="12"/>
        </w:rPr>
        <w:t xml:space="preserve"> </w:t>
      </w:r>
      <w:r>
        <w:t>cored</w:t>
      </w:r>
      <w:r>
        <w:rPr>
          <w:spacing w:val="13"/>
        </w:rPr>
        <w:t xml:space="preserve"> </w:t>
      </w:r>
      <w:r>
        <w:t>dead).</w:t>
      </w:r>
    </w:p>
    <w:p w14:paraId="378A500C" w14:textId="77777777" w:rsidR="00D64B2B" w:rsidRDefault="00D64B2B" w:rsidP="00D64B2B">
      <w:pPr>
        <w:spacing w:line="266" w:lineRule="auto"/>
      </w:pPr>
    </w:p>
    <w:p w14:paraId="192EEA1C" w14:textId="742698B9" w:rsidR="004052B0" w:rsidRDefault="004052B0" w:rsidP="00D64B2B">
      <w:pPr>
        <w:spacing w:line="266" w:lineRule="auto"/>
        <w:sectPr w:rsidR="004052B0" w:rsidSect="007A66F8">
          <w:footerReference w:type="default" r:id="rId124"/>
          <w:pgSz w:w="15840" w:h="12240" w:orient="landscape"/>
          <w:pgMar w:top="1300" w:right="1320" w:bottom="1300" w:left="1040" w:header="0" w:footer="843" w:gutter="0"/>
          <w:pgNumType w:start="2"/>
          <w:cols w:space="720"/>
          <w:docGrid w:linePitch="326"/>
        </w:sectPr>
      </w:pPr>
    </w:p>
    <w:p w14:paraId="48667667" w14:textId="60B10FDA" w:rsidR="00480481" w:rsidRDefault="00480481" w:rsidP="00480481">
      <w:pPr>
        <w:pStyle w:val="BodyText"/>
        <w:spacing w:before="1"/>
        <w:rPr>
          <w:rFonts w:asciiTheme="majorHAnsi" w:hAnsiTheme="majorHAnsi" w:cstheme="majorHAnsi"/>
          <w:sz w:val="22"/>
          <w:szCs w:val="22"/>
        </w:rPr>
      </w:pPr>
      <w:r w:rsidRPr="00480481">
        <w:rPr>
          <w:rFonts w:asciiTheme="majorHAnsi" w:hAnsiTheme="majorHAnsi" w:cstheme="majorHAnsi"/>
          <w:sz w:val="22"/>
          <w:szCs w:val="22"/>
        </w:rPr>
        <w:lastRenderedPageBreak/>
        <w:t>Table 3. Summary of dependent and independent variables in our statistical models of drought tolerance, along with units, definitions, and sample sizes.</w:t>
      </w:r>
    </w:p>
    <w:tbl>
      <w:tblPr>
        <w:tblpPr w:leftFromText="180" w:rightFromText="180" w:vertAnchor="page" w:horzAnchor="margin" w:tblpXSpec="center" w:tblpY="2367"/>
        <w:tblW w:w="11100" w:type="dxa"/>
        <w:tblBorders>
          <w:top w:val="single" w:sz="4" w:space="0" w:color="auto"/>
          <w:bottom w:val="single" w:sz="4" w:space="0" w:color="auto"/>
        </w:tblBorders>
        <w:tblLook w:val="04A0" w:firstRow="1" w:lastRow="0" w:firstColumn="1" w:lastColumn="0" w:noHBand="0" w:noVBand="1"/>
      </w:tblPr>
      <w:tblGrid>
        <w:gridCol w:w="1478"/>
        <w:gridCol w:w="1498"/>
        <w:gridCol w:w="843"/>
        <w:gridCol w:w="3000"/>
        <w:gridCol w:w="994"/>
        <w:gridCol w:w="998"/>
        <w:gridCol w:w="919"/>
        <w:gridCol w:w="1370"/>
      </w:tblGrid>
      <w:tr w:rsidR="00480481" w:rsidRPr="004052B0" w14:paraId="096E80EA" w14:textId="77777777" w:rsidTr="00133254">
        <w:trPr>
          <w:trHeight w:val="290"/>
        </w:trPr>
        <w:tc>
          <w:tcPr>
            <w:tcW w:w="1478" w:type="dxa"/>
            <w:tcBorders>
              <w:top w:val="single" w:sz="4" w:space="0" w:color="auto"/>
              <w:bottom w:val="single" w:sz="4" w:space="0" w:color="auto"/>
            </w:tcBorders>
            <w:shd w:val="clear" w:color="auto" w:fill="auto"/>
            <w:noWrap/>
            <w:vAlign w:val="bottom"/>
            <w:hideMark/>
          </w:tcPr>
          <w:p w14:paraId="49088F2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variable</w:t>
            </w:r>
          </w:p>
        </w:tc>
        <w:tc>
          <w:tcPr>
            <w:tcW w:w="1498" w:type="dxa"/>
            <w:tcBorders>
              <w:top w:val="single" w:sz="4" w:space="0" w:color="auto"/>
              <w:bottom w:val="single" w:sz="4" w:space="0" w:color="auto"/>
            </w:tcBorders>
            <w:shd w:val="clear" w:color="auto" w:fill="auto"/>
            <w:noWrap/>
            <w:vAlign w:val="bottom"/>
            <w:hideMark/>
          </w:tcPr>
          <w:p w14:paraId="6868FE5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symbol</w:t>
            </w:r>
          </w:p>
        </w:tc>
        <w:tc>
          <w:tcPr>
            <w:tcW w:w="843" w:type="dxa"/>
            <w:tcBorders>
              <w:top w:val="single" w:sz="4" w:space="0" w:color="auto"/>
              <w:bottom w:val="single" w:sz="4" w:space="0" w:color="auto"/>
            </w:tcBorders>
            <w:shd w:val="clear" w:color="auto" w:fill="auto"/>
            <w:noWrap/>
            <w:vAlign w:val="bottom"/>
            <w:hideMark/>
          </w:tcPr>
          <w:p w14:paraId="1EF1753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units</w:t>
            </w:r>
          </w:p>
        </w:tc>
        <w:tc>
          <w:tcPr>
            <w:tcW w:w="3000" w:type="dxa"/>
            <w:tcBorders>
              <w:top w:val="single" w:sz="4" w:space="0" w:color="auto"/>
              <w:bottom w:val="single" w:sz="4" w:space="0" w:color="auto"/>
            </w:tcBorders>
            <w:shd w:val="clear" w:color="auto" w:fill="auto"/>
            <w:noWrap/>
            <w:vAlign w:val="bottom"/>
            <w:hideMark/>
          </w:tcPr>
          <w:p w14:paraId="302BA31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description</w:t>
            </w:r>
          </w:p>
        </w:tc>
        <w:tc>
          <w:tcPr>
            <w:tcW w:w="994" w:type="dxa"/>
            <w:tcBorders>
              <w:top w:val="single" w:sz="4" w:space="0" w:color="auto"/>
              <w:bottom w:val="single" w:sz="4" w:space="0" w:color="auto"/>
            </w:tcBorders>
            <w:shd w:val="clear" w:color="auto" w:fill="auto"/>
            <w:noWrap/>
            <w:vAlign w:val="bottom"/>
            <w:hideMark/>
          </w:tcPr>
          <w:p w14:paraId="151D765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category</w:t>
            </w:r>
          </w:p>
        </w:tc>
        <w:tc>
          <w:tcPr>
            <w:tcW w:w="998" w:type="dxa"/>
            <w:tcBorders>
              <w:top w:val="single" w:sz="4" w:space="0" w:color="auto"/>
              <w:bottom w:val="single" w:sz="4" w:space="0" w:color="auto"/>
            </w:tcBorders>
            <w:shd w:val="clear" w:color="auto" w:fill="auto"/>
            <w:noWrap/>
            <w:vAlign w:val="bottom"/>
            <w:hideMark/>
          </w:tcPr>
          <w:p w14:paraId="2651A32D" w14:textId="77777777" w:rsidR="00480481" w:rsidRPr="004052B0" w:rsidRDefault="00480481" w:rsidP="00480481">
            <w:pPr>
              <w:spacing w:after="0"/>
              <w:rPr>
                <w:rFonts w:ascii="Calibri" w:eastAsia="Times New Roman" w:hAnsi="Calibri" w:cs="Calibri"/>
                <w:i/>
                <w:iCs/>
                <w:color w:val="000000"/>
                <w:sz w:val="22"/>
                <w:szCs w:val="22"/>
              </w:rPr>
            </w:pPr>
            <w:proofErr w:type="spellStart"/>
            <w:r w:rsidRPr="00480481">
              <w:rPr>
                <w:rFonts w:ascii="Calibri" w:eastAsia="Times New Roman" w:hAnsi="Calibri" w:cs="Calibri"/>
                <w:i/>
                <w:iCs/>
                <w:color w:val="000000"/>
                <w:sz w:val="22"/>
                <w:szCs w:val="22"/>
              </w:rPr>
              <w:t>n</w:t>
            </w:r>
            <w:r w:rsidRPr="00480481">
              <w:rPr>
                <w:rFonts w:ascii="Calibri" w:eastAsia="Times New Roman" w:hAnsi="Calibri" w:cs="Calibri"/>
                <w:i/>
                <w:iCs/>
                <w:color w:val="000000"/>
                <w:sz w:val="22"/>
                <w:szCs w:val="22"/>
                <w:vertAlign w:val="subscript"/>
              </w:rPr>
              <w:t>RT</w:t>
            </w:r>
            <w:proofErr w:type="spellEnd"/>
            <w:r w:rsidRPr="00480481">
              <w:rPr>
                <w:rFonts w:ascii="Calibri" w:eastAsia="Times New Roman" w:hAnsi="Calibri" w:cs="Calibri"/>
                <w:i/>
                <w:iCs/>
                <w:color w:val="000000"/>
                <w:sz w:val="22"/>
                <w:szCs w:val="22"/>
              </w:rPr>
              <w:t>*</w:t>
            </w:r>
          </w:p>
        </w:tc>
        <w:tc>
          <w:tcPr>
            <w:tcW w:w="919" w:type="dxa"/>
            <w:tcBorders>
              <w:top w:val="single" w:sz="4" w:space="0" w:color="auto"/>
              <w:bottom w:val="single" w:sz="4" w:space="0" w:color="auto"/>
            </w:tcBorders>
            <w:shd w:val="clear" w:color="auto" w:fill="auto"/>
            <w:noWrap/>
            <w:vAlign w:val="bottom"/>
            <w:hideMark/>
          </w:tcPr>
          <w:p w14:paraId="24EDB856"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n</w:t>
            </w:r>
            <w:r>
              <w:rPr>
                <w:rFonts w:ascii="Calibri" w:eastAsia="Times New Roman" w:hAnsi="Calibri" w:cs="Calibri"/>
                <w:i/>
                <w:iCs/>
                <w:color w:val="000000"/>
                <w:sz w:val="22"/>
                <w:szCs w:val="22"/>
                <w:vertAlign w:val="subscript"/>
              </w:rPr>
              <w:t>Rc</w:t>
            </w:r>
            <w:proofErr w:type="spellEnd"/>
          </w:p>
        </w:tc>
        <w:tc>
          <w:tcPr>
            <w:tcW w:w="1370" w:type="dxa"/>
            <w:tcBorders>
              <w:top w:val="single" w:sz="4" w:space="0" w:color="auto"/>
              <w:bottom w:val="single" w:sz="4" w:space="0" w:color="auto"/>
            </w:tcBorders>
            <w:shd w:val="clear" w:color="auto" w:fill="auto"/>
            <w:noWrap/>
            <w:vAlign w:val="bottom"/>
            <w:hideMark/>
          </w:tcPr>
          <w:p w14:paraId="4EC57D8E"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n</w:t>
            </w:r>
            <w:r>
              <w:rPr>
                <w:rFonts w:ascii="Calibri" w:eastAsia="Times New Roman" w:hAnsi="Calibri" w:cs="Calibri"/>
                <w:i/>
                <w:iCs/>
                <w:color w:val="000000"/>
                <w:sz w:val="22"/>
                <w:szCs w:val="22"/>
                <w:vertAlign w:val="subscript"/>
              </w:rPr>
              <w:t>Rs</w:t>
            </w:r>
            <w:proofErr w:type="spellEnd"/>
          </w:p>
        </w:tc>
      </w:tr>
      <w:tr w:rsidR="00480481" w:rsidRPr="004052B0" w14:paraId="0D362D58" w14:textId="77777777" w:rsidTr="00133254">
        <w:trPr>
          <w:trHeight w:val="290"/>
        </w:trPr>
        <w:tc>
          <w:tcPr>
            <w:tcW w:w="11100" w:type="dxa"/>
            <w:gridSpan w:val="8"/>
            <w:tcBorders>
              <w:top w:val="single" w:sz="4" w:space="0" w:color="auto"/>
            </w:tcBorders>
            <w:shd w:val="clear" w:color="auto" w:fill="auto"/>
            <w:noWrap/>
            <w:vAlign w:val="bottom"/>
          </w:tcPr>
          <w:p w14:paraId="6F5439B1" w14:textId="77777777" w:rsidR="00480481" w:rsidRDefault="00480481" w:rsidP="00480481">
            <w:pPr>
              <w:spacing w:after="0"/>
              <w:rPr>
                <w:rFonts w:ascii="Calibri" w:eastAsia="Times New Roman" w:hAnsi="Calibri" w:cs="Calibri"/>
                <w:i/>
                <w:iCs/>
                <w:color w:val="000000"/>
                <w:sz w:val="22"/>
                <w:szCs w:val="22"/>
              </w:rPr>
            </w:pPr>
            <w:r>
              <w:rPr>
                <w:rFonts w:ascii="Calibri" w:eastAsia="Times New Roman" w:hAnsi="Calibri" w:cs="Calibri"/>
                <w:b/>
                <w:bCs/>
                <w:color w:val="000000"/>
                <w:sz w:val="22"/>
                <w:szCs w:val="22"/>
              </w:rPr>
              <w:t>Dependent variables</w:t>
            </w:r>
          </w:p>
        </w:tc>
      </w:tr>
      <w:tr w:rsidR="00480481" w:rsidRPr="004052B0" w14:paraId="781ADF52" w14:textId="77777777" w:rsidTr="00133254">
        <w:trPr>
          <w:trHeight w:val="290"/>
        </w:trPr>
        <w:tc>
          <w:tcPr>
            <w:tcW w:w="1478" w:type="dxa"/>
            <w:shd w:val="clear" w:color="auto" w:fill="auto"/>
            <w:noWrap/>
            <w:vAlign w:val="bottom"/>
            <w:hideMark/>
          </w:tcPr>
          <w:p w14:paraId="72764E2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resistance</w:t>
            </w:r>
          </w:p>
        </w:tc>
        <w:tc>
          <w:tcPr>
            <w:tcW w:w="1498" w:type="dxa"/>
            <w:shd w:val="clear" w:color="auto" w:fill="auto"/>
            <w:noWrap/>
            <w:vAlign w:val="bottom"/>
            <w:hideMark/>
          </w:tcPr>
          <w:p w14:paraId="3FA01491"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Rt</w:t>
            </w:r>
          </w:p>
        </w:tc>
        <w:tc>
          <w:tcPr>
            <w:tcW w:w="843" w:type="dxa"/>
            <w:shd w:val="clear" w:color="auto" w:fill="auto"/>
            <w:noWrap/>
            <w:vAlign w:val="bottom"/>
            <w:hideMark/>
          </w:tcPr>
          <w:p w14:paraId="7B41CAB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260B296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basal area increment (BAI) during drought year to mean BAI of the 5 years prior. </w:t>
            </w:r>
          </w:p>
        </w:tc>
        <w:tc>
          <w:tcPr>
            <w:tcW w:w="994" w:type="dxa"/>
            <w:shd w:val="clear" w:color="auto" w:fill="auto"/>
            <w:noWrap/>
            <w:vAlign w:val="bottom"/>
            <w:hideMark/>
          </w:tcPr>
          <w:p w14:paraId="1540E4C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7595B09C"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1623</w:t>
            </w:r>
          </w:p>
        </w:tc>
        <w:tc>
          <w:tcPr>
            <w:tcW w:w="919" w:type="dxa"/>
            <w:shd w:val="clear" w:color="auto" w:fill="auto"/>
            <w:noWrap/>
            <w:vAlign w:val="bottom"/>
            <w:hideMark/>
          </w:tcPr>
          <w:p w14:paraId="0AA5365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7F22E0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7CF7F714" w14:textId="77777777" w:rsidTr="00133254">
        <w:trPr>
          <w:trHeight w:val="290"/>
        </w:trPr>
        <w:tc>
          <w:tcPr>
            <w:tcW w:w="1478" w:type="dxa"/>
            <w:shd w:val="clear" w:color="auto" w:fill="auto"/>
            <w:noWrap/>
            <w:vAlign w:val="bottom"/>
            <w:hideMark/>
          </w:tcPr>
          <w:p w14:paraId="39F65216" w14:textId="77777777" w:rsidR="00480481" w:rsidRPr="004052B0" w:rsidRDefault="00480481" w:rsidP="00480481">
            <w:pPr>
              <w:spacing w:after="0"/>
              <w:rPr>
                <w:rFonts w:ascii="Calibri" w:eastAsia="Times New Roman" w:hAnsi="Calibri" w:cs="Calibri"/>
                <w:color w:val="000000"/>
                <w:sz w:val="22"/>
                <w:szCs w:val="22"/>
              </w:rPr>
            </w:pPr>
          </w:p>
        </w:tc>
        <w:tc>
          <w:tcPr>
            <w:tcW w:w="1498" w:type="dxa"/>
            <w:shd w:val="clear" w:color="auto" w:fill="auto"/>
            <w:noWrap/>
            <w:vAlign w:val="bottom"/>
            <w:hideMark/>
          </w:tcPr>
          <w:p w14:paraId="39B7F53A"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Rt</w:t>
            </w:r>
            <w:r>
              <w:rPr>
                <w:rFonts w:ascii="Calibri" w:eastAsia="Times New Roman" w:hAnsi="Calibri" w:cs="Calibri"/>
                <w:i/>
                <w:iCs/>
                <w:color w:val="000000"/>
                <w:sz w:val="22"/>
                <w:szCs w:val="22"/>
                <w:vertAlign w:val="subscript"/>
              </w:rPr>
              <w:t>ARIMA</w:t>
            </w:r>
            <w:proofErr w:type="spellEnd"/>
          </w:p>
        </w:tc>
        <w:tc>
          <w:tcPr>
            <w:tcW w:w="843" w:type="dxa"/>
            <w:shd w:val="clear" w:color="auto" w:fill="auto"/>
            <w:noWrap/>
            <w:vAlign w:val="bottom"/>
            <w:hideMark/>
          </w:tcPr>
          <w:p w14:paraId="614786B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1008E43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BAI during drought year to BAI predicted by ARIMA model. </w:t>
            </w:r>
          </w:p>
        </w:tc>
        <w:tc>
          <w:tcPr>
            <w:tcW w:w="994" w:type="dxa"/>
            <w:shd w:val="clear" w:color="auto" w:fill="auto"/>
            <w:noWrap/>
            <w:vAlign w:val="bottom"/>
            <w:hideMark/>
          </w:tcPr>
          <w:p w14:paraId="4028E15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7B5A612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1654</w:t>
            </w:r>
          </w:p>
        </w:tc>
        <w:tc>
          <w:tcPr>
            <w:tcW w:w="919" w:type="dxa"/>
            <w:shd w:val="clear" w:color="auto" w:fill="auto"/>
            <w:noWrap/>
            <w:vAlign w:val="bottom"/>
            <w:hideMark/>
          </w:tcPr>
          <w:p w14:paraId="554E3A7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35258F5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0C3ACBF5" w14:textId="77777777" w:rsidTr="00133254">
        <w:trPr>
          <w:trHeight w:val="290"/>
        </w:trPr>
        <w:tc>
          <w:tcPr>
            <w:tcW w:w="1478" w:type="dxa"/>
            <w:shd w:val="clear" w:color="auto" w:fill="auto"/>
            <w:noWrap/>
            <w:vAlign w:val="bottom"/>
            <w:hideMark/>
          </w:tcPr>
          <w:p w14:paraId="4FCEC69B"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recovery</w:t>
            </w:r>
          </w:p>
        </w:tc>
        <w:tc>
          <w:tcPr>
            <w:tcW w:w="1498" w:type="dxa"/>
            <w:shd w:val="clear" w:color="auto" w:fill="auto"/>
            <w:noWrap/>
            <w:vAlign w:val="bottom"/>
            <w:hideMark/>
          </w:tcPr>
          <w:p w14:paraId="4AA60A64" w14:textId="77777777" w:rsidR="00480481" w:rsidRPr="004052B0" w:rsidRDefault="00480481" w:rsidP="00480481">
            <w:pPr>
              <w:spacing w:after="0"/>
              <w:rPr>
                <w:rFonts w:ascii="Calibri" w:eastAsia="Times New Roman" w:hAnsi="Calibri" w:cs="Calibri"/>
                <w:i/>
                <w:iCs/>
                <w:color w:val="000000"/>
                <w:sz w:val="22"/>
                <w:szCs w:val="22"/>
              </w:rPr>
            </w:pPr>
            <w:proofErr w:type="spellStart"/>
            <w:r>
              <w:rPr>
                <w:rFonts w:ascii="Calibri" w:eastAsia="Times New Roman" w:hAnsi="Calibri" w:cs="Calibri"/>
                <w:i/>
                <w:iCs/>
                <w:color w:val="000000"/>
                <w:sz w:val="22"/>
                <w:szCs w:val="22"/>
              </w:rPr>
              <w:t>Rc</w:t>
            </w:r>
            <w:proofErr w:type="spellEnd"/>
          </w:p>
        </w:tc>
        <w:tc>
          <w:tcPr>
            <w:tcW w:w="843" w:type="dxa"/>
            <w:shd w:val="clear" w:color="auto" w:fill="auto"/>
            <w:noWrap/>
            <w:vAlign w:val="bottom"/>
            <w:hideMark/>
          </w:tcPr>
          <w:p w14:paraId="5EE96F4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3C5DCAA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mean BAI for 5 years after drought to BAI during drought year. </w:t>
            </w:r>
          </w:p>
        </w:tc>
        <w:tc>
          <w:tcPr>
            <w:tcW w:w="994" w:type="dxa"/>
            <w:shd w:val="clear" w:color="auto" w:fill="auto"/>
            <w:noWrap/>
            <w:vAlign w:val="bottom"/>
            <w:hideMark/>
          </w:tcPr>
          <w:p w14:paraId="75356CA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1D95E45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1A6499F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1557</w:t>
            </w:r>
          </w:p>
        </w:tc>
        <w:tc>
          <w:tcPr>
            <w:tcW w:w="1370" w:type="dxa"/>
            <w:shd w:val="clear" w:color="auto" w:fill="auto"/>
            <w:noWrap/>
            <w:vAlign w:val="bottom"/>
            <w:hideMark/>
          </w:tcPr>
          <w:p w14:paraId="20738ED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610BF208" w14:textId="77777777" w:rsidTr="00133254">
        <w:trPr>
          <w:trHeight w:val="290"/>
        </w:trPr>
        <w:tc>
          <w:tcPr>
            <w:tcW w:w="1478" w:type="dxa"/>
            <w:shd w:val="clear" w:color="auto" w:fill="auto"/>
            <w:noWrap/>
            <w:vAlign w:val="bottom"/>
            <w:hideMark/>
          </w:tcPr>
          <w:p w14:paraId="46AF3C4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resilience</w:t>
            </w:r>
          </w:p>
        </w:tc>
        <w:tc>
          <w:tcPr>
            <w:tcW w:w="1498" w:type="dxa"/>
            <w:shd w:val="clear" w:color="auto" w:fill="auto"/>
            <w:noWrap/>
            <w:vAlign w:val="bottom"/>
            <w:hideMark/>
          </w:tcPr>
          <w:p w14:paraId="4BA8A4E5"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Rs</w:t>
            </w:r>
          </w:p>
        </w:tc>
        <w:tc>
          <w:tcPr>
            <w:tcW w:w="843" w:type="dxa"/>
            <w:shd w:val="clear" w:color="auto" w:fill="auto"/>
            <w:noWrap/>
            <w:vAlign w:val="bottom"/>
            <w:hideMark/>
          </w:tcPr>
          <w:p w14:paraId="1FCAC00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4034C5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mean BAI for 5 years after drought to mean BAI for 5 years before drought. </w:t>
            </w:r>
          </w:p>
        </w:tc>
        <w:tc>
          <w:tcPr>
            <w:tcW w:w="994" w:type="dxa"/>
            <w:shd w:val="clear" w:color="auto" w:fill="auto"/>
            <w:noWrap/>
            <w:vAlign w:val="bottom"/>
            <w:hideMark/>
          </w:tcPr>
          <w:p w14:paraId="4398D2B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58D9496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22E16C0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3CFA153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1570</w:t>
            </w:r>
          </w:p>
        </w:tc>
      </w:tr>
      <w:tr w:rsidR="00480481" w:rsidRPr="004052B0" w14:paraId="1C3B53D4" w14:textId="77777777" w:rsidTr="00133254">
        <w:trPr>
          <w:trHeight w:val="290"/>
        </w:trPr>
        <w:tc>
          <w:tcPr>
            <w:tcW w:w="11100" w:type="dxa"/>
            <w:gridSpan w:val="8"/>
            <w:shd w:val="clear" w:color="auto" w:fill="auto"/>
            <w:noWrap/>
            <w:vAlign w:val="bottom"/>
          </w:tcPr>
          <w:p w14:paraId="22511911"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b/>
                <w:bCs/>
                <w:color w:val="000000"/>
                <w:sz w:val="22"/>
                <w:szCs w:val="22"/>
              </w:rPr>
              <w:t>Independent variables</w:t>
            </w:r>
          </w:p>
        </w:tc>
      </w:tr>
      <w:tr w:rsidR="00480481" w:rsidRPr="004052B0" w14:paraId="3EBB4BE5" w14:textId="77777777" w:rsidTr="00133254">
        <w:trPr>
          <w:trHeight w:val="290"/>
        </w:trPr>
        <w:tc>
          <w:tcPr>
            <w:tcW w:w="1478" w:type="dxa"/>
            <w:shd w:val="clear" w:color="auto" w:fill="auto"/>
            <w:noWrap/>
            <w:vAlign w:val="bottom"/>
            <w:hideMark/>
          </w:tcPr>
          <w:p w14:paraId="2B0BBDC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drought year </w:t>
            </w:r>
          </w:p>
        </w:tc>
        <w:tc>
          <w:tcPr>
            <w:tcW w:w="1498" w:type="dxa"/>
            <w:shd w:val="clear" w:color="auto" w:fill="auto"/>
            <w:noWrap/>
            <w:vAlign w:val="bottom"/>
            <w:hideMark/>
          </w:tcPr>
          <w:p w14:paraId="7C7BC232"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Y</w:t>
            </w:r>
          </w:p>
        </w:tc>
        <w:tc>
          <w:tcPr>
            <w:tcW w:w="843" w:type="dxa"/>
            <w:shd w:val="clear" w:color="auto" w:fill="auto"/>
            <w:noWrap/>
            <w:vAlign w:val="bottom"/>
            <w:hideMark/>
          </w:tcPr>
          <w:p w14:paraId="32D5E8A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534A5B0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year of drought</w:t>
            </w:r>
          </w:p>
        </w:tc>
        <w:tc>
          <w:tcPr>
            <w:tcW w:w="994" w:type="dxa"/>
            <w:shd w:val="clear" w:color="auto" w:fill="auto"/>
            <w:noWrap/>
            <w:vAlign w:val="bottom"/>
            <w:hideMark/>
          </w:tcPr>
          <w:p w14:paraId="6693F78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1966</w:t>
            </w:r>
          </w:p>
        </w:tc>
        <w:tc>
          <w:tcPr>
            <w:tcW w:w="998" w:type="dxa"/>
            <w:shd w:val="clear" w:color="auto" w:fill="auto"/>
            <w:noWrap/>
            <w:vAlign w:val="bottom"/>
            <w:hideMark/>
          </w:tcPr>
          <w:p w14:paraId="558B24BF"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513</w:t>
            </w:r>
          </w:p>
        </w:tc>
        <w:tc>
          <w:tcPr>
            <w:tcW w:w="919" w:type="dxa"/>
            <w:shd w:val="clear" w:color="auto" w:fill="auto"/>
            <w:noWrap/>
            <w:vAlign w:val="bottom"/>
            <w:hideMark/>
          </w:tcPr>
          <w:p w14:paraId="560D8A27"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491</w:t>
            </w:r>
          </w:p>
        </w:tc>
        <w:tc>
          <w:tcPr>
            <w:tcW w:w="1370" w:type="dxa"/>
            <w:shd w:val="clear" w:color="auto" w:fill="auto"/>
            <w:noWrap/>
            <w:vAlign w:val="bottom"/>
            <w:hideMark/>
          </w:tcPr>
          <w:p w14:paraId="6079E10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495</w:t>
            </w:r>
          </w:p>
        </w:tc>
      </w:tr>
      <w:tr w:rsidR="00480481" w:rsidRPr="004052B0" w14:paraId="3D9C5186" w14:textId="77777777" w:rsidTr="00133254">
        <w:trPr>
          <w:trHeight w:val="290"/>
        </w:trPr>
        <w:tc>
          <w:tcPr>
            <w:tcW w:w="1478" w:type="dxa"/>
            <w:shd w:val="clear" w:color="auto" w:fill="auto"/>
            <w:noWrap/>
            <w:vAlign w:val="bottom"/>
            <w:hideMark/>
          </w:tcPr>
          <w:p w14:paraId="325B756C"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79B472EB"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1AA9948A"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76B42CA6"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7921D72F"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1977</w:t>
            </w:r>
          </w:p>
        </w:tc>
        <w:tc>
          <w:tcPr>
            <w:tcW w:w="998" w:type="dxa"/>
            <w:shd w:val="clear" w:color="auto" w:fill="auto"/>
            <w:noWrap/>
            <w:vAlign w:val="bottom"/>
            <w:hideMark/>
          </w:tcPr>
          <w:p w14:paraId="22492215"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543</w:t>
            </w:r>
          </w:p>
        </w:tc>
        <w:tc>
          <w:tcPr>
            <w:tcW w:w="919" w:type="dxa"/>
            <w:shd w:val="clear" w:color="auto" w:fill="auto"/>
            <w:noWrap/>
            <w:vAlign w:val="bottom"/>
            <w:hideMark/>
          </w:tcPr>
          <w:p w14:paraId="6AAD4AC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524</w:t>
            </w:r>
          </w:p>
        </w:tc>
        <w:tc>
          <w:tcPr>
            <w:tcW w:w="1370" w:type="dxa"/>
            <w:shd w:val="clear" w:color="auto" w:fill="auto"/>
            <w:noWrap/>
            <w:vAlign w:val="bottom"/>
            <w:hideMark/>
          </w:tcPr>
          <w:p w14:paraId="151ABB9E"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523</w:t>
            </w:r>
          </w:p>
        </w:tc>
      </w:tr>
      <w:tr w:rsidR="00480481" w:rsidRPr="004052B0" w14:paraId="5E61E782" w14:textId="77777777" w:rsidTr="00133254">
        <w:trPr>
          <w:trHeight w:val="290"/>
        </w:trPr>
        <w:tc>
          <w:tcPr>
            <w:tcW w:w="1478" w:type="dxa"/>
            <w:shd w:val="clear" w:color="auto" w:fill="auto"/>
            <w:noWrap/>
            <w:vAlign w:val="bottom"/>
            <w:hideMark/>
          </w:tcPr>
          <w:p w14:paraId="30F05334"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0EB4BD59"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46D0AF70"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4EE726B1"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14C42753"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1999</w:t>
            </w:r>
          </w:p>
        </w:tc>
        <w:tc>
          <w:tcPr>
            <w:tcW w:w="998" w:type="dxa"/>
            <w:shd w:val="clear" w:color="auto" w:fill="auto"/>
            <w:noWrap/>
            <w:vAlign w:val="bottom"/>
            <w:hideMark/>
          </w:tcPr>
          <w:p w14:paraId="44255885"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567</w:t>
            </w:r>
          </w:p>
        </w:tc>
        <w:tc>
          <w:tcPr>
            <w:tcW w:w="919" w:type="dxa"/>
            <w:shd w:val="clear" w:color="auto" w:fill="auto"/>
            <w:noWrap/>
            <w:vAlign w:val="bottom"/>
            <w:hideMark/>
          </w:tcPr>
          <w:p w14:paraId="67C1B716"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542</w:t>
            </w:r>
          </w:p>
        </w:tc>
        <w:tc>
          <w:tcPr>
            <w:tcW w:w="1370" w:type="dxa"/>
            <w:shd w:val="clear" w:color="auto" w:fill="auto"/>
            <w:noWrap/>
            <w:vAlign w:val="bottom"/>
            <w:hideMark/>
          </w:tcPr>
          <w:p w14:paraId="0D99BFD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552</w:t>
            </w:r>
          </w:p>
        </w:tc>
      </w:tr>
      <w:tr w:rsidR="00480481" w:rsidRPr="004052B0" w14:paraId="571C9982" w14:textId="77777777" w:rsidTr="00133254">
        <w:trPr>
          <w:trHeight w:val="290"/>
        </w:trPr>
        <w:tc>
          <w:tcPr>
            <w:tcW w:w="1478" w:type="dxa"/>
            <w:shd w:val="clear" w:color="auto" w:fill="auto"/>
            <w:noWrap/>
            <w:vAlign w:val="bottom"/>
            <w:hideMark/>
          </w:tcPr>
          <w:p w14:paraId="6CFB53D8"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height</w:t>
            </w:r>
          </w:p>
        </w:tc>
        <w:tc>
          <w:tcPr>
            <w:tcW w:w="1498" w:type="dxa"/>
            <w:shd w:val="clear" w:color="auto" w:fill="auto"/>
            <w:noWrap/>
            <w:vAlign w:val="bottom"/>
            <w:hideMark/>
          </w:tcPr>
          <w:p w14:paraId="00CC7BB6"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H</w:t>
            </w:r>
          </w:p>
        </w:tc>
        <w:tc>
          <w:tcPr>
            <w:tcW w:w="843" w:type="dxa"/>
            <w:shd w:val="clear" w:color="auto" w:fill="auto"/>
            <w:noWrap/>
            <w:vAlign w:val="bottom"/>
            <w:hideMark/>
          </w:tcPr>
          <w:p w14:paraId="3FB29A8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m</w:t>
            </w:r>
          </w:p>
        </w:tc>
        <w:tc>
          <w:tcPr>
            <w:tcW w:w="3000" w:type="dxa"/>
            <w:shd w:val="clear" w:color="auto" w:fill="auto"/>
            <w:noWrap/>
            <w:vAlign w:val="bottom"/>
            <w:hideMark/>
          </w:tcPr>
          <w:p w14:paraId="41DE393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estimated H in drought year</w:t>
            </w:r>
          </w:p>
        </w:tc>
        <w:tc>
          <w:tcPr>
            <w:tcW w:w="994" w:type="dxa"/>
            <w:shd w:val="clear" w:color="auto" w:fill="auto"/>
            <w:noWrap/>
            <w:vAlign w:val="bottom"/>
            <w:hideMark/>
          </w:tcPr>
          <w:p w14:paraId="05456C3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53562CA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2BFC3AB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0664765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37D0DA39" w14:textId="77777777" w:rsidTr="00133254">
        <w:trPr>
          <w:trHeight w:val="290"/>
        </w:trPr>
        <w:tc>
          <w:tcPr>
            <w:tcW w:w="1478" w:type="dxa"/>
            <w:shd w:val="clear" w:color="auto" w:fill="auto"/>
            <w:noWrap/>
            <w:vAlign w:val="bottom"/>
            <w:hideMark/>
          </w:tcPr>
          <w:p w14:paraId="7F39E90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topographic wetness index</w:t>
            </w:r>
          </w:p>
        </w:tc>
        <w:tc>
          <w:tcPr>
            <w:tcW w:w="1498" w:type="dxa"/>
            <w:shd w:val="clear" w:color="auto" w:fill="auto"/>
            <w:noWrap/>
            <w:vAlign w:val="bottom"/>
            <w:hideMark/>
          </w:tcPr>
          <w:p w14:paraId="6BAD21A8"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TWI</w:t>
            </w:r>
          </w:p>
        </w:tc>
        <w:tc>
          <w:tcPr>
            <w:tcW w:w="843" w:type="dxa"/>
            <w:shd w:val="clear" w:color="auto" w:fill="auto"/>
            <w:noWrap/>
            <w:vAlign w:val="bottom"/>
            <w:hideMark/>
          </w:tcPr>
          <w:p w14:paraId="6BF116C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1B02B32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steady-state wetness index based on slope and upstream contributing area</w:t>
            </w:r>
          </w:p>
        </w:tc>
        <w:tc>
          <w:tcPr>
            <w:tcW w:w="994" w:type="dxa"/>
            <w:shd w:val="clear" w:color="auto" w:fill="auto"/>
            <w:noWrap/>
            <w:vAlign w:val="bottom"/>
            <w:hideMark/>
          </w:tcPr>
          <w:p w14:paraId="51A0565B"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0F1DC3D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03EDEBD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597D527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46FFFDCD" w14:textId="77777777" w:rsidTr="00133254">
        <w:trPr>
          <w:trHeight w:val="290"/>
        </w:trPr>
        <w:tc>
          <w:tcPr>
            <w:tcW w:w="11100" w:type="dxa"/>
            <w:gridSpan w:val="8"/>
            <w:shd w:val="clear" w:color="auto" w:fill="auto"/>
            <w:noWrap/>
            <w:vAlign w:val="bottom"/>
          </w:tcPr>
          <w:p w14:paraId="62508B61"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i/>
                <w:iCs/>
                <w:color w:val="000000"/>
                <w:sz w:val="22"/>
                <w:szCs w:val="22"/>
              </w:rPr>
              <w:t>Species’ traits</w:t>
            </w:r>
          </w:p>
        </w:tc>
      </w:tr>
      <w:tr w:rsidR="00480481" w:rsidRPr="004052B0" w14:paraId="65A1A627" w14:textId="77777777" w:rsidTr="00133254">
        <w:trPr>
          <w:trHeight w:val="290"/>
        </w:trPr>
        <w:tc>
          <w:tcPr>
            <w:tcW w:w="1478" w:type="dxa"/>
            <w:shd w:val="clear" w:color="auto" w:fill="auto"/>
            <w:noWrap/>
            <w:vAlign w:val="bottom"/>
            <w:hideMark/>
          </w:tcPr>
          <w:p w14:paraId="65B87B1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wood density</w:t>
            </w:r>
          </w:p>
        </w:tc>
        <w:tc>
          <w:tcPr>
            <w:tcW w:w="1498" w:type="dxa"/>
            <w:shd w:val="clear" w:color="auto" w:fill="auto"/>
            <w:noWrap/>
            <w:vAlign w:val="bottom"/>
            <w:hideMark/>
          </w:tcPr>
          <w:p w14:paraId="7156DE1F"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WD</w:t>
            </w:r>
          </w:p>
        </w:tc>
        <w:tc>
          <w:tcPr>
            <w:tcW w:w="843" w:type="dxa"/>
            <w:shd w:val="clear" w:color="auto" w:fill="auto"/>
            <w:noWrap/>
            <w:vAlign w:val="bottom"/>
            <w:hideMark/>
          </w:tcPr>
          <w:p w14:paraId="2C943104" w14:textId="77777777" w:rsidR="00480481" w:rsidRPr="004052B0" w:rsidRDefault="00480481" w:rsidP="00480481">
            <w:pPr>
              <w:spacing w:after="0"/>
              <w:rPr>
                <w:rFonts w:ascii="Calibri" w:eastAsia="Times New Roman" w:hAnsi="Calibri" w:cs="Calibri"/>
                <w:color w:val="000000"/>
                <w:sz w:val="22"/>
                <w:szCs w:val="22"/>
                <w:vertAlign w:val="superscript"/>
              </w:rPr>
            </w:pPr>
            <w:r w:rsidRPr="004052B0">
              <w:rPr>
                <w:rFonts w:ascii="Calibri" w:eastAsia="Times New Roman" w:hAnsi="Calibri" w:cs="Calibri"/>
                <w:color w:val="000000"/>
                <w:sz w:val="22"/>
                <w:szCs w:val="22"/>
              </w:rPr>
              <w:t>g cm</w:t>
            </w:r>
            <w:r>
              <w:rPr>
                <w:rFonts w:ascii="Calibri" w:eastAsia="Times New Roman" w:hAnsi="Calibri" w:cs="Calibri"/>
                <w:color w:val="000000"/>
                <w:sz w:val="22"/>
                <w:szCs w:val="22"/>
                <w:vertAlign w:val="superscript"/>
              </w:rPr>
              <w:t>-3</w:t>
            </w:r>
          </w:p>
        </w:tc>
        <w:tc>
          <w:tcPr>
            <w:tcW w:w="3000" w:type="dxa"/>
            <w:shd w:val="clear" w:color="auto" w:fill="auto"/>
            <w:noWrap/>
            <w:vAlign w:val="bottom"/>
            <w:hideMark/>
          </w:tcPr>
          <w:p w14:paraId="4C2933B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dry mass of a unit volume of fresh wood</w:t>
            </w:r>
          </w:p>
        </w:tc>
        <w:tc>
          <w:tcPr>
            <w:tcW w:w="994" w:type="dxa"/>
            <w:shd w:val="clear" w:color="auto" w:fill="auto"/>
            <w:noWrap/>
            <w:vAlign w:val="bottom"/>
            <w:hideMark/>
          </w:tcPr>
          <w:p w14:paraId="63B164A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276EE92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64F2730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4432A2F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1CCA10A1" w14:textId="77777777" w:rsidTr="00133254">
        <w:trPr>
          <w:trHeight w:val="290"/>
        </w:trPr>
        <w:tc>
          <w:tcPr>
            <w:tcW w:w="1478" w:type="dxa"/>
            <w:shd w:val="clear" w:color="auto" w:fill="auto"/>
            <w:noWrap/>
            <w:vAlign w:val="bottom"/>
            <w:hideMark/>
          </w:tcPr>
          <w:p w14:paraId="057025A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leaf mass per area</w:t>
            </w:r>
          </w:p>
        </w:tc>
        <w:tc>
          <w:tcPr>
            <w:tcW w:w="1498" w:type="dxa"/>
            <w:shd w:val="clear" w:color="auto" w:fill="auto"/>
            <w:noWrap/>
            <w:vAlign w:val="bottom"/>
            <w:hideMark/>
          </w:tcPr>
          <w:p w14:paraId="3A601D7A"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LMA</w:t>
            </w:r>
          </w:p>
        </w:tc>
        <w:tc>
          <w:tcPr>
            <w:tcW w:w="843" w:type="dxa"/>
            <w:shd w:val="clear" w:color="auto" w:fill="auto"/>
            <w:noWrap/>
            <w:vAlign w:val="bottom"/>
            <w:hideMark/>
          </w:tcPr>
          <w:p w14:paraId="1457AD8F" w14:textId="77777777" w:rsidR="00480481" w:rsidRPr="004052B0" w:rsidRDefault="00480481" w:rsidP="00480481">
            <w:pPr>
              <w:spacing w:after="0"/>
              <w:rPr>
                <w:rFonts w:ascii="Calibri" w:eastAsia="Times New Roman" w:hAnsi="Calibri" w:cs="Calibri"/>
                <w:color w:val="000000"/>
                <w:sz w:val="22"/>
                <w:szCs w:val="22"/>
                <w:vertAlign w:val="superscript"/>
              </w:rPr>
            </w:pPr>
            <w:r w:rsidRPr="004052B0">
              <w:rPr>
                <w:rFonts w:ascii="Calibri" w:eastAsia="Times New Roman" w:hAnsi="Calibri" w:cs="Calibri"/>
                <w:color w:val="000000"/>
                <w:sz w:val="22"/>
                <w:szCs w:val="22"/>
              </w:rPr>
              <w:t>kg m</w:t>
            </w:r>
            <w:r>
              <w:rPr>
                <w:rFonts w:ascii="Calibri" w:eastAsia="Times New Roman" w:hAnsi="Calibri" w:cs="Calibri"/>
                <w:color w:val="000000"/>
                <w:sz w:val="22"/>
                <w:szCs w:val="22"/>
                <w:vertAlign w:val="superscript"/>
              </w:rPr>
              <w:t>-2</w:t>
            </w:r>
          </w:p>
        </w:tc>
        <w:tc>
          <w:tcPr>
            <w:tcW w:w="3000" w:type="dxa"/>
            <w:shd w:val="clear" w:color="auto" w:fill="auto"/>
            <w:noWrap/>
            <w:vAlign w:val="bottom"/>
            <w:hideMark/>
          </w:tcPr>
          <w:p w14:paraId="02AA116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ratio of leaf dry mass to fresh leaf area</w:t>
            </w:r>
          </w:p>
        </w:tc>
        <w:tc>
          <w:tcPr>
            <w:tcW w:w="994" w:type="dxa"/>
            <w:shd w:val="clear" w:color="auto" w:fill="auto"/>
            <w:noWrap/>
            <w:vAlign w:val="bottom"/>
            <w:hideMark/>
          </w:tcPr>
          <w:p w14:paraId="516B719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21F0A1E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277F8CF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63505B4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71DC0AA4" w14:textId="77777777" w:rsidTr="00133254">
        <w:trPr>
          <w:trHeight w:val="290"/>
        </w:trPr>
        <w:tc>
          <w:tcPr>
            <w:tcW w:w="2976" w:type="dxa"/>
            <w:gridSpan w:val="2"/>
            <w:shd w:val="clear" w:color="auto" w:fill="auto"/>
            <w:noWrap/>
            <w:vAlign w:val="bottom"/>
            <w:hideMark/>
          </w:tcPr>
          <w:p w14:paraId="0EECAA9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xylem porosity</w:t>
            </w:r>
          </w:p>
        </w:tc>
        <w:tc>
          <w:tcPr>
            <w:tcW w:w="843" w:type="dxa"/>
            <w:shd w:val="clear" w:color="auto" w:fill="auto"/>
            <w:noWrap/>
            <w:vAlign w:val="bottom"/>
            <w:hideMark/>
          </w:tcPr>
          <w:p w14:paraId="2858010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532C0B2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vessel arrangement in xylem</w:t>
            </w:r>
          </w:p>
        </w:tc>
        <w:tc>
          <w:tcPr>
            <w:tcW w:w="994" w:type="dxa"/>
            <w:shd w:val="clear" w:color="auto" w:fill="auto"/>
            <w:noWrap/>
            <w:vAlign w:val="bottom"/>
            <w:hideMark/>
          </w:tcPr>
          <w:p w14:paraId="5BB5F94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ring (R) </w:t>
            </w:r>
          </w:p>
        </w:tc>
        <w:tc>
          <w:tcPr>
            <w:tcW w:w="998" w:type="dxa"/>
            <w:shd w:val="clear" w:color="auto" w:fill="auto"/>
            <w:noWrap/>
            <w:vAlign w:val="bottom"/>
            <w:hideMark/>
          </w:tcPr>
          <w:p w14:paraId="6F2894D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1106</w:t>
            </w:r>
          </w:p>
        </w:tc>
        <w:tc>
          <w:tcPr>
            <w:tcW w:w="919" w:type="dxa"/>
            <w:shd w:val="clear" w:color="auto" w:fill="auto"/>
            <w:noWrap/>
            <w:vAlign w:val="bottom"/>
            <w:hideMark/>
          </w:tcPr>
          <w:p w14:paraId="02E2247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1079</w:t>
            </w:r>
          </w:p>
        </w:tc>
        <w:tc>
          <w:tcPr>
            <w:tcW w:w="1370" w:type="dxa"/>
            <w:shd w:val="clear" w:color="auto" w:fill="auto"/>
            <w:noWrap/>
            <w:vAlign w:val="bottom"/>
            <w:hideMark/>
          </w:tcPr>
          <w:p w14:paraId="389CC91C"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1088</w:t>
            </w:r>
          </w:p>
        </w:tc>
      </w:tr>
      <w:tr w:rsidR="00480481" w:rsidRPr="004052B0" w14:paraId="687A1AA9" w14:textId="77777777" w:rsidTr="00133254">
        <w:trPr>
          <w:trHeight w:val="290"/>
        </w:trPr>
        <w:tc>
          <w:tcPr>
            <w:tcW w:w="1478" w:type="dxa"/>
            <w:shd w:val="clear" w:color="auto" w:fill="auto"/>
            <w:noWrap/>
            <w:vAlign w:val="bottom"/>
            <w:hideMark/>
          </w:tcPr>
          <w:p w14:paraId="219133C2"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5A7B6ED2"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4C5743DB"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4AD31308"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1E8DF80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semi-ring (SR)</w:t>
            </w:r>
          </w:p>
        </w:tc>
        <w:tc>
          <w:tcPr>
            <w:tcW w:w="998" w:type="dxa"/>
            <w:shd w:val="clear" w:color="auto" w:fill="auto"/>
            <w:noWrap/>
            <w:vAlign w:val="bottom"/>
            <w:hideMark/>
          </w:tcPr>
          <w:p w14:paraId="477090B0"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81</w:t>
            </w:r>
          </w:p>
        </w:tc>
        <w:tc>
          <w:tcPr>
            <w:tcW w:w="919" w:type="dxa"/>
            <w:shd w:val="clear" w:color="auto" w:fill="auto"/>
            <w:noWrap/>
            <w:vAlign w:val="bottom"/>
            <w:hideMark/>
          </w:tcPr>
          <w:p w14:paraId="446B849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73</w:t>
            </w:r>
          </w:p>
        </w:tc>
        <w:tc>
          <w:tcPr>
            <w:tcW w:w="1370" w:type="dxa"/>
            <w:shd w:val="clear" w:color="auto" w:fill="auto"/>
            <w:noWrap/>
            <w:vAlign w:val="bottom"/>
            <w:hideMark/>
          </w:tcPr>
          <w:p w14:paraId="6BCB11E3"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78</w:t>
            </w:r>
          </w:p>
        </w:tc>
      </w:tr>
      <w:tr w:rsidR="00480481" w:rsidRPr="004052B0" w14:paraId="3448E739" w14:textId="77777777" w:rsidTr="00133254">
        <w:trPr>
          <w:trHeight w:val="290"/>
        </w:trPr>
        <w:tc>
          <w:tcPr>
            <w:tcW w:w="1478" w:type="dxa"/>
            <w:shd w:val="clear" w:color="auto" w:fill="auto"/>
            <w:noWrap/>
            <w:vAlign w:val="bottom"/>
            <w:hideMark/>
          </w:tcPr>
          <w:p w14:paraId="2F5DC67F"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3B94CEB4"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56CA9DB1"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36106206"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2D8D480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diffuse (D)</w:t>
            </w:r>
          </w:p>
        </w:tc>
        <w:tc>
          <w:tcPr>
            <w:tcW w:w="998" w:type="dxa"/>
            <w:shd w:val="clear" w:color="auto" w:fill="auto"/>
            <w:noWrap/>
            <w:vAlign w:val="bottom"/>
            <w:hideMark/>
          </w:tcPr>
          <w:p w14:paraId="20116287"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436</w:t>
            </w:r>
          </w:p>
        </w:tc>
        <w:tc>
          <w:tcPr>
            <w:tcW w:w="919" w:type="dxa"/>
            <w:shd w:val="clear" w:color="auto" w:fill="auto"/>
            <w:noWrap/>
            <w:vAlign w:val="bottom"/>
            <w:hideMark/>
          </w:tcPr>
          <w:p w14:paraId="55FDA60A"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405</w:t>
            </w:r>
          </w:p>
        </w:tc>
        <w:tc>
          <w:tcPr>
            <w:tcW w:w="1370" w:type="dxa"/>
            <w:shd w:val="clear" w:color="auto" w:fill="auto"/>
            <w:noWrap/>
            <w:vAlign w:val="bottom"/>
            <w:hideMark/>
          </w:tcPr>
          <w:p w14:paraId="7ED7B50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404</w:t>
            </w:r>
          </w:p>
        </w:tc>
      </w:tr>
      <w:tr w:rsidR="00480481" w:rsidRPr="004052B0" w14:paraId="4F077AE3" w14:textId="77777777" w:rsidTr="00133254">
        <w:trPr>
          <w:trHeight w:val="290"/>
        </w:trPr>
        <w:tc>
          <w:tcPr>
            <w:tcW w:w="1478" w:type="dxa"/>
            <w:shd w:val="clear" w:color="auto" w:fill="auto"/>
            <w:noWrap/>
            <w:vAlign w:val="bottom"/>
            <w:hideMark/>
          </w:tcPr>
          <w:p w14:paraId="6BDB3E2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turgor loss point</w:t>
            </w:r>
          </w:p>
        </w:tc>
        <w:tc>
          <w:tcPr>
            <w:tcW w:w="1498" w:type="dxa"/>
            <w:shd w:val="clear" w:color="auto" w:fill="auto"/>
            <w:noWrap/>
            <w:vAlign w:val="bottom"/>
            <w:hideMark/>
          </w:tcPr>
          <w:p w14:paraId="54EC9D89" w14:textId="1050A100" w:rsidR="00480481" w:rsidRPr="004052B0" w:rsidRDefault="00B25CD5" w:rsidP="00480481">
            <w:pPr>
              <w:spacing w:after="0"/>
              <w:rPr>
                <w:rFonts w:ascii="Calibri" w:eastAsia="Times New Roman" w:hAnsi="Calibri" w:cs="Calibri"/>
                <w:i/>
                <w:iCs/>
                <w:color w:val="000000"/>
                <w:sz w:val="22"/>
                <w:szCs w:val="22"/>
                <w:vertAlign w:val="subscript"/>
              </w:rPr>
            </w:pPr>
            <m:oMathPara>
              <m:oMath>
                <m:sSub>
                  <m:sSubPr>
                    <m:ctrlPr>
                      <w:rPr>
                        <w:rFonts w:ascii="Cambria Math" w:hAnsi="Cambria Math"/>
                      </w:rPr>
                    </m:ctrlPr>
                  </m:sSubPr>
                  <m:e>
                    <m:r>
                      <w:rPr>
                        <w:rFonts w:ascii="Cambria Math" w:hAnsi="Cambria Math"/>
                      </w:rPr>
                      <m:t>π</m:t>
                    </m:r>
                  </m:e>
                  <m:sub>
                    <m:r>
                      <w:rPr>
                        <w:rFonts w:ascii="Cambria Math" w:hAnsi="Cambria Math"/>
                      </w:rPr>
                      <m:t>tlp</m:t>
                    </m:r>
                  </m:sub>
                </m:sSub>
              </m:oMath>
            </m:oMathPara>
          </w:p>
        </w:tc>
        <w:tc>
          <w:tcPr>
            <w:tcW w:w="843" w:type="dxa"/>
            <w:shd w:val="clear" w:color="auto" w:fill="auto"/>
            <w:noWrap/>
            <w:vAlign w:val="bottom"/>
            <w:hideMark/>
          </w:tcPr>
          <w:p w14:paraId="1464675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MPa</w:t>
            </w:r>
          </w:p>
        </w:tc>
        <w:tc>
          <w:tcPr>
            <w:tcW w:w="3000" w:type="dxa"/>
            <w:shd w:val="clear" w:color="auto" w:fill="auto"/>
            <w:noWrap/>
            <w:vAlign w:val="bottom"/>
            <w:hideMark/>
          </w:tcPr>
          <w:p w14:paraId="6ADC3A08"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water potential at which leaves wilt</w:t>
            </w:r>
          </w:p>
        </w:tc>
        <w:tc>
          <w:tcPr>
            <w:tcW w:w="994" w:type="dxa"/>
            <w:shd w:val="clear" w:color="auto" w:fill="auto"/>
            <w:noWrap/>
            <w:vAlign w:val="bottom"/>
            <w:hideMark/>
          </w:tcPr>
          <w:p w14:paraId="1DAB3A2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4CE367C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4B11F7B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0B58217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5BC5ACFD" w14:textId="77777777" w:rsidTr="00133254">
        <w:trPr>
          <w:trHeight w:val="290"/>
        </w:trPr>
        <w:tc>
          <w:tcPr>
            <w:tcW w:w="1478" w:type="dxa"/>
            <w:shd w:val="clear" w:color="auto" w:fill="auto"/>
            <w:noWrap/>
            <w:vAlign w:val="bottom"/>
            <w:hideMark/>
          </w:tcPr>
          <w:p w14:paraId="6D022EF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percent loss area</w:t>
            </w:r>
          </w:p>
        </w:tc>
        <w:tc>
          <w:tcPr>
            <w:tcW w:w="1498" w:type="dxa"/>
            <w:shd w:val="clear" w:color="auto" w:fill="auto"/>
            <w:noWrap/>
            <w:vAlign w:val="bottom"/>
            <w:hideMark/>
          </w:tcPr>
          <w:p w14:paraId="07D03457"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PLA</w:t>
            </w:r>
            <w:r>
              <w:rPr>
                <w:rFonts w:ascii="Calibri" w:eastAsia="Times New Roman" w:hAnsi="Calibri" w:cs="Calibri"/>
                <w:i/>
                <w:iCs/>
                <w:color w:val="000000"/>
                <w:sz w:val="22"/>
                <w:szCs w:val="22"/>
                <w:vertAlign w:val="subscript"/>
              </w:rPr>
              <w:t>dry</w:t>
            </w:r>
            <w:proofErr w:type="spellEnd"/>
          </w:p>
        </w:tc>
        <w:tc>
          <w:tcPr>
            <w:tcW w:w="843" w:type="dxa"/>
            <w:shd w:val="clear" w:color="auto" w:fill="auto"/>
            <w:noWrap/>
            <w:vAlign w:val="bottom"/>
            <w:hideMark/>
          </w:tcPr>
          <w:p w14:paraId="59749E15"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3000" w:type="dxa"/>
            <w:shd w:val="clear" w:color="auto" w:fill="auto"/>
            <w:noWrap/>
            <w:vAlign w:val="bottom"/>
            <w:hideMark/>
          </w:tcPr>
          <w:p w14:paraId="69E1797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percent loss of leaf area upon </w:t>
            </w:r>
            <w:proofErr w:type="spellStart"/>
            <w:r w:rsidRPr="004052B0">
              <w:rPr>
                <w:rFonts w:ascii="Calibri" w:eastAsia="Times New Roman" w:hAnsi="Calibri" w:cs="Calibri"/>
                <w:color w:val="000000"/>
                <w:sz w:val="22"/>
                <w:szCs w:val="22"/>
              </w:rPr>
              <w:t>dessication</w:t>
            </w:r>
            <w:proofErr w:type="spellEnd"/>
          </w:p>
        </w:tc>
        <w:tc>
          <w:tcPr>
            <w:tcW w:w="994" w:type="dxa"/>
            <w:shd w:val="clear" w:color="auto" w:fill="auto"/>
            <w:noWrap/>
            <w:vAlign w:val="bottom"/>
            <w:hideMark/>
          </w:tcPr>
          <w:p w14:paraId="09FDFBB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6FAF40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31599D1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55EC0D4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bl>
    <w:p w14:paraId="03BA06E0" w14:textId="77777777" w:rsidR="00480481" w:rsidRPr="00480481" w:rsidRDefault="00480481" w:rsidP="00480481">
      <w:pPr>
        <w:pStyle w:val="BodyText"/>
        <w:spacing w:before="1"/>
        <w:rPr>
          <w:rFonts w:asciiTheme="majorHAnsi" w:hAnsiTheme="majorHAnsi" w:cstheme="majorHAnsi"/>
          <w:i/>
          <w:szCs w:val="32"/>
        </w:rPr>
      </w:pPr>
    </w:p>
    <w:p w14:paraId="74F81C9B" w14:textId="2980AC80" w:rsidR="00D64B2B" w:rsidRDefault="00D64B2B" w:rsidP="00D64B2B">
      <w:pPr>
        <w:pStyle w:val="BodyText"/>
        <w:spacing w:line="266" w:lineRule="auto"/>
        <w:ind w:left="134" w:firstLine="5"/>
      </w:pPr>
      <w:r>
        <w:t>Sample</w:t>
      </w:r>
      <w:r>
        <w:rPr>
          <w:spacing w:val="-16"/>
        </w:rPr>
        <w:t xml:space="preserve"> </w:t>
      </w:r>
      <w:r>
        <w:t>sizes</w:t>
      </w:r>
      <w:r>
        <w:rPr>
          <w:spacing w:val="-15"/>
        </w:rPr>
        <w:t xml:space="preserve"> </w:t>
      </w:r>
      <w:r>
        <w:t>are</w:t>
      </w:r>
      <w:r>
        <w:rPr>
          <w:spacing w:val="-15"/>
        </w:rPr>
        <w:t xml:space="preserve"> </w:t>
      </w:r>
      <w:r>
        <w:t>after</w:t>
      </w:r>
      <w:r>
        <w:rPr>
          <w:spacing w:val="-15"/>
        </w:rPr>
        <w:t xml:space="preserve"> </w:t>
      </w:r>
      <w:r>
        <w:t>removal</w:t>
      </w:r>
      <w:r>
        <w:rPr>
          <w:spacing w:val="-15"/>
        </w:rPr>
        <w:t xml:space="preserve"> </w:t>
      </w:r>
      <w:r>
        <w:t>of</w:t>
      </w:r>
      <w:r>
        <w:rPr>
          <w:spacing w:val="-15"/>
        </w:rPr>
        <w:t xml:space="preserve"> </w:t>
      </w:r>
      <w:r>
        <w:t>outliers.</w:t>
      </w:r>
      <w:r>
        <w:rPr>
          <w:spacing w:val="-3"/>
        </w:rPr>
        <w:t xml:space="preserve"> </w:t>
      </w:r>
      <w:r>
        <w:t>Dashes</w:t>
      </w:r>
      <w:r>
        <w:rPr>
          <w:spacing w:val="-15"/>
        </w:rPr>
        <w:t xml:space="preserve"> </w:t>
      </w:r>
      <w:r>
        <w:t>for</w:t>
      </w:r>
      <w:r>
        <w:rPr>
          <w:spacing w:val="-15"/>
        </w:rPr>
        <w:t xml:space="preserve"> </w:t>
      </w:r>
      <w:r>
        <w:t>sample</w:t>
      </w:r>
      <w:r>
        <w:rPr>
          <w:spacing w:val="-15"/>
        </w:rPr>
        <w:t xml:space="preserve"> </w:t>
      </w:r>
      <w:r>
        <w:t>sizes</w:t>
      </w:r>
      <w:r>
        <w:rPr>
          <w:spacing w:val="-15"/>
        </w:rPr>
        <w:t xml:space="preserve"> </w:t>
      </w:r>
      <w:r>
        <w:t>of</w:t>
      </w:r>
      <w:r>
        <w:rPr>
          <w:spacing w:val="-15"/>
        </w:rPr>
        <w:t xml:space="preserve"> </w:t>
      </w:r>
      <w:r>
        <w:t>independent</w:t>
      </w:r>
      <w:r>
        <w:rPr>
          <w:spacing w:val="-16"/>
        </w:rPr>
        <w:t xml:space="preserve"> </w:t>
      </w:r>
      <w:r>
        <w:t>variables</w:t>
      </w:r>
      <w:r>
        <w:rPr>
          <w:spacing w:val="-15"/>
        </w:rPr>
        <w:t xml:space="preserve"> </w:t>
      </w:r>
      <w:r>
        <w:t>indicate</w:t>
      </w:r>
      <w:r>
        <w:rPr>
          <w:spacing w:val="-15"/>
        </w:rPr>
        <w:t xml:space="preserve"> </w:t>
      </w:r>
      <w:r>
        <w:t>that</w:t>
      </w:r>
      <w:r>
        <w:rPr>
          <w:spacing w:val="-15"/>
        </w:rPr>
        <w:t xml:space="preserve"> </w:t>
      </w:r>
      <w:r>
        <w:t>the variable was available for all records. Xylem porosity sample sizes are sums across all drought</w:t>
      </w:r>
      <w:r>
        <w:rPr>
          <w:spacing w:val="-1"/>
        </w:rPr>
        <w:t xml:space="preserve"> </w:t>
      </w:r>
      <w:r>
        <w:t>years.</w:t>
      </w:r>
    </w:p>
    <w:p w14:paraId="6D6E59EC" w14:textId="77777777" w:rsidR="00D64B2B" w:rsidRDefault="00D64B2B" w:rsidP="00D64B2B">
      <w:pPr>
        <w:pStyle w:val="BodyText"/>
        <w:spacing w:before="119"/>
        <w:ind w:left="110"/>
      </w:pPr>
      <w:r>
        <w:t>*Sample</w:t>
      </w:r>
      <w:r>
        <w:rPr>
          <w:spacing w:val="-7"/>
        </w:rPr>
        <w:t xml:space="preserve"> </w:t>
      </w:r>
      <w:r>
        <w:t>sizes</w:t>
      </w:r>
      <w:r>
        <w:rPr>
          <w:spacing w:val="-7"/>
        </w:rPr>
        <w:t xml:space="preserve"> </w:t>
      </w:r>
      <w:r>
        <w:t>of</w:t>
      </w:r>
      <w:r>
        <w:rPr>
          <w:spacing w:val="-7"/>
        </w:rPr>
        <w:t xml:space="preserve"> </w:t>
      </w:r>
      <w:r>
        <w:t>independent</w:t>
      </w:r>
      <w:r>
        <w:rPr>
          <w:spacing w:val="-7"/>
        </w:rPr>
        <w:t xml:space="preserve"> </w:t>
      </w:r>
      <w:r>
        <w:t>variables</w:t>
      </w:r>
      <w:r>
        <w:rPr>
          <w:spacing w:val="-7"/>
        </w:rPr>
        <w:t xml:space="preserve"> </w:t>
      </w:r>
      <w:r>
        <w:t>refer</w:t>
      </w:r>
      <w:r>
        <w:rPr>
          <w:spacing w:val="-7"/>
        </w:rPr>
        <w:t xml:space="preserve"> </w:t>
      </w:r>
      <w:r>
        <w:t>to</w:t>
      </w:r>
      <w:r>
        <w:rPr>
          <w:spacing w:val="-7"/>
        </w:rPr>
        <w:t xml:space="preserve"> </w:t>
      </w:r>
      <w:r>
        <w:t>the</w:t>
      </w:r>
      <w:r>
        <w:rPr>
          <w:spacing w:val="-7"/>
        </w:rPr>
        <w:t xml:space="preserve"> </w:t>
      </w:r>
      <w:r>
        <w:rPr>
          <w:rFonts w:ascii="Georgia"/>
          <w:i/>
        </w:rPr>
        <w:t>Rt</w:t>
      </w:r>
      <w:r>
        <w:rPr>
          <w:rFonts w:ascii="Georgia"/>
          <w:i/>
          <w:spacing w:val="-5"/>
        </w:rPr>
        <w:t xml:space="preserve"> </w:t>
      </w:r>
      <w:r>
        <w:t>model.</w:t>
      </w:r>
    </w:p>
    <w:p w14:paraId="3D7C9710" w14:textId="77777777" w:rsidR="00D64B2B" w:rsidRDefault="00D64B2B" w:rsidP="00D64B2B">
      <w:pPr>
        <w:sectPr w:rsidR="00D64B2B">
          <w:type w:val="continuous"/>
          <w:pgSz w:w="12240" w:h="15840"/>
          <w:pgMar w:top="1140" w:right="1300" w:bottom="280" w:left="1300" w:header="720" w:footer="720" w:gutter="0"/>
          <w:cols w:space="720"/>
        </w:sectPr>
      </w:pPr>
    </w:p>
    <w:p w14:paraId="6FBC230A" w14:textId="77777777" w:rsidR="00D64B2B" w:rsidRDefault="00D64B2B" w:rsidP="00D64B2B">
      <w:pPr>
        <w:spacing w:before="89"/>
        <w:ind w:left="140"/>
        <w:rPr>
          <w:b/>
          <w:sz w:val="20"/>
        </w:rPr>
      </w:pPr>
      <w:bookmarkStart w:id="120" w:name="Figure_Legends"/>
      <w:bookmarkEnd w:id="120"/>
      <w:r>
        <w:rPr>
          <w:b/>
          <w:w w:val="110"/>
          <w:sz w:val="20"/>
        </w:rPr>
        <w:lastRenderedPageBreak/>
        <w:t>Figure</w:t>
      </w:r>
      <w:r>
        <w:rPr>
          <w:b/>
          <w:spacing w:val="-25"/>
          <w:w w:val="110"/>
          <w:sz w:val="20"/>
        </w:rPr>
        <w:t xml:space="preserve"> </w:t>
      </w:r>
      <w:r>
        <w:rPr>
          <w:b/>
          <w:w w:val="110"/>
          <w:sz w:val="20"/>
        </w:rPr>
        <w:t>Legends</w:t>
      </w:r>
    </w:p>
    <w:p w14:paraId="1F993BDC" w14:textId="7BF62DD6" w:rsidR="00D64B2B" w:rsidRPr="00D64B2B" w:rsidRDefault="00D64B2B" w:rsidP="00D64B2B">
      <w:pPr>
        <w:spacing w:before="158" w:line="266" w:lineRule="auto"/>
        <w:ind w:left="132" w:right="99" w:firstLine="7"/>
        <w:rPr>
          <w:szCs w:val="32"/>
        </w:rPr>
      </w:pPr>
      <w:r w:rsidRPr="00D64B2B">
        <w:rPr>
          <w:b/>
          <w:szCs w:val="32"/>
        </w:rPr>
        <w:t xml:space="preserve">Figure 1. Climate and species-level growth responses over our study period, highlighting the three focal </w:t>
      </w:r>
      <w:r w:rsidR="00133254" w:rsidRPr="00D64B2B">
        <w:rPr>
          <w:b/>
          <w:szCs w:val="32"/>
        </w:rPr>
        <w:t>droughts</w:t>
      </w:r>
      <w:r w:rsidRPr="00D64B2B">
        <w:rPr>
          <w:b/>
          <w:szCs w:val="32"/>
        </w:rPr>
        <w:t xml:space="preserve"> (a) and community-wide growth resistance, </w:t>
      </w:r>
      <w:r w:rsidRPr="00D64B2B">
        <w:rPr>
          <w:rFonts w:ascii="Georgia"/>
          <w:i/>
          <w:szCs w:val="32"/>
        </w:rPr>
        <w:t xml:space="preserve">Rt </w:t>
      </w:r>
      <w:r w:rsidRPr="00D64B2B">
        <w:rPr>
          <w:b/>
          <w:szCs w:val="32"/>
        </w:rPr>
        <w:t xml:space="preserve">(b), and resilience, </w:t>
      </w:r>
      <w:r w:rsidRPr="00D64B2B">
        <w:rPr>
          <w:rFonts w:ascii="Georgia"/>
          <w:i/>
          <w:szCs w:val="32"/>
        </w:rPr>
        <w:t xml:space="preserve">Rs </w:t>
      </w:r>
      <w:r w:rsidRPr="00D64B2B">
        <w:rPr>
          <w:b/>
          <w:szCs w:val="32"/>
        </w:rPr>
        <w:t xml:space="preserve">(c). </w:t>
      </w:r>
      <w:r w:rsidRPr="00D64B2B">
        <w:rPr>
          <w:szCs w:val="32"/>
        </w:rPr>
        <w:t>Time</w:t>
      </w:r>
      <w:r w:rsidRPr="00D64B2B">
        <w:rPr>
          <w:spacing w:val="-14"/>
          <w:szCs w:val="32"/>
        </w:rPr>
        <w:t xml:space="preserve"> </w:t>
      </w:r>
      <w:r w:rsidRPr="00D64B2B">
        <w:rPr>
          <w:szCs w:val="32"/>
        </w:rPr>
        <w:t>series</w:t>
      </w:r>
      <w:r w:rsidRPr="00D64B2B">
        <w:rPr>
          <w:spacing w:val="-14"/>
          <w:szCs w:val="32"/>
        </w:rPr>
        <w:t xml:space="preserve"> </w:t>
      </w:r>
      <w:r w:rsidRPr="00D64B2B">
        <w:rPr>
          <w:szCs w:val="32"/>
        </w:rPr>
        <w:t>plot</w:t>
      </w:r>
      <w:r w:rsidRPr="00D64B2B">
        <w:rPr>
          <w:spacing w:val="-14"/>
          <w:szCs w:val="32"/>
        </w:rPr>
        <w:t xml:space="preserve"> </w:t>
      </w:r>
      <w:r w:rsidRPr="00D64B2B">
        <w:rPr>
          <w:szCs w:val="32"/>
        </w:rPr>
        <w:t>(a)</w:t>
      </w:r>
      <w:r w:rsidRPr="00D64B2B">
        <w:rPr>
          <w:spacing w:val="-13"/>
          <w:szCs w:val="32"/>
        </w:rPr>
        <w:t xml:space="preserve"> </w:t>
      </w:r>
      <w:r w:rsidRPr="00D64B2B">
        <w:rPr>
          <w:szCs w:val="32"/>
        </w:rPr>
        <w:t>shows</w:t>
      </w:r>
      <w:r w:rsidRPr="00D64B2B">
        <w:rPr>
          <w:spacing w:val="-14"/>
          <w:szCs w:val="32"/>
        </w:rPr>
        <w:t xml:space="preserve"> </w:t>
      </w:r>
      <w:r w:rsidRPr="00D64B2B">
        <w:rPr>
          <w:szCs w:val="32"/>
        </w:rPr>
        <w:t>peak</w:t>
      </w:r>
      <w:r w:rsidRPr="00D64B2B">
        <w:rPr>
          <w:spacing w:val="-14"/>
          <w:szCs w:val="32"/>
        </w:rPr>
        <w:t xml:space="preserve"> </w:t>
      </w:r>
      <w:r w:rsidRPr="00D64B2B">
        <w:rPr>
          <w:szCs w:val="32"/>
        </w:rPr>
        <w:t>growing</w:t>
      </w:r>
      <w:r w:rsidRPr="00D64B2B">
        <w:rPr>
          <w:spacing w:val="-14"/>
          <w:szCs w:val="32"/>
        </w:rPr>
        <w:t xml:space="preserve"> </w:t>
      </w:r>
      <w:r w:rsidRPr="00D64B2B">
        <w:rPr>
          <w:szCs w:val="32"/>
        </w:rPr>
        <w:t>season</w:t>
      </w:r>
      <w:r w:rsidRPr="00D64B2B">
        <w:rPr>
          <w:spacing w:val="-13"/>
          <w:szCs w:val="32"/>
        </w:rPr>
        <w:t xml:space="preserve"> </w:t>
      </w:r>
      <w:r w:rsidRPr="00D64B2B">
        <w:rPr>
          <w:szCs w:val="32"/>
        </w:rPr>
        <w:t>(May-August)</w:t>
      </w:r>
      <w:r w:rsidRPr="00D64B2B">
        <w:rPr>
          <w:spacing w:val="-14"/>
          <w:szCs w:val="32"/>
        </w:rPr>
        <w:t xml:space="preserve"> </w:t>
      </w:r>
      <w:r w:rsidRPr="00D64B2B">
        <w:rPr>
          <w:szCs w:val="32"/>
        </w:rPr>
        <w:t>climate</w:t>
      </w:r>
      <w:r w:rsidRPr="00D64B2B">
        <w:rPr>
          <w:spacing w:val="-14"/>
          <w:szCs w:val="32"/>
        </w:rPr>
        <w:t xml:space="preserve"> </w:t>
      </w:r>
      <w:r w:rsidRPr="00D64B2B">
        <w:rPr>
          <w:szCs w:val="32"/>
        </w:rPr>
        <w:t>conditions</w:t>
      </w:r>
      <w:r w:rsidRPr="00D64B2B">
        <w:rPr>
          <w:spacing w:val="-13"/>
          <w:szCs w:val="32"/>
        </w:rPr>
        <w:t xml:space="preserve"> </w:t>
      </w:r>
      <w:r w:rsidRPr="00D64B2B">
        <w:rPr>
          <w:szCs w:val="32"/>
        </w:rPr>
        <w:t>and</w:t>
      </w:r>
      <w:r w:rsidRPr="00D64B2B">
        <w:rPr>
          <w:spacing w:val="-14"/>
          <w:szCs w:val="32"/>
        </w:rPr>
        <w:t xml:space="preserve"> </w:t>
      </w:r>
      <w:r w:rsidRPr="00D64B2B">
        <w:rPr>
          <w:szCs w:val="32"/>
        </w:rPr>
        <w:t>residual</w:t>
      </w:r>
      <w:r w:rsidRPr="00D64B2B">
        <w:rPr>
          <w:spacing w:val="-14"/>
          <w:szCs w:val="32"/>
        </w:rPr>
        <w:t xml:space="preserve"> </w:t>
      </w:r>
      <w:r w:rsidRPr="00D64B2B">
        <w:rPr>
          <w:szCs w:val="32"/>
        </w:rPr>
        <w:t>chronologies for each species (see Table 3 for codes). PET and PRE data were obtained from the Climatic Research Unit high-resolution</w:t>
      </w:r>
      <w:r w:rsidRPr="00D64B2B">
        <w:rPr>
          <w:spacing w:val="-8"/>
          <w:szCs w:val="32"/>
        </w:rPr>
        <w:t xml:space="preserve"> </w:t>
      </w:r>
      <w:r w:rsidRPr="00D64B2B">
        <w:rPr>
          <w:szCs w:val="32"/>
        </w:rPr>
        <w:t>gridded</w:t>
      </w:r>
      <w:r w:rsidRPr="00D64B2B">
        <w:rPr>
          <w:spacing w:val="-8"/>
          <w:szCs w:val="32"/>
        </w:rPr>
        <w:t xml:space="preserve"> </w:t>
      </w:r>
      <w:r w:rsidRPr="00D64B2B">
        <w:rPr>
          <w:szCs w:val="32"/>
        </w:rPr>
        <w:t>dataset</w:t>
      </w:r>
      <w:r w:rsidRPr="00D64B2B">
        <w:rPr>
          <w:spacing w:val="-7"/>
          <w:szCs w:val="32"/>
        </w:rPr>
        <w:t xml:space="preserve"> </w:t>
      </w:r>
      <w:r w:rsidRPr="00D64B2B">
        <w:rPr>
          <w:szCs w:val="32"/>
        </w:rPr>
        <w:t>(CRU</w:t>
      </w:r>
      <w:r w:rsidRPr="00D64B2B">
        <w:rPr>
          <w:spacing w:val="-8"/>
          <w:szCs w:val="32"/>
        </w:rPr>
        <w:t xml:space="preserve"> </w:t>
      </w:r>
      <w:r w:rsidRPr="00D64B2B">
        <w:rPr>
          <w:szCs w:val="32"/>
        </w:rPr>
        <w:t>TS</w:t>
      </w:r>
      <w:r w:rsidRPr="00D64B2B">
        <w:rPr>
          <w:spacing w:val="-8"/>
          <w:szCs w:val="32"/>
        </w:rPr>
        <w:t xml:space="preserve"> </w:t>
      </w:r>
      <w:r w:rsidRPr="00D64B2B">
        <w:rPr>
          <w:szCs w:val="32"/>
        </w:rPr>
        <w:t>v.4.01;</w:t>
      </w:r>
      <w:r w:rsidRPr="00D64B2B">
        <w:rPr>
          <w:spacing w:val="-7"/>
          <w:szCs w:val="32"/>
        </w:rPr>
        <w:t xml:space="preserve"> </w:t>
      </w:r>
      <w:r w:rsidRPr="00D64B2B">
        <w:rPr>
          <w:szCs w:val="32"/>
        </w:rPr>
        <w:t>Harris</w:t>
      </w:r>
      <w:r w:rsidRPr="00D64B2B">
        <w:rPr>
          <w:spacing w:val="-8"/>
          <w:szCs w:val="32"/>
        </w:rPr>
        <w:t xml:space="preserve"> </w:t>
      </w:r>
      <w:r w:rsidRPr="00D64B2B">
        <w:rPr>
          <w:szCs w:val="32"/>
        </w:rPr>
        <w:t>et</w:t>
      </w:r>
      <w:r w:rsidRPr="00D64B2B">
        <w:rPr>
          <w:spacing w:val="-8"/>
          <w:szCs w:val="32"/>
        </w:rPr>
        <w:t xml:space="preserve"> </w:t>
      </w:r>
      <w:r w:rsidRPr="00D64B2B">
        <w:rPr>
          <w:szCs w:val="32"/>
        </w:rPr>
        <w:t>al.</w:t>
      </w:r>
      <w:r w:rsidRPr="00D64B2B">
        <w:rPr>
          <w:spacing w:val="-7"/>
          <w:szCs w:val="32"/>
        </w:rPr>
        <w:t xml:space="preserve"> </w:t>
      </w:r>
      <w:r w:rsidRPr="00D64B2B">
        <w:rPr>
          <w:szCs w:val="32"/>
        </w:rPr>
        <w:t>2014).</w:t>
      </w:r>
      <w:r w:rsidRPr="00D64B2B">
        <w:rPr>
          <w:spacing w:val="6"/>
          <w:szCs w:val="32"/>
        </w:rPr>
        <w:t xml:space="preserve"> </w:t>
      </w:r>
      <w:r w:rsidRPr="00D64B2B">
        <w:rPr>
          <w:szCs w:val="32"/>
        </w:rPr>
        <w:t>Focal</w:t>
      </w:r>
      <w:r w:rsidRPr="00D64B2B">
        <w:rPr>
          <w:spacing w:val="-8"/>
          <w:szCs w:val="32"/>
        </w:rPr>
        <w:t xml:space="preserve"> </w:t>
      </w:r>
      <w:r w:rsidRPr="00D64B2B">
        <w:rPr>
          <w:szCs w:val="32"/>
        </w:rPr>
        <w:t>droughts</w:t>
      </w:r>
      <w:r w:rsidRPr="00D64B2B">
        <w:rPr>
          <w:spacing w:val="-7"/>
          <w:szCs w:val="32"/>
        </w:rPr>
        <w:t xml:space="preserve"> </w:t>
      </w:r>
      <w:r w:rsidRPr="00D64B2B">
        <w:rPr>
          <w:szCs w:val="32"/>
        </w:rPr>
        <w:t>are</w:t>
      </w:r>
      <w:r w:rsidRPr="00D64B2B">
        <w:rPr>
          <w:spacing w:val="-8"/>
          <w:szCs w:val="32"/>
        </w:rPr>
        <w:t xml:space="preserve"> </w:t>
      </w:r>
      <w:r w:rsidRPr="00D64B2B">
        <w:rPr>
          <w:szCs w:val="32"/>
        </w:rPr>
        <w:t>indicated</w:t>
      </w:r>
      <w:r w:rsidRPr="00D64B2B">
        <w:rPr>
          <w:spacing w:val="-8"/>
          <w:szCs w:val="32"/>
        </w:rPr>
        <w:t xml:space="preserve"> </w:t>
      </w:r>
      <w:r w:rsidRPr="00D64B2B">
        <w:rPr>
          <w:szCs w:val="32"/>
        </w:rPr>
        <w:t>by</w:t>
      </w:r>
      <w:r w:rsidRPr="00D64B2B">
        <w:rPr>
          <w:spacing w:val="-7"/>
          <w:szCs w:val="32"/>
        </w:rPr>
        <w:t xml:space="preserve"> </w:t>
      </w:r>
      <w:r w:rsidRPr="00D64B2B">
        <w:rPr>
          <w:szCs w:val="32"/>
        </w:rPr>
        <w:t>dashed lines,</w:t>
      </w:r>
      <w:r w:rsidRPr="00D64B2B">
        <w:rPr>
          <w:spacing w:val="-8"/>
          <w:szCs w:val="32"/>
        </w:rPr>
        <w:t xml:space="preserve"> </w:t>
      </w:r>
      <w:r w:rsidRPr="00D64B2B">
        <w:rPr>
          <w:szCs w:val="32"/>
        </w:rPr>
        <w:t>and</w:t>
      </w:r>
      <w:r w:rsidRPr="00D64B2B">
        <w:rPr>
          <w:spacing w:val="-8"/>
          <w:szCs w:val="32"/>
        </w:rPr>
        <w:t xml:space="preserve"> </w:t>
      </w:r>
      <w:r w:rsidRPr="00D64B2B">
        <w:rPr>
          <w:szCs w:val="32"/>
        </w:rPr>
        <w:t>shading</w:t>
      </w:r>
      <w:r w:rsidRPr="00D64B2B">
        <w:rPr>
          <w:spacing w:val="-8"/>
          <w:szCs w:val="32"/>
        </w:rPr>
        <w:t xml:space="preserve"> </w:t>
      </w:r>
      <w:r w:rsidRPr="00D64B2B">
        <w:rPr>
          <w:szCs w:val="32"/>
        </w:rPr>
        <w:t>indicates</w:t>
      </w:r>
      <w:r w:rsidRPr="00D64B2B">
        <w:rPr>
          <w:spacing w:val="-8"/>
          <w:szCs w:val="32"/>
        </w:rPr>
        <w:t xml:space="preserve"> </w:t>
      </w:r>
      <w:r w:rsidRPr="00D64B2B">
        <w:rPr>
          <w:szCs w:val="32"/>
        </w:rPr>
        <w:t>the</w:t>
      </w:r>
      <w:r w:rsidRPr="00D64B2B">
        <w:rPr>
          <w:spacing w:val="-8"/>
          <w:szCs w:val="32"/>
        </w:rPr>
        <w:t xml:space="preserve"> </w:t>
      </w:r>
      <w:r w:rsidRPr="00D64B2B">
        <w:rPr>
          <w:szCs w:val="32"/>
        </w:rPr>
        <w:t>pre-</w:t>
      </w:r>
      <w:r w:rsidRPr="00D64B2B">
        <w:rPr>
          <w:spacing w:val="-8"/>
          <w:szCs w:val="32"/>
        </w:rPr>
        <w:t xml:space="preserve"> </w:t>
      </w:r>
      <w:r w:rsidRPr="00D64B2B">
        <w:rPr>
          <w:szCs w:val="32"/>
        </w:rPr>
        <w:t>and</w:t>
      </w:r>
      <w:r w:rsidRPr="00D64B2B">
        <w:rPr>
          <w:spacing w:val="-8"/>
          <w:szCs w:val="32"/>
        </w:rPr>
        <w:t xml:space="preserve"> </w:t>
      </w:r>
      <w:r w:rsidRPr="00D64B2B">
        <w:rPr>
          <w:szCs w:val="32"/>
        </w:rPr>
        <w:t>post-</w:t>
      </w:r>
      <w:r w:rsidRPr="00D64B2B">
        <w:rPr>
          <w:spacing w:val="-8"/>
          <w:szCs w:val="32"/>
        </w:rPr>
        <w:t xml:space="preserve"> </w:t>
      </w:r>
      <w:r w:rsidRPr="00D64B2B">
        <w:rPr>
          <w:szCs w:val="32"/>
        </w:rPr>
        <w:t>drought</w:t>
      </w:r>
      <w:r w:rsidRPr="00D64B2B">
        <w:rPr>
          <w:spacing w:val="-8"/>
          <w:szCs w:val="32"/>
        </w:rPr>
        <w:t xml:space="preserve"> </w:t>
      </w:r>
      <w:r w:rsidRPr="00D64B2B">
        <w:rPr>
          <w:szCs w:val="32"/>
        </w:rPr>
        <w:t>periods</w:t>
      </w:r>
      <w:r w:rsidRPr="00D64B2B">
        <w:rPr>
          <w:spacing w:val="-8"/>
          <w:szCs w:val="32"/>
        </w:rPr>
        <w:t xml:space="preserve"> </w:t>
      </w:r>
      <w:r w:rsidRPr="00D64B2B">
        <w:rPr>
          <w:szCs w:val="32"/>
        </w:rPr>
        <w:t>used</w:t>
      </w:r>
      <w:r w:rsidRPr="00D64B2B">
        <w:rPr>
          <w:spacing w:val="-8"/>
          <w:szCs w:val="32"/>
        </w:rPr>
        <w:t xml:space="preserve"> </w:t>
      </w:r>
      <w:r w:rsidRPr="00D64B2B">
        <w:rPr>
          <w:szCs w:val="32"/>
        </w:rPr>
        <w:t>in</w:t>
      </w:r>
      <w:r w:rsidRPr="00D64B2B">
        <w:rPr>
          <w:spacing w:val="-7"/>
          <w:szCs w:val="32"/>
        </w:rPr>
        <w:t xml:space="preserve"> </w:t>
      </w:r>
      <w:r w:rsidRPr="00D64B2B">
        <w:rPr>
          <w:szCs w:val="32"/>
        </w:rPr>
        <w:t>calculations</w:t>
      </w:r>
      <w:r w:rsidRPr="00D64B2B">
        <w:rPr>
          <w:spacing w:val="-8"/>
          <w:szCs w:val="32"/>
        </w:rPr>
        <w:t xml:space="preserve"> </w:t>
      </w:r>
      <w:r w:rsidRPr="00D64B2B">
        <w:rPr>
          <w:szCs w:val="32"/>
        </w:rPr>
        <w:t>of</w:t>
      </w:r>
      <w:r w:rsidRPr="00D64B2B">
        <w:rPr>
          <w:spacing w:val="-8"/>
          <w:szCs w:val="32"/>
        </w:rPr>
        <w:t xml:space="preserve"> </w:t>
      </w:r>
      <w:r w:rsidRPr="00D64B2B">
        <w:rPr>
          <w:szCs w:val="32"/>
        </w:rPr>
        <w:t>the</w:t>
      </w:r>
      <w:r w:rsidRPr="00D64B2B">
        <w:rPr>
          <w:spacing w:val="-8"/>
          <w:szCs w:val="32"/>
        </w:rPr>
        <w:t xml:space="preserve"> </w:t>
      </w:r>
      <w:r w:rsidRPr="00D64B2B">
        <w:rPr>
          <w:szCs w:val="32"/>
        </w:rPr>
        <w:t>resistance</w:t>
      </w:r>
      <w:r w:rsidRPr="00D64B2B">
        <w:rPr>
          <w:spacing w:val="-8"/>
          <w:szCs w:val="32"/>
        </w:rPr>
        <w:t xml:space="preserve"> </w:t>
      </w:r>
      <w:r w:rsidRPr="00D64B2B">
        <w:rPr>
          <w:szCs w:val="32"/>
        </w:rPr>
        <w:t xml:space="preserve">metric. Figure modified from Helcoski </w:t>
      </w:r>
      <w:r w:rsidRPr="00D64B2B">
        <w:rPr>
          <w:i/>
          <w:szCs w:val="32"/>
        </w:rPr>
        <w:t xml:space="preserve">et al. </w:t>
      </w:r>
      <w:r w:rsidRPr="00D64B2B">
        <w:rPr>
          <w:szCs w:val="32"/>
        </w:rPr>
        <w:t xml:space="preserve">(2019). Density plots (b-c) show the distribution of </w:t>
      </w:r>
      <w:r w:rsidRPr="00D64B2B">
        <w:rPr>
          <w:rFonts w:ascii="Georgia"/>
          <w:i/>
          <w:szCs w:val="32"/>
        </w:rPr>
        <w:t xml:space="preserve">Rt </w:t>
      </w:r>
      <w:r w:rsidRPr="00D64B2B">
        <w:rPr>
          <w:szCs w:val="32"/>
        </w:rPr>
        <w:t xml:space="preserve">and </w:t>
      </w:r>
      <w:r w:rsidRPr="00D64B2B">
        <w:rPr>
          <w:rFonts w:ascii="Georgia"/>
          <w:i/>
          <w:szCs w:val="32"/>
        </w:rPr>
        <w:t xml:space="preserve">Rs </w:t>
      </w:r>
      <w:r w:rsidRPr="00D64B2B">
        <w:rPr>
          <w:szCs w:val="32"/>
        </w:rPr>
        <w:t>values for</w:t>
      </w:r>
      <w:r w:rsidRPr="00D64B2B">
        <w:rPr>
          <w:spacing w:val="13"/>
          <w:szCs w:val="32"/>
        </w:rPr>
        <w:t xml:space="preserve"> </w:t>
      </w:r>
      <w:r w:rsidRPr="00D64B2B">
        <w:rPr>
          <w:szCs w:val="32"/>
        </w:rPr>
        <w:t>each</w:t>
      </w:r>
      <w:r w:rsidRPr="00D64B2B">
        <w:rPr>
          <w:spacing w:val="13"/>
          <w:szCs w:val="32"/>
        </w:rPr>
        <w:t xml:space="preserve"> </w:t>
      </w:r>
      <w:r w:rsidRPr="00D64B2B">
        <w:rPr>
          <w:szCs w:val="32"/>
        </w:rPr>
        <w:t>drought.</w:t>
      </w:r>
      <w:r w:rsidRPr="00D64B2B">
        <w:rPr>
          <w:spacing w:val="35"/>
          <w:szCs w:val="32"/>
        </w:rPr>
        <w:t xml:space="preserve"> </w:t>
      </w:r>
      <w:r w:rsidRPr="00D64B2B">
        <w:rPr>
          <w:szCs w:val="32"/>
        </w:rPr>
        <w:t>See</w:t>
      </w:r>
      <w:r w:rsidRPr="00D64B2B">
        <w:rPr>
          <w:spacing w:val="13"/>
          <w:szCs w:val="32"/>
        </w:rPr>
        <w:t xml:space="preserve"> </w:t>
      </w:r>
      <w:r w:rsidRPr="00D64B2B">
        <w:rPr>
          <w:szCs w:val="32"/>
        </w:rPr>
        <w:t>Fig.</w:t>
      </w:r>
      <w:r w:rsidRPr="00D64B2B">
        <w:rPr>
          <w:spacing w:val="34"/>
          <w:szCs w:val="32"/>
        </w:rPr>
        <w:t xml:space="preserve"> </w:t>
      </w:r>
      <w:r w:rsidRPr="00D64B2B">
        <w:rPr>
          <w:szCs w:val="32"/>
        </w:rPr>
        <w:t>S6</w:t>
      </w:r>
      <w:r w:rsidRPr="00D64B2B">
        <w:rPr>
          <w:spacing w:val="14"/>
          <w:szCs w:val="32"/>
        </w:rPr>
        <w:t xml:space="preserve"> </w:t>
      </w:r>
      <w:r w:rsidRPr="00D64B2B">
        <w:rPr>
          <w:szCs w:val="32"/>
        </w:rPr>
        <w:t>for</w:t>
      </w:r>
      <w:r w:rsidRPr="00D64B2B">
        <w:rPr>
          <w:spacing w:val="13"/>
          <w:szCs w:val="32"/>
        </w:rPr>
        <w:t xml:space="preserve"> </w:t>
      </w:r>
      <w:r w:rsidRPr="00D64B2B">
        <w:rPr>
          <w:szCs w:val="32"/>
        </w:rPr>
        <w:t>parallel</w:t>
      </w:r>
      <w:r w:rsidRPr="00D64B2B">
        <w:rPr>
          <w:spacing w:val="14"/>
          <w:szCs w:val="32"/>
        </w:rPr>
        <w:t xml:space="preserve"> </w:t>
      </w:r>
      <w:r w:rsidRPr="00D64B2B">
        <w:rPr>
          <w:szCs w:val="32"/>
        </w:rPr>
        <w:t>plot</w:t>
      </w:r>
      <w:r w:rsidRPr="00D64B2B">
        <w:rPr>
          <w:spacing w:val="13"/>
          <w:szCs w:val="32"/>
        </w:rPr>
        <w:t xml:space="preserve"> </w:t>
      </w:r>
      <w:r w:rsidRPr="00D64B2B">
        <w:rPr>
          <w:szCs w:val="32"/>
        </w:rPr>
        <w:t>for</w:t>
      </w:r>
      <w:r w:rsidRPr="00D64B2B">
        <w:rPr>
          <w:spacing w:val="13"/>
          <w:szCs w:val="32"/>
        </w:rPr>
        <w:t xml:space="preserve"> </w:t>
      </w:r>
      <w:r w:rsidRPr="00D64B2B">
        <w:rPr>
          <w:szCs w:val="32"/>
        </w:rPr>
        <w:t>recovery</w:t>
      </w:r>
      <w:r w:rsidRPr="00D64B2B">
        <w:rPr>
          <w:spacing w:val="14"/>
          <w:szCs w:val="32"/>
        </w:rPr>
        <w:t xml:space="preserve"> </w:t>
      </w:r>
      <w:r w:rsidRPr="00D64B2B">
        <w:rPr>
          <w:szCs w:val="32"/>
        </w:rPr>
        <w:t>(</w:t>
      </w:r>
      <w:proofErr w:type="spellStart"/>
      <w:r w:rsidRPr="00D64B2B">
        <w:rPr>
          <w:rFonts w:ascii="Georgia"/>
          <w:i/>
          <w:szCs w:val="32"/>
        </w:rPr>
        <w:t>Rc</w:t>
      </w:r>
      <w:proofErr w:type="spellEnd"/>
      <w:r w:rsidRPr="00D64B2B">
        <w:rPr>
          <w:szCs w:val="32"/>
        </w:rPr>
        <w:t>).</w:t>
      </w:r>
    </w:p>
    <w:p w14:paraId="549A18E6" w14:textId="41E9500C" w:rsidR="00D64B2B" w:rsidRDefault="00D64B2B" w:rsidP="00D64B2B">
      <w:pPr>
        <w:pStyle w:val="BodyText"/>
        <w:spacing w:before="114" w:line="266" w:lineRule="auto"/>
        <w:ind w:left="139" w:right="109"/>
      </w:pPr>
      <w:r>
        <w:rPr>
          <w:b/>
        </w:rPr>
        <w:t xml:space="preserve">Figure 2.  Contemporary height profiles in sun exposure and growing season microclimate under non-drought conditions. </w:t>
      </w:r>
      <w:r>
        <w:t>Shown are average (</w:t>
      </w:r>
      <w:r>
        <w:rPr>
          <w:rFonts w:ascii="Verdana" w:hAnsi="Verdana"/>
          <w:i/>
        </w:rPr>
        <w:t xml:space="preserve">± </w:t>
      </w:r>
      <w:r>
        <w:t>SD) of daily maxima and minima of (a) wind speed, (b) relative humidity (</w:t>
      </w:r>
      <w:r>
        <w:rPr>
          <w:rFonts w:ascii="Georgia" w:hAnsi="Georgia"/>
          <w:i/>
        </w:rPr>
        <w:t>RH</w:t>
      </w:r>
      <w:r>
        <w:t>), and (c) air temperature (</w:t>
      </w:r>
      <w:proofErr w:type="spellStart"/>
      <w:r>
        <w:rPr>
          <w:rFonts w:ascii="Georgia" w:hAnsi="Georgia"/>
          <w:i/>
        </w:rPr>
        <w:t>T</w:t>
      </w:r>
      <w:r>
        <w:rPr>
          <w:rFonts w:ascii="Georgia" w:hAnsi="Georgia"/>
          <w:i/>
          <w:vertAlign w:val="subscript"/>
        </w:rPr>
        <w:t>air</w:t>
      </w:r>
      <w:proofErr w:type="spellEnd"/>
      <w:r>
        <w:t>) averaged over each month of the peak growing season (May-August) from 2016-2018. In these plots, heights are slightly offset for visualization purposes. Asterisks indicate significant differences between the top and bottom of the height profile. Also shown</w:t>
      </w:r>
      <w:r>
        <w:rPr>
          <w:spacing w:val="-8"/>
        </w:rPr>
        <w:t xml:space="preserve"> </w:t>
      </w:r>
      <w:r>
        <w:t>is</w:t>
      </w:r>
      <w:r>
        <w:rPr>
          <w:spacing w:val="-8"/>
        </w:rPr>
        <w:t xml:space="preserve"> </w:t>
      </w:r>
      <w:r>
        <w:t>(d)</w:t>
      </w:r>
      <w:r>
        <w:rPr>
          <w:spacing w:val="-7"/>
        </w:rPr>
        <w:t xml:space="preserve"> </w:t>
      </w:r>
      <w:r>
        <w:t>tree</w:t>
      </w:r>
      <w:r>
        <w:rPr>
          <w:spacing w:val="-8"/>
        </w:rPr>
        <w:t xml:space="preserve"> </w:t>
      </w:r>
      <w:r>
        <w:t>heights</w:t>
      </w:r>
      <w:r>
        <w:rPr>
          <w:spacing w:val="-7"/>
        </w:rPr>
        <w:t xml:space="preserve"> </w:t>
      </w:r>
      <w:r>
        <w:t>by</w:t>
      </w:r>
      <w:r>
        <w:rPr>
          <w:spacing w:val="-8"/>
        </w:rPr>
        <w:t xml:space="preserve"> </w:t>
      </w:r>
      <w:r>
        <w:t>2018</w:t>
      </w:r>
      <w:r>
        <w:rPr>
          <w:spacing w:val="-7"/>
        </w:rPr>
        <w:t xml:space="preserve"> </w:t>
      </w:r>
      <w:r>
        <w:t>crown</w:t>
      </w:r>
      <w:r>
        <w:rPr>
          <w:spacing w:val="-8"/>
        </w:rPr>
        <w:t xml:space="preserve"> </w:t>
      </w:r>
      <w:r>
        <w:t>position,</w:t>
      </w:r>
      <w:r>
        <w:rPr>
          <w:spacing w:val="-7"/>
        </w:rPr>
        <w:t xml:space="preserve"> </w:t>
      </w:r>
      <w:r>
        <w:t>with</w:t>
      </w:r>
      <w:r>
        <w:rPr>
          <w:spacing w:val="-8"/>
        </w:rPr>
        <w:t xml:space="preserve"> </w:t>
      </w:r>
      <w:r>
        <w:t>letters</w:t>
      </w:r>
      <w:r>
        <w:rPr>
          <w:spacing w:val="-7"/>
        </w:rPr>
        <w:t xml:space="preserve"> </w:t>
      </w:r>
      <w:r>
        <w:t>indicating</w:t>
      </w:r>
      <w:r>
        <w:rPr>
          <w:spacing w:val="-8"/>
        </w:rPr>
        <w:t xml:space="preserve"> </w:t>
      </w:r>
      <w:r>
        <w:t>significance</w:t>
      </w:r>
      <w:r>
        <w:rPr>
          <w:spacing w:val="-7"/>
        </w:rPr>
        <w:t xml:space="preserve"> </w:t>
      </w:r>
      <w:r>
        <w:t>groupings.</w:t>
      </w:r>
      <w:r>
        <w:rPr>
          <w:spacing w:val="7"/>
        </w:rPr>
        <w:t xml:space="preserve"> </w:t>
      </w:r>
      <w:r>
        <w:t>In</w:t>
      </w:r>
      <w:r>
        <w:rPr>
          <w:spacing w:val="-8"/>
        </w:rPr>
        <w:t xml:space="preserve"> </w:t>
      </w:r>
      <w:r>
        <w:t>all</w:t>
      </w:r>
      <w:r>
        <w:rPr>
          <w:spacing w:val="-7"/>
        </w:rPr>
        <w:t xml:space="preserve"> </w:t>
      </w:r>
      <w:r>
        <w:t>plots, the</w:t>
      </w:r>
      <w:r>
        <w:rPr>
          <w:spacing w:val="8"/>
        </w:rPr>
        <w:t xml:space="preserve"> </w:t>
      </w:r>
      <w:r>
        <w:t>dashed</w:t>
      </w:r>
      <w:r>
        <w:rPr>
          <w:spacing w:val="9"/>
        </w:rPr>
        <w:t xml:space="preserve"> </w:t>
      </w:r>
      <w:r>
        <w:t>horizontal</w:t>
      </w:r>
      <w:r>
        <w:rPr>
          <w:spacing w:val="9"/>
        </w:rPr>
        <w:t xml:space="preserve"> </w:t>
      </w:r>
      <w:r>
        <w:t>line</w:t>
      </w:r>
      <w:r>
        <w:rPr>
          <w:spacing w:val="9"/>
        </w:rPr>
        <w:t xml:space="preserve"> </w:t>
      </w:r>
      <w:r>
        <w:t>indicates</w:t>
      </w:r>
      <w:r>
        <w:rPr>
          <w:spacing w:val="8"/>
        </w:rPr>
        <w:t xml:space="preserve"> </w:t>
      </w:r>
      <w:r>
        <w:t>the</w:t>
      </w:r>
      <w:r>
        <w:rPr>
          <w:spacing w:val="9"/>
        </w:rPr>
        <w:t xml:space="preserve"> </w:t>
      </w:r>
      <w:r>
        <w:t>95th</w:t>
      </w:r>
      <w:r>
        <w:rPr>
          <w:spacing w:val="9"/>
        </w:rPr>
        <w:t xml:space="preserve"> </w:t>
      </w:r>
      <w:r>
        <w:t>percentile</w:t>
      </w:r>
      <w:r>
        <w:rPr>
          <w:spacing w:val="9"/>
        </w:rPr>
        <w:t xml:space="preserve"> </w:t>
      </w:r>
      <w:r>
        <w:t>of</w:t>
      </w:r>
      <w:r>
        <w:rPr>
          <w:spacing w:val="8"/>
        </w:rPr>
        <w:t xml:space="preserve"> </w:t>
      </w:r>
      <w:r>
        <w:t>tree</w:t>
      </w:r>
      <w:r>
        <w:rPr>
          <w:spacing w:val="9"/>
        </w:rPr>
        <w:t xml:space="preserve"> </w:t>
      </w:r>
      <w:r w:rsidR="005517FF">
        <w:t>heights</w:t>
      </w:r>
      <w:r>
        <w:rPr>
          <w:spacing w:val="9"/>
        </w:rPr>
        <w:t xml:space="preserve"> </w:t>
      </w:r>
      <w:r>
        <w:t>in</w:t>
      </w:r>
      <w:r>
        <w:rPr>
          <w:spacing w:val="9"/>
        </w:rPr>
        <w:t xml:space="preserve"> </w:t>
      </w:r>
      <w:r>
        <w:t>the</w:t>
      </w:r>
      <w:r>
        <w:rPr>
          <w:spacing w:val="8"/>
        </w:rPr>
        <w:t xml:space="preserve"> </w:t>
      </w:r>
      <w:r>
        <w:t>ForestGEO</w:t>
      </w:r>
      <w:r>
        <w:rPr>
          <w:spacing w:val="9"/>
        </w:rPr>
        <w:t xml:space="preserve"> </w:t>
      </w:r>
      <w:r>
        <w:t>plot.</w:t>
      </w:r>
    </w:p>
    <w:p w14:paraId="36BA0F50" w14:textId="77777777" w:rsidR="00D64B2B" w:rsidRPr="00D64B2B" w:rsidRDefault="00D64B2B" w:rsidP="00D64B2B">
      <w:pPr>
        <w:spacing w:before="115" w:line="266" w:lineRule="auto"/>
        <w:ind w:left="116" w:right="110" w:firstLine="23"/>
        <w:rPr>
          <w:szCs w:val="32"/>
        </w:rPr>
      </w:pPr>
      <w:r w:rsidRPr="00D64B2B">
        <w:rPr>
          <w:b/>
          <w:szCs w:val="32"/>
        </w:rPr>
        <w:t>Figure 3. Visualization of top statistical models for drought resistance (</w:t>
      </w:r>
      <w:r w:rsidRPr="00D64B2B">
        <w:rPr>
          <w:rFonts w:ascii="Georgia"/>
          <w:i/>
          <w:szCs w:val="32"/>
        </w:rPr>
        <w:t>Rt</w:t>
      </w:r>
      <w:r w:rsidRPr="00D64B2B">
        <w:rPr>
          <w:b/>
          <w:szCs w:val="32"/>
        </w:rPr>
        <w:t>), recovery (</w:t>
      </w:r>
      <w:proofErr w:type="spellStart"/>
      <w:r w:rsidRPr="00D64B2B">
        <w:rPr>
          <w:rFonts w:ascii="Georgia"/>
          <w:i/>
          <w:szCs w:val="32"/>
        </w:rPr>
        <w:t>Rc</w:t>
      </w:r>
      <w:proofErr w:type="spellEnd"/>
      <w:r w:rsidRPr="00D64B2B">
        <w:rPr>
          <w:b/>
          <w:szCs w:val="32"/>
        </w:rPr>
        <w:t>), and resilience (</w:t>
      </w:r>
      <w:r w:rsidRPr="00D64B2B">
        <w:rPr>
          <w:rFonts w:ascii="Georgia"/>
          <w:i/>
          <w:szCs w:val="32"/>
        </w:rPr>
        <w:t>Rs</w:t>
      </w:r>
      <w:r w:rsidRPr="00D64B2B">
        <w:rPr>
          <w:rFonts w:ascii="Arial"/>
          <w:szCs w:val="32"/>
        </w:rPr>
        <w:t xml:space="preserve">) </w:t>
      </w:r>
      <w:r w:rsidRPr="00D64B2B">
        <w:rPr>
          <w:b/>
          <w:szCs w:val="32"/>
        </w:rPr>
        <w:t xml:space="preserve">for all droughts combined and for each individual drought year.  </w:t>
      </w:r>
      <w:r w:rsidRPr="00D64B2B">
        <w:rPr>
          <w:szCs w:val="32"/>
        </w:rPr>
        <w:t>For cases where the</w:t>
      </w:r>
      <w:r w:rsidRPr="00D64B2B">
        <w:rPr>
          <w:spacing w:val="-8"/>
          <w:szCs w:val="32"/>
        </w:rPr>
        <w:t xml:space="preserve"> </w:t>
      </w:r>
      <w:r w:rsidRPr="00D64B2B">
        <w:rPr>
          <w:szCs w:val="32"/>
        </w:rPr>
        <w:t>best</w:t>
      </w:r>
      <w:r w:rsidRPr="00D64B2B">
        <w:rPr>
          <w:spacing w:val="-7"/>
          <w:szCs w:val="32"/>
        </w:rPr>
        <w:t xml:space="preserve"> </w:t>
      </w:r>
      <w:r w:rsidRPr="00D64B2B">
        <w:rPr>
          <w:szCs w:val="32"/>
        </w:rPr>
        <w:t>model</w:t>
      </w:r>
      <w:r w:rsidRPr="00D64B2B">
        <w:rPr>
          <w:spacing w:val="-7"/>
          <w:szCs w:val="32"/>
        </w:rPr>
        <w:t xml:space="preserve"> </w:t>
      </w:r>
      <w:r w:rsidRPr="00D64B2B">
        <w:rPr>
          <w:szCs w:val="32"/>
        </w:rPr>
        <w:t>includes</w:t>
      </w:r>
      <w:r w:rsidRPr="00D64B2B">
        <w:rPr>
          <w:spacing w:val="-7"/>
          <w:szCs w:val="32"/>
        </w:rPr>
        <w:t xml:space="preserve"> </w:t>
      </w:r>
      <w:r w:rsidRPr="00D64B2B">
        <w:rPr>
          <w:szCs w:val="32"/>
        </w:rPr>
        <w:t>a</w:t>
      </w:r>
      <w:r w:rsidRPr="00D64B2B">
        <w:rPr>
          <w:spacing w:val="-7"/>
          <w:szCs w:val="32"/>
        </w:rPr>
        <w:t xml:space="preserve"> </w:t>
      </w:r>
      <w:r w:rsidRPr="00D64B2B">
        <w:rPr>
          <w:szCs w:val="32"/>
        </w:rPr>
        <w:t>DBH</w:t>
      </w:r>
      <w:r w:rsidRPr="00D64B2B">
        <w:rPr>
          <w:spacing w:val="-7"/>
          <w:szCs w:val="32"/>
        </w:rPr>
        <w:t xml:space="preserve"> </w:t>
      </w:r>
      <w:r w:rsidRPr="00D64B2B">
        <w:rPr>
          <w:szCs w:val="32"/>
        </w:rPr>
        <w:t>x</w:t>
      </w:r>
      <w:r w:rsidRPr="00D64B2B">
        <w:rPr>
          <w:spacing w:val="-7"/>
          <w:szCs w:val="32"/>
        </w:rPr>
        <w:t xml:space="preserve"> </w:t>
      </w:r>
      <w:r w:rsidRPr="00D64B2B">
        <w:rPr>
          <w:szCs w:val="32"/>
        </w:rPr>
        <w:t>TWI</w:t>
      </w:r>
      <w:r w:rsidRPr="00D64B2B">
        <w:rPr>
          <w:spacing w:val="-7"/>
          <w:szCs w:val="32"/>
        </w:rPr>
        <w:t xml:space="preserve"> </w:t>
      </w:r>
      <w:r w:rsidRPr="00D64B2B">
        <w:rPr>
          <w:szCs w:val="32"/>
        </w:rPr>
        <w:t>interaction</w:t>
      </w:r>
      <w:r w:rsidRPr="00D64B2B">
        <w:rPr>
          <w:spacing w:val="-7"/>
          <w:szCs w:val="32"/>
        </w:rPr>
        <w:t xml:space="preserve"> </w:t>
      </w:r>
      <w:r w:rsidRPr="00D64B2B">
        <w:rPr>
          <w:szCs w:val="32"/>
        </w:rPr>
        <w:t>(</w:t>
      </w:r>
      <w:proofErr w:type="spellStart"/>
      <w:r w:rsidRPr="00D64B2B">
        <w:rPr>
          <w:rFonts w:ascii="Georgia"/>
          <w:i/>
          <w:szCs w:val="32"/>
        </w:rPr>
        <w:t>Rc</w:t>
      </w:r>
      <w:proofErr w:type="spellEnd"/>
      <w:r w:rsidRPr="00D64B2B">
        <w:rPr>
          <w:rFonts w:ascii="Georgia"/>
          <w:i/>
          <w:spacing w:val="-5"/>
          <w:szCs w:val="32"/>
        </w:rPr>
        <w:t xml:space="preserve"> </w:t>
      </w:r>
      <w:r w:rsidRPr="00D64B2B">
        <w:rPr>
          <w:szCs w:val="32"/>
        </w:rPr>
        <w:t>in</w:t>
      </w:r>
      <w:r w:rsidRPr="00D64B2B">
        <w:rPr>
          <w:spacing w:val="-7"/>
          <w:szCs w:val="32"/>
        </w:rPr>
        <w:t xml:space="preserve"> </w:t>
      </w:r>
      <w:r w:rsidRPr="00D64B2B">
        <w:rPr>
          <w:szCs w:val="32"/>
        </w:rPr>
        <w:t>all</w:t>
      </w:r>
      <w:r w:rsidRPr="00D64B2B">
        <w:rPr>
          <w:spacing w:val="-7"/>
          <w:szCs w:val="32"/>
        </w:rPr>
        <w:t xml:space="preserve"> </w:t>
      </w:r>
      <w:r w:rsidRPr="00D64B2B">
        <w:rPr>
          <w:szCs w:val="32"/>
        </w:rPr>
        <w:t>droughts</w:t>
      </w:r>
      <w:r w:rsidRPr="00D64B2B">
        <w:rPr>
          <w:spacing w:val="-7"/>
          <w:szCs w:val="32"/>
        </w:rPr>
        <w:t xml:space="preserve"> </w:t>
      </w:r>
      <w:r w:rsidRPr="00D64B2B">
        <w:rPr>
          <w:szCs w:val="32"/>
        </w:rPr>
        <w:t>and</w:t>
      </w:r>
      <w:r w:rsidRPr="00D64B2B">
        <w:rPr>
          <w:spacing w:val="-7"/>
          <w:szCs w:val="32"/>
        </w:rPr>
        <w:t xml:space="preserve"> </w:t>
      </w:r>
      <w:r w:rsidRPr="00D64B2B">
        <w:rPr>
          <w:szCs w:val="32"/>
        </w:rPr>
        <w:t>1966,</w:t>
      </w:r>
      <w:r w:rsidRPr="00D64B2B">
        <w:rPr>
          <w:spacing w:val="-6"/>
          <w:szCs w:val="32"/>
        </w:rPr>
        <w:t xml:space="preserve"> </w:t>
      </w:r>
      <w:r w:rsidRPr="00D64B2B">
        <w:rPr>
          <w:rFonts w:ascii="Georgia"/>
          <w:i/>
          <w:szCs w:val="32"/>
        </w:rPr>
        <w:t>Rs</w:t>
      </w:r>
      <w:r w:rsidRPr="00D64B2B">
        <w:rPr>
          <w:rFonts w:ascii="Georgia"/>
          <w:i/>
          <w:spacing w:val="-5"/>
          <w:szCs w:val="32"/>
        </w:rPr>
        <w:t xml:space="preserve"> </w:t>
      </w:r>
      <w:r w:rsidRPr="00D64B2B">
        <w:rPr>
          <w:szCs w:val="32"/>
        </w:rPr>
        <w:t>in</w:t>
      </w:r>
      <w:r w:rsidRPr="00D64B2B">
        <w:rPr>
          <w:spacing w:val="-7"/>
          <w:szCs w:val="32"/>
        </w:rPr>
        <w:t xml:space="preserve"> </w:t>
      </w:r>
      <w:r w:rsidRPr="00D64B2B">
        <w:rPr>
          <w:szCs w:val="32"/>
        </w:rPr>
        <w:t>all</w:t>
      </w:r>
      <w:r w:rsidRPr="00D64B2B">
        <w:rPr>
          <w:spacing w:val="-7"/>
          <w:szCs w:val="32"/>
        </w:rPr>
        <w:t xml:space="preserve"> </w:t>
      </w:r>
      <w:r w:rsidRPr="00D64B2B">
        <w:rPr>
          <w:szCs w:val="32"/>
        </w:rPr>
        <w:t>droughts</w:t>
      </w:r>
      <w:r w:rsidRPr="00D64B2B">
        <w:rPr>
          <w:spacing w:val="-7"/>
          <w:szCs w:val="32"/>
        </w:rPr>
        <w:t xml:space="preserve"> </w:t>
      </w:r>
      <w:r w:rsidRPr="00D64B2B">
        <w:rPr>
          <w:szCs w:val="32"/>
        </w:rPr>
        <w:t>and</w:t>
      </w:r>
      <w:r w:rsidRPr="00D64B2B">
        <w:rPr>
          <w:spacing w:val="-7"/>
          <w:szCs w:val="32"/>
        </w:rPr>
        <w:t xml:space="preserve"> </w:t>
      </w:r>
      <w:r w:rsidRPr="00D64B2B">
        <w:rPr>
          <w:szCs w:val="32"/>
        </w:rPr>
        <w:t>1977), we plot the best model without the interaction. Visualization of the best mixed effects model per drought scenario</w:t>
      </w:r>
      <w:r w:rsidRPr="00D64B2B">
        <w:rPr>
          <w:spacing w:val="-5"/>
          <w:szCs w:val="32"/>
        </w:rPr>
        <w:t xml:space="preserve"> </w:t>
      </w:r>
      <w:r w:rsidRPr="00D64B2B">
        <w:rPr>
          <w:szCs w:val="32"/>
        </w:rPr>
        <w:t>was</w:t>
      </w:r>
      <w:r w:rsidRPr="00D64B2B">
        <w:rPr>
          <w:spacing w:val="-5"/>
          <w:szCs w:val="32"/>
        </w:rPr>
        <w:t xml:space="preserve"> </w:t>
      </w:r>
      <w:r w:rsidRPr="00D64B2B">
        <w:rPr>
          <w:szCs w:val="32"/>
        </w:rPr>
        <w:t>created</w:t>
      </w:r>
      <w:r w:rsidRPr="00D64B2B">
        <w:rPr>
          <w:spacing w:val="-5"/>
          <w:szCs w:val="32"/>
        </w:rPr>
        <w:t xml:space="preserve"> </w:t>
      </w:r>
      <w:r w:rsidRPr="00D64B2B">
        <w:rPr>
          <w:szCs w:val="32"/>
        </w:rPr>
        <w:t>by</w:t>
      </w:r>
      <w:r w:rsidRPr="00D64B2B">
        <w:rPr>
          <w:spacing w:val="-5"/>
          <w:szCs w:val="32"/>
        </w:rPr>
        <w:t xml:space="preserve"> </w:t>
      </w:r>
      <w:r w:rsidRPr="00D64B2B">
        <w:rPr>
          <w:szCs w:val="32"/>
        </w:rPr>
        <w:t>the</w:t>
      </w:r>
      <w:r w:rsidRPr="00D64B2B">
        <w:rPr>
          <w:spacing w:val="-5"/>
          <w:szCs w:val="32"/>
        </w:rPr>
        <w:t xml:space="preserve"> </w:t>
      </w:r>
      <w:proofErr w:type="spellStart"/>
      <w:r w:rsidRPr="00D64B2B">
        <w:rPr>
          <w:i/>
          <w:szCs w:val="32"/>
        </w:rPr>
        <w:t>visreg</w:t>
      </w:r>
      <w:proofErr w:type="spellEnd"/>
      <w:r w:rsidRPr="00D64B2B">
        <w:rPr>
          <w:i/>
          <w:spacing w:val="2"/>
          <w:szCs w:val="32"/>
        </w:rPr>
        <w:t xml:space="preserve"> </w:t>
      </w:r>
      <w:r w:rsidRPr="00D64B2B">
        <w:rPr>
          <w:szCs w:val="32"/>
        </w:rPr>
        <w:t>package</w:t>
      </w:r>
      <w:r w:rsidRPr="00D64B2B">
        <w:rPr>
          <w:spacing w:val="-4"/>
          <w:szCs w:val="32"/>
        </w:rPr>
        <w:t xml:space="preserve"> </w:t>
      </w:r>
      <w:r w:rsidRPr="00D64B2B">
        <w:rPr>
          <w:szCs w:val="32"/>
        </w:rPr>
        <w:t>in</w:t>
      </w:r>
      <w:r w:rsidRPr="00D64B2B">
        <w:rPr>
          <w:spacing w:val="-5"/>
          <w:szCs w:val="32"/>
        </w:rPr>
        <w:t xml:space="preserve"> </w:t>
      </w:r>
      <w:r w:rsidRPr="00D64B2B">
        <w:rPr>
          <w:szCs w:val="32"/>
        </w:rPr>
        <w:t>R,</w:t>
      </w:r>
      <w:r w:rsidRPr="00D64B2B">
        <w:rPr>
          <w:spacing w:val="-5"/>
          <w:szCs w:val="32"/>
        </w:rPr>
        <w:t xml:space="preserve"> </w:t>
      </w:r>
      <w:r w:rsidRPr="00D64B2B">
        <w:rPr>
          <w:szCs w:val="32"/>
        </w:rPr>
        <w:t>and</w:t>
      </w:r>
      <w:r w:rsidRPr="00D64B2B">
        <w:rPr>
          <w:spacing w:val="-5"/>
          <w:szCs w:val="32"/>
        </w:rPr>
        <w:t xml:space="preserve"> </w:t>
      </w:r>
      <w:r w:rsidRPr="00D64B2B">
        <w:rPr>
          <w:szCs w:val="32"/>
        </w:rPr>
        <w:t>confidence</w:t>
      </w:r>
      <w:r w:rsidRPr="00D64B2B">
        <w:rPr>
          <w:spacing w:val="-5"/>
          <w:szCs w:val="32"/>
        </w:rPr>
        <w:t xml:space="preserve"> </w:t>
      </w:r>
      <w:r w:rsidRPr="00D64B2B">
        <w:rPr>
          <w:szCs w:val="32"/>
        </w:rPr>
        <w:t>intervals</w:t>
      </w:r>
      <w:r w:rsidRPr="00D64B2B">
        <w:rPr>
          <w:spacing w:val="-4"/>
          <w:szCs w:val="32"/>
        </w:rPr>
        <w:t xml:space="preserve"> </w:t>
      </w:r>
      <w:r w:rsidRPr="00D64B2B">
        <w:rPr>
          <w:szCs w:val="32"/>
        </w:rPr>
        <w:t>were</w:t>
      </w:r>
      <w:r w:rsidRPr="00D64B2B">
        <w:rPr>
          <w:spacing w:val="-5"/>
          <w:szCs w:val="32"/>
        </w:rPr>
        <w:t xml:space="preserve"> </w:t>
      </w:r>
      <w:r w:rsidRPr="00D64B2B">
        <w:rPr>
          <w:szCs w:val="32"/>
        </w:rPr>
        <w:t>defined</w:t>
      </w:r>
      <w:r w:rsidRPr="00D64B2B">
        <w:rPr>
          <w:spacing w:val="-5"/>
          <w:szCs w:val="32"/>
        </w:rPr>
        <w:t xml:space="preserve"> </w:t>
      </w:r>
      <w:r w:rsidRPr="00D64B2B">
        <w:rPr>
          <w:szCs w:val="32"/>
        </w:rPr>
        <w:t>via</w:t>
      </w:r>
      <w:r w:rsidRPr="00D64B2B">
        <w:rPr>
          <w:spacing w:val="-5"/>
          <w:szCs w:val="32"/>
        </w:rPr>
        <w:t xml:space="preserve"> </w:t>
      </w:r>
      <w:r w:rsidRPr="00D64B2B">
        <w:rPr>
          <w:szCs w:val="32"/>
        </w:rPr>
        <w:t>bootstrapping</w:t>
      </w:r>
      <w:r w:rsidRPr="00D64B2B">
        <w:rPr>
          <w:spacing w:val="-5"/>
          <w:szCs w:val="32"/>
        </w:rPr>
        <w:t xml:space="preserve"> </w:t>
      </w:r>
      <w:r w:rsidRPr="00D64B2B">
        <w:rPr>
          <w:szCs w:val="32"/>
        </w:rPr>
        <w:t xml:space="preserve">in the </w:t>
      </w:r>
      <w:r w:rsidRPr="00D64B2B">
        <w:rPr>
          <w:i/>
          <w:szCs w:val="32"/>
        </w:rPr>
        <w:t xml:space="preserve">bootpredictlme4 </w:t>
      </w:r>
      <w:r w:rsidRPr="00D64B2B">
        <w:rPr>
          <w:szCs w:val="32"/>
        </w:rPr>
        <w:t>package. Model coefficients are given in Tables S8 and S10-11. Descriptions of variables (e.g.</w:t>
      </w:r>
      <w:r w:rsidRPr="00D64B2B">
        <w:rPr>
          <w:spacing w:val="15"/>
          <w:szCs w:val="32"/>
        </w:rPr>
        <w:t xml:space="preserve"> </w:t>
      </w:r>
      <w:r w:rsidRPr="00D64B2B">
        <w:rPr>
          <w:rFonts w:ascii="Georgia"/>
          <w:i/>
          <w:szCs w:val="32"/>
        </w:rPr>
        <w:t>ln</w:t>
      </w:r>
      <w:r w:rsidRPr="00D64B2B">
        <w:rPr>
          <w:rFonts w:ascii="Arial"/>
          <w:szCs w:val="32"/>
        </w:rPr>
        <w:t>[</w:t>
      </w:r>
      <w:r w:rsidRPr="00D64B2B">
        <w:rPr>
          <w:rFonts w:ascii="Georgia"/>
          <w:i/>
          <w:szCs w:val="32"/>
        </w:rPr>
        <w:t>H</w:t>
      </w:r>
      <w:r w:rsidRPr="00D64B2B">
        <w:rPr>
          <w:rFonts w:ascii="Arial"/>
          <w:szCs w:val="32"/>
        </w:rPr>
        <w:t>]</w:t>
      </w:r>
      <w:r w:rsidRPr="00D64B2B">
        <w:rPr>
          <w:rFonts w:ascii="Arial"/>
          <w:spacing w:val="10"/>
          <w:szCs w:val="32"/>
        </w:rPr>
        <w:t xml:space="preserve"> </w:t>
      </w:r>
      <w:r w:rsidRPr="00D64B2B">
        <w:rPr>
          <w:szCs w:val="32"/>
        </w:rPr>
        <w:t>can</w:t>
      </w:r>
      <w:r w:rsidRPr="00D64B2B">
        <w:rPr>
          <w:spacing w:val="15"/>
          <w:szCs w:val="32"/>
        </w:rPr>
        <w:t xml:space="preserve"> </w:t>
      </w:r>
      <w:r w:rsidRPr="00D64B2B">
        <w:rPr>
          <w:szCs w:val="32"/>
        </w:rPr>
        <w:t>be</w:t>
      </w:r>
      <w:r w:rsidRPr="00D64B2B">
        <w:rPr>
          <w:spacing w:val="16"/>
          <w:szCs w:val="32"/>
        </w:rPr>
        <w:t xml:space="preserve"> </w:t>
      </w:r>
      <w:r w:rsidRPr="00D64B2B">
        <w:rPr>
          <w:szCs w:val="32"/>
        </w:rPr>
        <w:t>found</w:t>
      </w:r>
      <w:r w:rsidRPr="00D64B2B">
        <w:rPr>
          <w:spacing w:val="16"/>
          <w:szCs w:val="32"/>
        </w:rPr>
        <w:t xml:space="preserve"> </w:t>
      </w:r>
      <w:r w:rsidRPr="00D64B2B">
        <w:rPr>
          <w:szCs w:val="32"/>
        </w:rPr>
        <w:t>in</w:t>
      </w:r>
      <w:r w:rsidRPr="00D64B2B">
        <w:rPr>
          <w:spacing w:val="15"/>
          <w:szCs w:val="32"/>
        </w:rPr>
        <w:t xml:space="preserve"> </w:t>
      </w:r>
      <w:r w:rsidRPr="00D64B2B">
        <w:rPr>
          <w:szCs w:val="32"/>
        </w:rPr>
        <w:t>Table</w:t>
      </w:r>
      <w:r w:rsidRPr="00D64B2B">
        <w:rPr>
          <w:spacing w:val="16"/>
          <w:szCs w:val="32"/>
        </w:rPr>
        <w:t xml:space="preserve"> </w:t>
      </w:r>
      <w:r w:rsidRPr="00D64B2B">
        <w:rPr>
          <w:szCs w:val="32"/>
        </w:rPr>
        <w:t>3.</w:t>
      </w:r>
    </w:p>
    <w:p w14:paraId="1AEA4F26" w14:textId="25D2E59E" w:rsidR="00D64B2B" w:rsidRDefault="00D64B2B" w:rsidP="00D64B2B">
      <w:pPr>
        <w:pStyle w:val="BodyText"/>
        <w:spacing w:before="116" w:line="266" w:lineRule="auto"/>
        <w:ind w:left="116" w:right="131" w:firstLine="23"/>
        <w:sectPr w:rsidR="00D64B2B">
          <w:pgSz w:w="12240" w:h="15840"/>
          <w:pgMar w:top="1340" w:right="1300" w:bottom="1060" w:left="1300" w:header="0" w:footer="843" w:gutter="0"/>
          <w:cols w:space="720"/>
        </w:sectPr>
      </w:pPr>
      <w:r>
        <w:rPr>
          <w:b/>
        </w:rPr>
        <w:t xml:space="preserve">Figure 4. Drought resistance, </w:t>
      </w:r>
      <w:r>
        <w:rPr>
          <w:rFonts w:ascii="Georgia" w:hAnsi="Georgia"/>
          <w:i/>
        </w:rPr>
        <w:t xml:space="preserve">Rt </w:t>
      </w:r>
      <w:r>
        <w:rPr>
          <w:b/>
        </w:rPr>
        <w:t xml:space="preserve">(a), and resilience, </w:t>
      </w:r>
      <w:r>
        <w:rPr>
          <w:rFonts w:ascii="Georgia" w:hAnsi="Georgia"/>
          <w:i/>
        </w:rPr>
        <w:t xml:space="preserve">Rs </w:t>
      </w:r>
      <w:r>
        <w:rPr>
          <w:b/>
        </w:rPr>
        <w:t>(b) across species for the three focal droughts.</w:t>
      </w:r>
      <w:r>
        <w:rPr>
          <w:b/>
          <w:spacing w:val="-4"/>
        </w:rPr>
        <w:t xml:space="preserve"> </w:t>
      </w:r>
      <w:r>
        <w:t>Species</w:t>
      </w:r>
      <w:r>
        <w:rPr>
          <w:spacing w:val="-19"/>
        </w:rPr>
        <w:t xml:space="preserve"> </w:t>
      </w:r>
      <w:r>
        <w:t>codes</w:t>
      </w:r>
      <w:r>
        <w:rPr>
          <w:spacing w:val="-20"/>
        </w:rPr>
        <w:t xml:space="preserve"> </w:t>
      </w:r>
      <w:r>
        <w:t>are</w:t>
      </w:r>
      <w:r>
        <w:rPr>
          <w:spacing w:val="-19"/>
        </w:rPr>
        <w:t xml:space="preserve"> </w:t>
      </w:r>
      <w:r>
        <w:t>given</w:t>
      </w:r>
      <w:r>
        <w:rPr>
          <w:spacing w:val="-20"/>
        </w:rPr>
        <w:t xml:space="preserve"> </w:t>
      </w:r>
      <w:r>
        <w:t>in</w:t>
      </w:r>
      <w:r>
        <w:rPr>
          <w:spacing w:val="-19"/>
        </w:rPr>
        <w:t xml:space="preserve"> </w:t>
      </w:r>
      <w:r>
        <w:t>Table</w:t>
      </w:r>
      <w:r>
        <w:rPr>
          <w:spacing w:val="-19"/>
        </w:rPr>
        <w:t xml:space="preserve"> </w:t>
      </w:r>
      <w:r>
        <w:t>2.</w:t>
      </w:r>
      <w:r>
        <w:rPr>
          <w:spacing w:val="-4"/>
        </w:rPr>
        <w:t xml:space="preserve"> </w:t>
      </w:r>
      <w:r>
        <w:t>Shaded</w:t>
      </w:r>
      <w:r>
        <w:rPr>
          <w:spacing w:val="-19"/>
        </w:rPr>
        <w:t xml:space="preserve"> </w:t>
      </w:r>
      <w:r>
        <w:t>boxes</w:t>
      </w:r>
      <w:r>
        <w:rPr>
          <w:spacing w:val="-20"/>
        </w:rPr>
        <w:t xml:space="preserve"> </w:t>
      </w:r>
      <w:r>
        <w:t>represent</w:t>
      </w:r>
      <w:r>
        <w:rPr>
          <w:spacing w:val="-19"/>
        </w:rPr>
        <w:t xml:space="preserve"> </w:t>
      </w:r>
      <w:r>
        <w:t>the</w:t>
      </w:r>
      <w:r>
        <w:rPr>
          <w:spacing w:val="-19"/>
        </w:rPr>
        <w:t xml:space="preserve"> </w:t>
      </w:r>
      <w:r>
        <w:t>interquartile</w:t>
      </w:r>
      <w:r>
        <w:rPr>
          <w:spacing w:val="-20"/>
        </w:rPr>
        <w:t xml:space="preserve"> </w:t>
      </w:r>
      <w:r>
        <w:t>range,</w:t>
      </w:r>
      <w:r>
        <w:rPr>
          <w:spacing w:val="-18"/>
        </w:rPr>
        <w:t xml:space="preserve"> </w:t>
      </w:r>
      <w:r>
        <w:t>with</w:t>
      </w:r>
      <w:r>
        <w:rPr>
          <w:spacing w:val="-20"/>
        </w:rPr>
        <w:t xml:space="preserve"> </w:t>
      </w:r>
      <w:r>
        <w:t>horizontal line</w:t>
      </w:r>
      <w:r>
        <w:rPr>
          <w:spacing w:val="-21"/>
        </w:rPr>
        <w:t xml:space="preserve"> </w:t>
      </w:r>
      <w:r>
        <w:t>at</w:t>
      </w:r>
      <w:r>
        <w:rPr>
          <w:spacing w:val="-20"/>
        </w:rPr>
        <w:t xml:space="preserve"> </w:t>
      </w:r>
      <w:r>
        <w:t>median,</w:t>
      </w:r>
      <w:r>
        <w:rPr>
          <w:spacing w:val="-19"/>
        </w:rPr>
        <w:t xml:space="preserve"> </w:t>
      </w:r>
      <w:r>
        <w:t>whiskers</w:t>
      </w:r>
      <w:r>
        <w:rPr>
          <w:spacing w:val="-21"/>
        </w:rPr>
        <w:t xml:space="preserve"> </w:t>
      </w:r>
      <w:r>
        <w:t>represent</w:t>
      </w:r>
      <w:r>
        <w:rPr>
          <w:spacing w:val="-20"/>
        </w:rPr>
        <w:t xml:space="preserve"> </w:t>
      </w:r>
      <w:r>
        <w:t>the</w:t>
      </w:r>
      <w:r>
        <w:rPr>
          <w:spacing w:val="-20"/>
        </w:rPr>
        <w:t xml:space="preserve"> </w:t>
      </w:r>
      <w:r>
        <w:t>range</w:t>
      </w:r>
      <w:r>
        <w:rPr>
          <w:spacing w:val="-20"/>
        </w:rPr>
        <w:t xml:space="preserve"> </w:t>
      </w:r>
      <w:r>
        <w:t>within</w:t>
      </w:r>
      <w:r>
        <w:rPr>
          <w:spacing w:val="-20"/>
        </w:rPr>
        <w:t xml:space="preserve"> </w:t>
      </w:r>
      <w:r>
        <w:t>2.7</w:t>
      </w:r>
      <w:r>
        <w:rPr>
          <w:spacing w:val="-20"/>
        </w:rPr>
        <w:t xml:space="preserve"> </w:t>
      </w:r>
      <w:r>
        <w:t>SD,</w:t>
      </w:r>
      <w:r>
        <w:rPr>
          <w:spacing w:val="-21"/>
        </w:rPr>
        <w:t xml:space="preserve"> </w:t>
      </w:r>
      <w:r>
        <w:t>and</w:t>
      </w:r>
      <w:r>
        <w:rPr>
          <w:spacing w:val="-20"/>
        </w:rPr>
        <w:t xml:space="preserve"> </w:t>
      </w:r>
      <w:r>
        <w:t>dots</w:t>
      </w:r>
      <w:r>
        <w:rPr>
          <w:spacing w:val="-20"/>
        </w:rPr>
        <w:t xml:space="preserve"> </w:t>
      </w:r>
      <w:r>
        <w:t>represent</w:t>
      </w:r>
      <w:r>
        <w:rPr>
          <w:spacing w:val="-20"/>
        </w:rPr>
        <w:t xml:space="preserve"> </w:t>
      </w:r>
      <w:r>
        <w:t>outliers.</w:t>
      </w:r>
      <w:r>
        <w:rPr>
          <w:spacing w:val="-7"/>
        </w:rPr>
        <w:t xml:space="preserve"> </w:t>
      </w:r>
      <w:r>
        <w:t>The</w:t>
      </w:r>
      <w:r>
        <w:rPr>
          <w:spacing w:val="-20"/>
        </w:rPr>
        <w:t xml:space="preserve"> </w:t>
      </w:r>
      <w:r>
        <w:t>horizontal</w:t>
      </w:r>
      <w:r>
        <w:rPr>
          <w:spacing w:val="-21"/>
        </w:rPr>
        <w:t xml:space="preserve"> </w:t>
      </w:r>
      <w:r>
        <w:t>dotted line at y=1 represents no change in growth between the five years prior to drought and the drought year (</w:t>
      </w:r>
      <w:r>
        <w:rPr>
          <w:rFonts w:ascii="Georgia" w:hAnsi="Georgia"/>
          <w:i/>
        </w:rPr>
        <w:t>Rt</w:t>
      </w:r>
      <w:r>
        <w:t>) or the five years following the drought (</w:t>
      </w:r>
      <w:r>
        <w:rPr>
          <w:rFonts w:ascii="Georgia" w:hAnsi="Georgia"/>
          <w:i/>
        </w:rPr>
        <w:t>Rs</w:t>
      </w:r>
      <w:r>
        <w:t>). Letters illustrate significance groupings per year (colored and ordered, top to bottom, 1966, 1977, 1999). That is, a group of species with the same letter above their boxplot</w:t>
      </w:r>
      <w:r>
        <w:rPr>
          <w:spacing w:val="-9"/>
        </w:rPr>
        <w:t xml:space="preserve"> </w:t>
      </w:r>
      <w:r>
        <w:t>(e.g.</w:t>
      </w:r>
      <w:r>
        <w:rPr>
          <w:spacing w:val="-8"/>
        </w:rPr>
        <w:t xml:space="preserve"> </w:t>
      </w:r>
      <w:r>
        <w:t>“b”)</w:t>
      </w:r>
      <w:r>
        <w:rPr>
          <w:spacing w:val="-8"/>
        </w:rPr>
        <w:t xml:space="preserve"> </w:t>
      </w:r>
      <w:r>
        <w:t>are</w:t>
      </w:r>
      <w:r>
        <w:rPr>
          <w:spacing w:val="-8"/>
        </w:rPr>
        <w:t xml:space="preserve"> </w:t>
      </w:r>
      <w:r>
        <w:t>statistically</w:t>
      </w:r>
      <w:r>
        <w:rPr>
          <w:spacing w:val="-9"/>
        </w:rPr>
        <w:t xml:space="preserve"> </w:t>
      </w:r>
      <w:r>
        <w:t>different</w:t>
      </w:r>
      <w:r>
        <w:rPr>
          <w:spacing w:val="-8"/>
        </w:rPr>
        <w:t xml:space="preserve"> </w:t>
      </w:r>
      <w:r>
        <w:t>from</w:t>
      </w:r>
      <w:r>
        <w:rPr>
          <w:spacing w:val="-8"/>
        </w:rPr>
        <w:t xml:space="preserve"> </w:t>
      </w:r>
      <w:r>
        <w:t>species</w:t>
      </w:r>
      <w:r>
        <w:rPr>
          <w:spacing w:val="-8"/>
        </w:rPr>
        <w:t xml:space="preserve"> </w:t>
      </w:r>
      <w:r>
        <w:t>in</w:t>
      </w:r>
      <w:r>
        <w:rPr>
          <w:spacing w:val="-9"/>
        </w:rPr>
        <w:t xml:space="preserve"> </w:t>
      </w:r>
      <w:r>
        <w:t>another</w:t>
      </w:r>
      <w:r>
        <w:rPr>
          <w:spacing w:val="-8"/>
        </w:rPr>
        <w:t xml:space="preserve"> </w:t>
      </w:r>
      <w:r>
        <w:t>group</w:t>
      </w:r>
      <w:r>
        <w:rPr>
          <w:spacing w:val="-8"/>
        </w:rPr>
        <w:t xml:space="preserve"> </w:t>
      </w:r>
      <w:r>
        <w:t>(e.g.</w:t>
      </w:r>
      <w:r>
        <w:rPr>
          <w:spacing w:val="-8"/>
        </w:rPr>
        <w:t xml:space="preserve"> </w:t>
      </w:r>
      <w:r>
        <w:t>“a”).</w:t>
      </w:r>
      <w:r>
        <w:rPr>
          <w:spacing w:val="6"/>
        </w:rPr>
        <w:t xml:space="preserve"> </w:t>
      </w:r>
      <w:r>
        <w:t>Letter</w:t>
      </w:r>
      <w:r>
        <w:rPr>
          <w:spacing w:val="-8"/>
        </w:rPr>
        <w:t xml:space="preserve"> </w:t>
      </w:r>
      <w:r>
        <w:t>groupings</w:t>
      </w:r>
      <w:r>
        <w:rPr>
          <w:spacing w:val="-8"/>
        </w:rPr>
        <w:t xml:space="preserve"> </w:t>
      </w:r>
      <w:r>
        <w:t>do</w:t>
      </w:r>
      <w:r>
        <w:rPr>
          <w:spacing w:val="-9"/>
        </w:rPr>
        <w:t xml:space="preserve"> </w:t>
      </w:r>
      <w:r>
        <w:t>not transfer</w:t>
      </w:r>
      <w:r>
        <w:rPr>
          <w:spacing w:val="-9"/>
        </w:rPr>
        <w:t xml:space="preserve"> </w:t>
      </w:r>
      <w:r>
        <w:t>across</w:t>
      </w:r>
      <w:r>
        <w:rPr>
          <w:spacing w:val="-9"/>
        </w:rPr>
        <w:t xml:space="preserve"> </w:t>
      </w:r>
      <w:r>
        <w:t>variables</w:t>
      </w:r>
      <w:r>
        <w:rPr>
          <w:spacing w:val="-9"/>
        </w:rPr>
        <w:t xml:space="preserve"> </w:t>
      </w:r>
      <w:r>
        <w:rPr>
          <w:rFonts w:ascii="Georgia" w:hAnsi="Georgia"/>
          <w:i/>
        </w:rPr>
        <w:t>Rt</w:t>
      </w:r>
      <w:r>
        <w:rPr>
          <w:rFonts w:ascii="Georgia" w:hAnsi="Georgia"/>
          <w:i/>
          <w:spacing w:val="-7"/>
        </w:rPr>
        <w:t xml:space="preserve"> </w:t>
      </w:r>
      <w:r>
        <w:t>and</w:t>
      </w:r>
      <w:r>
        <w:rPr>
          <w:spacing w:val="-9"/>
        </w:rPr>
        <w:t xml:space="preserve"> </w:t>
      </w:r>
      <w:r>
        <w:rPr>
          <w:rFonts w:ascii="Georgia" w:hAnsi="Georgia"/>
          <w:i/>
        </w:rPr>
        <w:t>Rs</w:t>
      </w:r>
      <w:r>
        <w:t>.</w:t>
      </w:r>
      <w:r>
        <w:rPr>
          <w:spacing w:val="5"/>
        </w:rPr>
        <w:t xml:space="preserve"> </w:t>
      </w:r>
      <w:r>
        <w:t>See</w:t>
      </w:r>
      <w:r>
        <w:rPr>
          <w:spacing w:val="-9"/>
        </w:rPr>
        <w:t xml:space="preserve"> </w:t>
      </w:r>
      <w:r>
        <w:t>Fig.</w:t>
      </w:r>
      <w:r>
        <w:rPr>
          <w:spacing w:val="6"/>
        </w:rPr>
        <w:t xml:space="preserve"> </w:t>
      </w:r>
      <w:r>
        <w:t>S7</w:t>
      </w:r>
      <w:r>
        <w:rPr>
          <w:spacing w:val="-9"/>
        </w:rPr>
        <w:t xml:space="preserve"> </w:t>
      </w:r>
      <w:r>
        <w:t>for</w:t>
      </w:r>
      <w:r>
        <w:rPr>
          <w:spacing w:val="-9"/>
        </w:rPr>
        <w:t xml:space="preserve"> </w:t>
      </w:r>
      <w:r>
        <w:t>parallel</w:t>
      </w:r>
      <w:r>
        <w:rPr>
          <w:spacing w:val="-9"/>
        </w:rPr>
        <w:t xml:space="preserve"> </w:t>
      </w:r>
      <w:r>
        <w:t>plot</w:t>
      </w:r>
      <w:r>
        <w:rPr>
          <w:spacing w:val="-9"/>
        </w:rPr>
        <w:t xml:space="preserve"> </w:t>
      </w:r>
      <w:r>
        <w:t>for</w:t>
      </w:r>
      <w:r>
        <w:rPr>
          <w:spacing w:val="-9"/>
        </w:rPr>
        <w:t xml:space="preserve"> </w:t>
      </w:r>
      <w:r>
        <w:t>recovery</w:t>
      </w:r>
      <w:r>
        <w:rPr>
          <w:spacing w:val="-8"/>
        </w:rPr>
        <w:t xml:space="preserve"> </w:t>
      </w:r>
      <w:r>
        <w:t>(</w:t>
      </w:r>
      <w:proofErr w:type="spellStart"/>
      <w:r>
        <w:rPr>
          <w:rFonts w:ascii="Georgia" w:hAnsi="Georgia"/>
          <w:i/>
        </w:rPr>
        <w:t>Rc</w:t>
      </w:r>
      <w:proofErr w:type="spellEnd"/>
      <w:r>
        <w:t>).</w:t>
      </w:r>
      <w:r>
        <w:rPr>
          <w:spacing w:val="5"/>
        </w:rPr>
        <w:t xml:space="preserve"> </w:t>
      </w:r>
      <w:r>
        <w:t>Analysis</w:t>
      </w:r>
      <w:r>
        <w:rPr>
          <w:spacing w:val="-9"/>
        </w:rPr>
        <w:t xml:space="preserve"> </w:t>
      </w:r>
      <w:r>
        <w:t>conducted</w:t>
      </w:r>
      <w:r>
        <w:rPr>
          <w:spacing w:val="-9"/>
        </w:rPr>
        <w:t xml:space="preserve"> </w:t>
      </w:r>
      <w:r>
        <w:t xml:space="preserve">using </w:t>
      </w:r>
      <w:proofErr w:type="spellStart"/>
      <w:r>
        <w:rPr>
          <w:i/>
        </w:rPr>
        <w:t>agricolae</w:t>
      </w:r>
      <w:proofErr w:type="spellEnd"/>
      <w:r>
        <w:rPr>
          <w:i/>
          <w:spacing w:val="19"/>
        </w:rPr>
        <w:t xml:space="preserve"> </w:t>
      </w:r>
      <w:r>
        <w:t>package</w:t>
      </w:r>
      <w:r>
        <w:rPr>
          <w:spacing w:val="13"/>
        </w:rPr>
        <w:t xml:space="preserve"> </w:t>
      </w:r>
      <w:r>
        <w:t>in</w:t>
      </w:r>
      <w:r>
        <w:rPr>
          <w:spacing w:val="14"/>
        </w:rPr>
        <w:t xml:space="preserve"> </w:t>
      </w:r>
      <w:r>
        <w:t>R.</w:t>
      </w:r>
      <w:r>
        <w:rPr>
          <w:spacing w:val="13"/>
        </w:rPr>
        <w:t xml:space="preserve"> </w:t>
      </w:r>
      <w:r>
        <w:t>Descriptions</w:t>
      </w:r>
      <w:r>
        <w:rPr>
          <w:spacing w:val="13"/>
        </w:rPr>
        <w:t xml:space="preserve"> </w:t>
      </w:r>
      <w:r>
        <w:t>of</w:t>
      </w:r>
      <w:r>
        <w:rPr>
          <w:spacing w:val="13"/>
        </w:rPr>
        <w:t xml:space="preserve"> </w:t>
      </w:r>
      <w:r>
        <w:t>variables</w:t>
      </w:r>
      <w:r>
        <w:rPr>
          <w:spacing w:val="13"/>
        </w:rPr>
        <w:t xml:space="preserve"> </w:t>
      </w:r>
      <w:r>
        <w:t>(e.g.</w:t>
      </w:r>
      <w:r>
        <w:rPr>
          <w:spacing w:val="14"/>
        </w:rPr>
        <w:t xml:space="preserve"> </w:t>
      </w:r>
      <w:r>
        <w:rPr>
          <w:rFonts w:ascii="Georgia" w:hAnsi="Georgia"/>
          <w:i/>
        </w:rPr>
        <w:t>ln</w:t>
      </w:r>
      <w:r>
        <w:rPr>
          <w:rFonts w:ascii="Arial" w:hAnsi="Arial"/>
        </w:rPr>
        <w:t>[</w:t>
      </w:r>
      <w:r>
        <w:rPr>
          <w:rFonts w:ascii="Georgia" w:hAnsi="Georgia"/>
          <w:i/>
        </w:rPr>
        <w:t>H</w:t>
      </w:r>
      <w:r>
        <w:rPr>
          <w:rFonts w:ascii="Arial" w:hAnsi="Arial"/>
        </w:rPr>
        <w:t>]</w:t>
      </w:r>
      <w:r>
        <w:t>)</w:t>
      </w:r>
      <w:r>
        <w:rPr>
          <w:spacing w:val="13"/>
        </w:rPr>
        <w:t xml:space="preserve"> </w:t>
      </w:r>
      <w:r>
        <w:t>can</w:t>
      </w:r>
      <w:r>
        <w:rPr>
          <w:spacing w:val="14"/>
        </w:rPr>
        <w:t xml:space="preserve"> </w:t>
      </w:r>
      <w:r>
        <w:t>be</w:t>
      </w:r>
      <w:r>
        <w:rPr>
          <w:spacing w:val="13"/>
        </w:rPr>
        <w:t xml:space="preserve"> </w:t>
      </w:r>
      <w:r>
        <w:t>found</w:t>
      </w:r>
      <w:r>
        <w:rPr>
          <w:spacing w:val="13"/>
        </w:rPr>
        <w:t xml:space="preserve"> </w:t>
      </w:r>
      <w:r>
        <w:t>in</w:t>
      </w:r>
      <w:r>
        <w:rPr>
          <w:spacing w:val="13"/>
        </w:rPr>
        <w:t xml:space="preserve"> </w:t>
      </w:r>
      <w:r>
        <w:t>Table</w:t>
      </w:r>
      <w:r>
        <w:rPr>
          <w:spacing w:val="13"/>
        </w:rPr>
        <w:t xml:space="preserve"> </w:t>
      </w:r>
      <w:r>
        <w:t>3</w:t>
      </w:r>
    </w:p>
    <w:bookmarkEnd w:id="12"/>
    <w:bookmarkEnd w:id="119"/>
    <w:p w14:paraId="7DC77DB3" w14:textId="50D21094" w:rsidR="00D64B2B" w:rsidRDefault="00D64B2B">
      <w:pPr>
        <w:pStyle w:val="Bibliography"/>
      </w:pPr>
    </w:p>
    <w:sectPr w:rsidR="00D64B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AF67B" w14:textId="77777777" w:rsidR="00B25CD5" w:rsidRDefault="00B25CD5">
      <w:pPr>
        <w:spacing w:after="0"/>
      </w:pPr>
      <w:r>
        <w:separator/>
      </w:r>
    </w:p>
  </w:endnote>
  <w:endnote w:type="continuationSeparator" w:id="0">
    <w:p w14:paraId="0AEDA223" w14:textId="77777777" w:rsidR="00B25CD5" w:rsidRDefault="00B25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1791F" w14:textId="22496600" w:rsidR="00D64B2B" w:rsidRDefault="00480481">
    <w:pPr>
      <w:pStyle w:val="BodyText"/>
      <w:spacing w:line="14" w:lineRule="auto"/>
    </w:pPr>
    <w:r>
      <w:rPr>
        <w:noProof/>
      </w:rPr>
      <mc:AlternateContent>
        <mc:Choice Requires="wps">
          <w:drawing>
            <wp:anchor distT="0" distB="0" distL="114300" distR="114300" simplePos="0" relativeHeight="251659264" behindDoc="1" locked="0" layoutInCell="1" allowOverlap="1" wp14:anchorId="29EB2B8A" wp14:editId="1238A61D">
              <wp:simplePos x="0" y="0"/>
              <wp:positionH relativeFrom="page">
                <wp:posOffset>3816350</wp:posOffset>
              </wp:positionH>
              <wp:positionV relativeFrom="page">
                <wp:posOffset>9368155</wp:posOffset>
              </wp:positionV>
              <wp:extent cx="139700" cy="2051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21297" w14:textId="77777777" w:rsidR="00D64B2B" w:rsidRDefault="00D64B2B">
                          <w:pPr>
                            <w:pStyle w:val="BodyText"/>
                            <w:spacing w:before="34"/>
                            <w:ind w:left="60"/>
                          </w:pPr>
                          <w:r>
                            <w:fldChar w:fldCharType="begin"/>
                          </w:r>
                          <w:r>
                            <w:rPr>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B2B8A" id="_x0000_t202" coordsize="21600,21600" o:spt="202" path="m,l,21600r21600,l21600,xe">
              <v:stroke joinstyle="miter"/>
              <v:path gradientshapeok="t" o:connecttype="rect"/>
            </v:shapetype>
            <v:shape id="Text Box 1" o:spid="_x0000_s1026" type="#_x0000_t202" style="position:absolute;margin-left:300.5pt;margin-top:737.65pt;width:11pt;height:1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" filled="f" stroked="f">
              <v:textbox inset="0,0,0,0">
                <w:txbxContent>
                  <w:p w14:paraId="3DF21297" w14:textId="77777777" w:rsidR="00D64B2B" w:rsidRDefault="00D64B2B">
                    <w:pPr>
                      <w:pStyle w:val="BodyText"/>
                      <w:spacing w:before="34"/>
                      <w:ind w:left="60"/>
                    </w:pPr>
                    <w:r>
                      <w:fldChar w:fldCharType="begin"/>
                    </w:r>
                    <w:r>
                      <w:rPr>
                        <w:w w:val="99"/>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B3F86" w14:textId="77777777" w:rsidR="00B25CD5" w:rsidRDefault="00B25CD5">
      <w:r>
        <w:separator/>
      </w:r>
    </w:p>
  </w:footnote>
  <w:footnote w:type="continuationSeparator" w:id="0">
    <w:p w14:paraId="20EDD75A" w14:textId="77777777" w:rsidR="00B25CD5" w:rsidRDefault="00B25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2648D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47C7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78A2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3254"/>
    <w:rsid w:val="004052B0"/>
    <w:rsid w:val="00480481"/>
    <w:rsid w:val="004E29B3"/>
    <w:rsid w:val="005517FF"/>
    <w:rsid w:val="00587D19"/>
    <w:rsid w:val="00590D07"/>
    <w:rsid w:val="006B51FB"/>
    <w:rsid w:val="00784D58"/>
    <w:rsid w:val="007A66F8"/>
    <w:rsid w:val="008D6863"/>
    <w:rsid w:val="00982B4F"/>
    <w:rsid w:val="00A40668"/>
    <w:rsid w:val="00B25CD5"/>
    <w:rsid w:val="00B86B75"/>
    <w:rsid w:val="00BC48D5"/>
    <w:rsid w:val="00C36279"/>
    <w:rsid w:val="00D64B2B"/>
    <w:rsid w:val="00E315A3"/>
    <w:rsid w:val="00EE29F7"/>
    <w:rsid w:val="00F01C47"/>
    <w:rsid w:val="00F86D92"/>
    <w:rsid w:val="00FB50F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46CE0"/>
  <w15:docId w15:val="{522EC0D2-D12C-4B27-81BA-DECD27A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1"/>
    <w:qFormat/>
    <w:rsid w:val="00D64B2B"/>
    <w:pPr>
      <w:widowControl w:val="0"/>
      <w:autoSpaceDE w:val="0"/>
      <w:autoSpaceDN w:val="0"/>
      <w:spacing w:after="0"/>
    </w:pPr>
    <w:rPr>
      <w:rFonts w:ascii="Palatino Linotype" w:eastAsia="Palatino Linotype" w:hAnsi="Palatino Linotype" w:cs="Palatino Linotype"/>
      <w:sz w:val="22"/>
      <w:szCs w:val="22"/>
    </w:rPr>
  </w:style>
  <w:style w:type="paragraph" w:customStyle="1" w:styleId="TableParagraph">
    <w:name w:val="Table Paragraph"/>
    <w:basedOn w:val="Normal"/>
    <w:uiPriority w:val="1"/>
    <w:qFormat/>
    <w:rsid w:val="00D64B2B"/>
    <w:pPr>
      <w:widowControl w:val="0"/>
      <w:autoSpaceDE w:val="0"/>
      <w:autoSpaceDN w:val="0"/>
      <w:spacing w:after="0"/>
    </w:pPr>
    <w:rPr>
      <w:rFonts w:ascii="Palatino Linotype" w:eastAsia="Palatino Linotype" w:hAnsi="Palatino Linotype" w:cs="Palatino Linotype"/>
      <w:sz w:val="22"/>
      <w:szCs w:val="22"/>
    </w:rPr>
  </w:style>
  <w:style w:type="table" w:styleId="TableGrid">
    <w:name w:val="Table Grid"/>
    <w:basedOn w:val="TableNormal"/>
    <w:rsid w:val="00587D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52B0"/>
    <w:pPr>
      <w:tabs>
        <w:tab w:val="center" w:pos="4680"/>
        <w:tab w:val="right" w:pos="9360"/>
      </w:tabs>
      <w:spacing w:after="0"/>
    </w:pPr>
  </w:style>
  <w:style w:type="character" w:customStyle="1" w:styleId="HeaderChar">
    <w:name w:val="Header Char"/>
    <w:basedOn w:val="DefaultParagraphFont"/>
    <w:link w:val="Header"/>
    <w:rsid w:val="004052B0"/>
  </w:style>
  <w:style w:type="paragraph" w:styleId="Footer">
    <w:name w:val="footer"/>
    <w:basedOn w:val="Normal"/>
    <w:link w:val="FooterChar"/>
    <w:unhideWhenUsed/>
    <w:rsid w:val="004052B0"/>
    <w:pPr>
      <w:tabs>
        <w:tab w:val="center" w:pos="4680"/>
        <w:tab w:val="right" w:pos="9360"/>
      </w:tabs>
      <w:spacing w:after="0"/>
    </w:pPr>
  </w:style>
  <w:style w:type="character" w:customStyle="1" w:styleId="FooterChar">
    <w:name w:val="Footer Char"/>
    <w:basedOn w:val="DefaultParagraphFont"/>
    <w:link w:val="Footer"/>
    <w:rsid w:val="0040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38849">
      <w:bodyDiv w:val="1"/>
      <w:marLeft w:val="0"/>
      <w:marRight w:val="0"/>
      <w:marTop w:val="0"/>
      <w:marBottom w:val="0"/>
      <w:divBdr>
        <w:top w:val="none" w:sz="0" w:space="0" w:color="auto"/>
        <w:left w:val="none" w:sz="0" w:space="0" w:color="auto"/>
        <w:bottom w:val="none" w:sz="0" w:space="0" w:color="auto"/>
        <w:right w:val="none" w:sz="0" w:space="0" w:color="auto"/>
      </w:divBdr>
    </w:div>
    <w:div w:id="451095883">
      <w:bodyDiv w:val="1"/>
      <w:marLeft w:val="0"/>
      <w:marRight w:val="0"/>
      <w:marTop w:val="0"/>
      <w:marBottom w:val="0"/>
      <w:divBdr>
        <w:top w:val="none" w:sz="0" w:space="0" w:color="auto"/>
        <w:left w:val="none" w:sz="0" w:space="0" w:color="auto"/>
        <w:bottom w:val="none" w:sz="0" w:space="0" w:color="auto"/>
        <w:right w:val="none" w:sz="0" w:space="0" w:color="auto"/>
      </w:divBdr>
    </w:div>
    <w:div w:id="495921780">
      <w:bodyDiv w:val="1"/>
      <w:marLeft w:val="0"/>
      <w:marRight w:val="0"/>
      <w:marTop w:val="0"/>
      <w:marBottom w:val="0"/>
      <w:divBdr>
        <w:top w:val="none" w:sz="0" w:space="0" w:color="auto"/>
        <w:left w:val="none" w:sz="0" w:space="0" w:color="auto"/>
        <w:bottom w:val="none" w:sz="0" w:space="0" w:color="auto"/>
        <w:right w:val="none" w:sz="0" w:space="0" w:color="auto"/>
      </w:divBdr>
    </w:div>
    <w:div w:id="1198618652">
      <w:bodyDiv w:val="1"/>
      <w:marLeft w:val="0"/>
      <w:marRight w:val="0"/>
      <w:marTop w:val="0"/>
      <w:marBottom w:val="0"/>
      <w:divBdr>
        <w:top w:val="none" w:sz="0" w:space="0" w:color="auto"/>
        <w:left w:val="none" w:sz="0" w:space="0" w:color="auto"/>
        <w:bottom w:val="none" w:sz="0" w:space="0" w:color="auto"/>
        <w:right w:val="none" w:sz="0" w:space="0" w:color="auto"/>
      </w:divBdr>
    </w:div>
    <w:div w:id="1269655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90/15-0468.1" TargetMode="External"/><Relationship Id="rId117" Type="http://schemas.openxmlformats.org/officeDocument/2006/relationships/hyperlink" Target="https://doi.org/10.1111/ele.13136" TargetMode="External"/><Relationship Id="rId21" Type="http://schemas.openxmlformats.org/officeDocument/2006/relationships/hyperlink" Target="https://doi.org/10.1073/pnas.1525678113" TargetMode="External"/><Relationship Id="rId42" Type="http://schemas.openxmlformats.org/officeDocument/2006/relationships/hyperlink" Target="https://doi.org/10.1111/ecog.03836" TargetMode="External"/><Relationship Id="rId47" Type="http://schemas.openxmlformats.org/officeDocument/2006/relationships/hyperlink" Target="https://doi.org/10.1126/science.1066360" TargetMode="External"/><Relationship Id="rId63" Type="http://schemas.openxmlformats.org/officeDocument/2006/relationships/hyperlink" Target="https://CRAN.R-project.org/package=forecast" TargetMode="External"/><Relationship Id="rId68" Type="http://schemas.openxmlformats.org/officeDocument/2006/relationships/hyperlink" Target="https://doi.org/10.1029/2018MS001500" TargetMode="External"/><Relationship Id="rId84" Type="http://schemas.openxmlformats.org/officeDocument/2006/relationships/hyperlink" Target="https://doi.org/10.1111/nph.14633" TargetMode="External"/><Relationship Id="rId89" Type="http://schemas.openxmlformats.org/officeDocument/2006/relationships/hyperlink" Target="https://CRAN.R-project.org/package=dynatopmodel" TargetMode="External"/><Relationship Id="rId112" Type="http://schemas.openxmlformats.org/officeDocument/2006/relationships/hyperlink" Target="https://doi.org/10.1038/s41467-020-17214-4" TargetMode="External"/><Relationship Id="rId16" Type="http://schemas.openxmlformats.org/officeDocument/2006/relationships/hyperlink" Target="https://www7.ncdc.noaa.gov/CDO/CDODivisionalSelect.jsp" TargetMode="External"/><Relationship Id="rId107" Type="http://schemas.openxmlformats.org/officeDocument/2006/relationships/hyperlink" Target="https://doi.org/10.1111/nph.15499" TargetMode="External"/><Relationship Id="rId11" Type="http://schemas.openxmlformats.org/officeDocument/2006/relationships/hyperlink" Target="https://twitter.com/YellowBuckeye" TargetMode="External"/><Relationship Id="rId32" Type="http://schemas.openxmlformats.org/officeDocument/2006/relationships/hyperlink" Target="https://doi.org/10.1111/nph.15071" TargetMode="External"/><Relationship Id="rId37" Type="http://schemas.openxmlformats.org/officeDocument/2006/relationships/hyperlink" Target="https://doi.org/10.1111/gcb.13160" TargetMode="External"/><Relationship Id="rId53" Type="http://schemas.openxmlformats.org/officeDocument/2006/relationships/hyperlink" Target="https://doi.org/10.1007/s10021-020-00501-y" TargetMode="External"/><Relationship Id="rId58" Type="http://schemas.openxmlformats.org/officeDocument/2006/relationships/hyperlink" Target="https://doi.org/10.1002/joc.3711" TargetMode="External"/><Relationship Id="rId74" Type="http://schemas.openxmlformats.org/officeDocument/2006/relationships/hyperlink" Target="https://doi.org/10.1111/j.1600-0706.2011.19372.x" TargetMode="External"/><Relationship Id="rId79" Type="http://schemas.openxmlformats.org/officeDocument/2006/relationships/hyperlink" Target="https://doi.org/10.1111/jbi.12462" TargetMode="External"/><Relationship Id="rId102" Type="http://schemas.openxmlformats.org/officeDocument/2006/relationships/hyperlink" Target="https://doi.org/10.1093/treephys/tpz062" TargetMode="External"/><Relationship Id="rId123" Type="http://schemas.openxmlformats.org/officeDocument/2006/relationships/hyperlink" Target="https://doi.org/10.1002/ecy.1950" TargetMode="External"/><Relationship Id="rId5" Type="http://schemas.openxmlformats.org/officeDocument/2006/relationships/footnotes" Target="footnotes.xml"/><Relationship Id="rId90" Type="http://schemas.openxmlformats.org/officeDocument/2006/relationships/hyperlink" Target="https://doi.org/10.1111/ele.12302" TargetMode="External"/><Relationship Id="rId95" Type="http://schemas.openxmlformats.org/officeDocument/2006/relationships/hyperlink" Target="https://doi.org/10.1111/gcb.15037" TargetMode="External"/><Relationship Id="rId22" Type="http://schemas.openxmlformats.org/officeDocument/2006/relationships/hyperlink" Target="https://doi.org/10.1111/gcb.12712" TargetMode="External"/><Relationship Id="rId27" Type="http://schemas.openxmlformats.org/officeDocument/2006/relationships/hyperlink" Target="https://CRAN.R-project.org/package=lme4" TargetMode="External"/><Relationship Id="rId43" Type="http://schemas.openxmlformats.org/officeDocument/2006/relationships/hyperlink" Target="https://doi.org/10.1038/s41467-020-14300-5" TargetMode="External"/><Relationship Id="rId48" Type="http://schemas.openxmlformats.org/officeDocument/2006/relationships/hyperlink" Target="https://doi.org/10.1111/pce.12948" TargetMode="External"/><Relationship Id="rId64" Type="http://schemas.openxmlformats.org/officeDocument/2006/relationships/hyperlink" Target="https://doi.org/10.1017/CBO9781107415386" TargetMode="External"/><Relationship Id="rId69" Type="http://schemas.openxmlformats.org/officeDocument/2006/relationships/hyperlink" Target="https://doi.org/10.1093/treephys/21.12-13.951" TargetMode="External"/><Relationship Id="rId113" Type="http://schemas.openxmlformats.org/officeDocument/2006/relationships/hyperlink" Target="https://doi.org/10.1038/s41467-019-12380-6" TargetMode="External"/><Relationship Id="rId118" Type="http://schemas.openxmlformats.org/officeDocument/2006/relationships/hyperlink" Target="https://doi.org/10.1111/gcb.14803" TargetMode="External"/><Relationship Id="rId80" Type="http://schemas.openxmlformats.org/officeDocument/2006/relationships/hyperlink" Target="https://CRAN.R-project.org/package=AICcmodavg" TargetMode="External"/><Relationship Id="rId85" Type="http://schemas.openxmlformats.org/officeDocument/2006/relationships/hyperlink" Target="https://doi.org/10.1111/1365-2435.13229" TargetMode="External"/><Relationship Id="rId12" Type="http://schemas.openxmlformats.org/officeDocument/2006/relationships/hyperlink" Target="https://www.facebook.com/neil.pederson.5" TargetMode="External"/><Relationship Id="rId17" Type="http://schemas.openxmlformats.org/officeDocument/2006/relationships/hyperlink" Target="https://github.com/SCBI-ForestGEO" TargetMode="External"/><Relationship Id="rId33" Type="http://schemas.openxmlformats.org/officeDocument/2006/relationships/hyperlink" Target="https://doi.org/10.1111/2041-210X.12541" TargetMode="External"/><Relationship Id="rId38" Type="http://schemas.openxmlformats.org/officeDocument/2006/relationships/hyperlink" Target="https://doi.org/10.1007/978-3-662-03664-8" TargetMode="External"/><Relationship Id="rId59" Type="http://schemas.openxmlformats.org/officeDocument/2006/relationships/hyperlink" Target="https://doi.org/10.1111/nph.15906" TargetMode="External"/><Relationship Id="rId103" Type="http://schemas.openxmlformats.org/officeDocument/2006/relationships/hyperlink" Target="https://doi.org/10.1016/j.dendro.2019.04.001" TargetMode="External"/><Relationship Id="rId108" Type="http://schemas.openxmlformats.org/officeDocument/2006/relationships/hyperlink" Target="https://doi.org/10.1111/gcb.14747" TargetMode="External"/><Relationship Id="rId124" Type="http://schemas.openxmlformats.org/officeDocument/2006/relationships/footer" Target="footer1.xml"/><Relationship Id="rId54" Type="http://schemas.openxmlformats.org/officeDocument/2006/relationships/hyperlink" Target="https://doi.org/10.5281/ZENODO.2649302" TargetMode="External"/><Relationship Id="rId70" Type="http://schemas.openxmlformats.org/officeDocument/2006/relationships/hyperlink" Target="https://doi.org/10.1016/j.agrformet.2017.03.002" TargetMode="External"/><Relationship Id="rId75" Type="http://schemas.openxmlformats.org/officeDocument/2006/relationships/hyperlink" Target="https://CRAN.R-project.org/package=neonUtilities" TargetMode="External"/><Relationship Id="rId91" Type="http://schemas.openxmlformats.org/officeDocument/2006/relationships/hyperlink" Target="https://doi.org/10.1073/pnas.1721728115" TargetMode="External"/><Relationship Id="rId96" Type="http://schemas.openxmlformats.org/officeDocument/2006/relationships/hyperlink" Target="https://doi.org/10.1186/s40663-018-0139-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11/1365-2435.12470" TargetMode="External"/><Relationship Id="rId28" Type="http://schemas.openxmlformats.org/officeDocument/2006/relationships/hyperlink" Target="https://doi.org/10.1038/nplants.2015.139" TargetMode="External"/><Relationship Id="rId49" Type="http://schemas.openxmlformats.org/officeDocument/2006/relationships/hyperlink" Target="https://doi.org/10.1002/ajb2.1164" TargetMode="External"/><Relationship Id="rId114" Type="http://schemas.openxmlformats.org/officeDocument/2006/relationships/hyperlink" Target="https://doi.org/10.1111/j.1365-2745.2004.00941.x" TargetMode="External"/><Relationship Id="rId119" Type="http://schemas.openxmlformats.org/officeDocument/2006/relationships/hyperlink" Target="https://doi.org/10.1163/22941932-90001638" TargetMode="External"/><Relationship Id="rId44" Type="http://schemas.openxmlformats.org/officeDocument/2006/relationships/hyperlink" Target="https://doi.org/10.1371/journal.pone.0076296" TargetMode="External"/><Relationship Id="rId60" Type="http://schemas.openxmlformats.org/officeDocument/2006/relationships/hyperlink" Target="https://doi.org/10.1111/j.1365-2486.2011.02401.x" TargetMode="External"/><Relationship Id="rId65" Type="http://schemas.openxmlformats.org/officeDocument/2006/relationships/hyperlink" Target="https://doi.org/10.1093/forestry/72.1.59" TargetMode="External"/><Relationship Id="rId81" Type="http://schemas.openxmlformats.org/officeDocument/2006/relationships/hyperlink" Target="https://doi.org/10.1126/science.aaz9463" TargetMode="External"/><Relationship Id="rId86" Type="http://schemas.openxmlformats.org/officeDocument/2006/relationships/hyperlink" Target="https://doi.org/10.1007/s004420050931" TargetMode="External"/><Relationship Id="rId13" Type="http://schemas.openxmlformats.org/officeDocument/2006/relationships/hyperlink" Target="https://www.instagram.com/1yellowbuckeye/" TargetMode="External"/><Relationship Id="rId18" Type="http://schemas.openxmlformats.org/officeDocument/2006/relationships/hyperlink" Target="https://doi.org/10.1093/treephys/7.1-2-3-4.227" TargetMode="External"/><Relationship Id="rId39" Type="http://schemas.openxmlformats.org/officeDocument/2006/relationships/hyperlink" Target="https://doi.org/10.1126/sciadv.1400082" TargetMode="External"/><Relationship Id="rId109" Type="http://schemas.openxmlformats.org/officeDocument/2006/relationships/hyperlink" Target="https://doi.org/10.1007/s00442-013-2724-6" TargetMode="External"/><Relationship Id="rId34" Type="http://schemas.openxmlformats.org/officeDocument/2006/relationships/hyperlink" Target="https://doi.org/10.1111/1365-2745.13022" TargetMode="External"/><Relationship Id="rId50" Type="http://schemas.openxmlformats.org/officeDocument/2006/relationships/hyperlink" Target="https://doi.org/10.1175/JCLI3800.1" TargetMode="External"/><Relationship Id="rId55" Type="http://schemas.openxmlformats.org/officeDocument/2006/relationships/hyperlink" Target="https://doi.org/10.1002/ecs2.1595" TargetMode="External"/><Relationship Id="rId76" Type="http://schemas.openxmlformats.org/officeDocument/2006/relationships/hyperlink" Target="https://doi.org/10.1111/1365-2435.12452" TargetMode="External"/><Relationship Id="rId97" Type="http://schemas.openxmlformats.org/officeDocument/2006/relationships/hyperlink" Target="https://www.R-project.org/" TargetMode="External"/><Relationship Id="rId104" Type="http://schemas.openxmlformats.org/officeDocument/2006/relationships/hyperlink" Target="https://doi.org/10.1007/978-94-007-1242-3_13" TargetMode="External"/><Relationship Id="rId120" Type="http://schemas.openxmlformats.org/officeDocument/2006/relationships/hyperlink" Target="https://doi.org/10.1016/j.flora.2009.12.008" TargetMode="External"/><Relationship Id="rId125" Type="http://schemas.openxmlformats.org/officeDocument/2006/relationships/fontTable" Target="fontTable.xml"/><Relationship Id="rId7" Type="http://schemas.openxmlformats.org/officeDocument/2006/relationships/hyperlink" Target="mailto:teixeirak@si.edu" TargetMode="External"/><Relationship Id="rId71" Type="http://schemas.openxmlformats.org/officeDocument/2006/relationships/hyperlink" Target="https://doi.org/10.1111/2041-210X.12071" TargetMode="External"/><Relationship Id="rId92" Type="http://schemas.openxmlformats.org/officeDocument/2006/relationships/hyperlink" Target="https://doi.org/10.1002/ecm.1410" TargetMode="External"/><Relationship Id="rId2" Type="http://schemas.openxmlformats.org/officeDocument/2006/relationships/styles" Target="styles.xml"/><Relationship Id="rId29" Type="http://schemas.openxmlformats.org/officeDocument/2006/relationships/hyperlink" Target="https://doi.org/10.1080/02626667909491834" TargetMode="External"/><Relationship Id="rId24" Type="http://schemas.openxmlformats.org/officeDocument/2006/relationships/hyperlink" Target="https://doi.org/10.1073/pnas.1604088113" TargetMode="External"/><Relationship Id="rId40" Type="http://schemas.openxmlformats.org/officeDocument/2006/relationships/hyperlink" Target="https://doi.org/10.1111/pce.13322" TargetMode="External"/><Relationship Id="rId45" Type="http://schemas.openxmlformats.org/officeDocument/2006/relationships/hyperlink" Target="https://doi.org/10.1111/geb.12876" TargetMode="External"/><Relationship Id="rId66" Type="http://schemas.openxmlformats.org/officeDocument/2006/relationships/hyperlink" Target="https://doi.org/10.1111/gcb.14710" TargetMode="External"/><Relationship Id="rId87" Type="http://schemas.openxmlformats.org/officeDocument/2006/relationships/hyperlink" Target="https://doi.org/10.1046/j.1365-3040.2003.00991.x" TargetMode="External"/><Relationship Id="rId110" Type="http://schemas.openxmlformats.org/officeDocument/2006/relationships/hyperlink" Target="https://doi.org/10.1016/j.dib.2018.06.046" TargetMode="External"/><Relationship Id="rId115" Type="http://schemas.openxmlformats.org/officeDocument/2006/relationships/hyperlink" Target="https://doi.org/https://doi.org/10.5194/hess-10-101-2006" TargetMode="External"/><Relationship Id="rId61" Type="http://schemas.openxmlformats.org/officeDocument/2006/relationships/hyperlink" Target="https://CRAN.R-project.org/package=elevatr" TargetMode="External"/><Relationship Id="rId82" Type="http://schemas.openxmlformats.org/officeDocument/2006/relationships/hyperlink" Target="https://doi.org/10.1007/978-94-007-1242-3_10" TargetMode="External"/><Relationship Id="rId19" Type="http://schemas.openxmlformats.org/officeDocument/2006/relationships/hyperlink" Target="https://doi.org/10.1890/ES15-00203.1" TargetMode="External"/><Relationship Id="rId14" Type="http://schemas.openxmlformats.org/officeDocument/2006/relationships/hyperlink" Target="https://twitter.com/lawrensack" TargetMode="External"/><Relationship Id="rId30" Type="http://schemas.openxmlformats.org/officeDocument/2006/relationships/hyperlink" Target="https://doi.org/10.1126/science.1155121" TargetMode="External"/><Relationship Id="rId35" Type="http://schemas.openxmlformats.org/officeDocument/2006/relationships/hyperlink" Target="https://doi.org/10.1111/1365-2745.12925" TargetMode="External"/><Relationship Id="rId56" Type="http://schemas.openxmlformats.org/officeDocument/2006/relationships/hyperlink" Target="https://doi.org/10.1111/ele.12748" TargetMode="External"/><Relationship Id="rId77" Type="http://schemas.openxmlformats.org/officeDocument/2006/relationships/hyperlink" Target="https://doi.org/10.1111/1365-2745.13321" TargetMode="External"/><Relationship Id="rId100" Type="http://schemas.openxmlformats.org/officeDocument/2006/relationships/hyperlink" Target="https://doi.org/10.1073/pnas.1900734116" TargetMode="External"/><Relationship Id="rId105" Type="http://schemas.openxmlformats.org/officeDocument/2006/relationships/hyperlink" Target="https://doi.org/10.1007/978-3-319-61669-8_3" TargetMode="External"/><Relationship Id="rId126" Type="http://schemas.openxmlformats.org/officeDocument/2006/relationships/theme" Target="theme/theme1.xml"/><Relationship Id="rId8" Type="http://schemas.openxmlformats.org/officeDocument/2006/relationships/hyperlink" Target="https://twitter.com/realclimatian" TargetMode="External"/><Relationship Id="rId51" Type="http://schemas.openxmlformats.org/officeDocument/2006/relationships/hyperlink" Target="https://doi.org/10.1007/s00468-009-0315-2" TargetMode="External"/><Relationship Id="rId72" Type="http://schemas.openxmlformats.org/officeDocument/2006/relationships/hyperlink" Target="https://doi.org/10.1126/sciadv.aav1332" TargetMode="External"/><Relationship Id="rId93" Type="http://schemas.openxmlformats.org/officeDocument/2006/relationships/hyperlink" Target="https://doi.org/10.1093/treephys/23.4.237" TargetMode="External"/><Relationship Id="rId98" Type="http://schemas.openxmlformats.org/officeDocument/2006/relationships/hyperlink" Target="https://doi.org/10.3354/cr01427" TargetMode="External"/><Relationship Id="rId121" Type="http://schemas.openxmlformats.org/officeDocument/2006/relationships/hyperlink" Target="https://doi.org/10.1111/geb.12991" TargetMode="External"/><Relationship Id="rId3" Type="http://schemas.openxmlformats.org/officeDocument/2006/relationships/settings" Target="settings.xml"/><Relationship Id="rId25" Type="http://schemas.openxmlformats.org/officeDocument/2006/relationships/hyperlink" Target="https://doi.org/10.1111/j.2041-210X.2012.00230.x" TargetMode="External"/><Relationship Id="rId46" Type="http://schemas.openxmlformats.org/officeDocument/2006/relationships/hyperlink" Target="https://doi.org/10.1111/gcb.13045" TargetMode="External"/><Relationship Id="rId67" Type="http://schemas.openxmlformats.org/officeDocument/2006/relationships/hyperlink" Target="https://CRAN.R-project.org/package=LeafArea" TargetMode="External"/><Relationship Id="rId116" Type="http://schemas.openxmlformats.org/officeDocument/2006/relationships/hyperlink" Target="https://doi.org/10.1038/nclimate2067" TargetMode="External"/><Relationship Id="rId20" Type="http://schemas.openxmlformats.org/officeDocument/2006/relationships/hyperlink" Target="https://doi.org/10.1016/j.foreco.2009.09.001" TargetMode="External"/><Relationship Id="rId41" Type="http://schemas.openxmlformats.org/officeDocument/2006/relationships/hyperlink" Target="https://doi.org/10.1007/s40641-018-0101-6" TargetMode="External"/><Relationship Id="rId62" Type="http://schemas.openxmlformats.org/officeDocument/2006/relationships/hyperlink" Target="https://doi.org/10.1371/journal.pone.0086550" TargetMode="External"/><Relationship Id="rId83" Type="http://schemas.openxmlformats.org/officeDocument/2006/relationships/hyperlink" Target="https://doi.org/10.1038/nclimate2641" TargetMode="External"/><Relationship Id="rId88" Type="http://schemas.openxmlformats.org/officeDocument/2006/relationships/hyperlink" Target="https://doi.org/10.1016/j.foreco.2014.11.032" TargetMode="External"/><Relationship Id="rId111" Type="http://schemas.openxmlformats.org/officeDocument/2006/relationships/hyperlink" Target="https://doi.org/10.1016/j.foreco.2018.06.004" TargetMode="External"/><Relationship Id="rId15" Type="http://schemas.openxmlformats.org/officeDocument/2006/relationships/hyperlink" Target="https://twitter.com/K_A_Teixeira" TargetMode="External"/><Relationship Id="rId36" Type="http://schemas.openxmlformats.org/officeDocument/2006/relationships/hyperlink" Target="https://doi.org/https://doi.org/10.5194/gmd-9-4227-2016" TargetMode="External"/><Relationship Id="rId57" Type="http://schemas.openxmlformats.org/officeDocument/2006/relationships/hyperlink" Target="https://doi.org/10.1016/j.scienta.2008.08.006" TargetMode="External"/><Relationship Id="rId106" Type="http://schemas.openxmlformats.org/officeDocument/2006/relationships/hyperlink" Target="https://doi.org/10.1104/pp.113.221424" TargetMode="External"/><Relationship Id="rId10" Type="http://schemas.openxmlformats.org/officeDocument/2006/relationships/hyperlink" Target="https://twitter.com/StovallAtticus" TargetMode="External"/><Relationship Id="rId31" Type="http://schemas.openxmlformats.org/officeDocument/2006/relationships/hyperlink" Target="https://doi.org/10.1890/13-0010.1" TargetMode="External"/><Relationship Id="rId52" Type="http://schemas.openxmlformats.org/officeDocument/2006/relationships/hyperlink" Target="https://doi.org/10.1111/nph.16703" TargetMode="External"/><Relationship Id="rId73" Type="http://schemas.openxmlformats.org/officeDocument/2006/relationships/hyperlink" Target="https://doi.org/10.2307/2426431" TargetMode="External"/><Relationship Id="rId78" Type="http://schemas.openxmlformats.org/officeDocument/2006/relationships/hyperlink" Target="https://doi.org/10.1111/jbi.12462" TargetMode="External"/><Relationship Id="rId94" Type="http://schemas.openxmlformats.org/officeDocument/2006/relationships/hyperlink" Target="https://doi.org/10.1111/gcb.13731" TargetMode="External"/><Relationship Id="rId99" Type="http://schemas.openxmlformats.org/officeDocument/2006/relationships/hyperlink" Target="https://doi.org/10.1111/nph.15684" TargetMode="External"/><Relationship Id="rId101" Type="http://schemas.openxmlformats.org/officeDocument/2006/relationships/hyperlink" Target="https://doi.org/10.1111/j.1365-3040.2005.01478.x" TargetMode="External"/><Relationship Id="rId122" Type="http://schemas.openxmlformats.org/officeDocument/2006/relationships/hyperlink" Target="https://doi.org/10.1093/treephys/tpy013" TargetMode="External"/><Relationship Id="rId4" Type="http://schemas.openxmlformats.org/officeDocument/2006/relationships/webSettings" Target="webSettings.xml"/><Relationship Id="rId9" Type="http://schemas.openxmlformats.org/officeDocument/2006/relationships/hyperlink" Target="https://twitter.com/Zail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16311</Words>
  <Characters>92977</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keywords/>
  <cp:lastModifiedBy>Teixeira, Kristina A.</cp:lastModifiedBy>
  <cp:revision>6</cp:revision>
  <dcterms:created xsi:type="dcterms:W3CDTF">2020-10-07T02:25:00Z</dcterms:created>
  <dcterms:modified xsi:type="dcterms:W3CDTF">2020-10-07T11:37:00Z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