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on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evaporative demand and solar radiation. The potentially greater rooting volume of larger trees did not confer a resistance advantage, but marginally increased recovery and resilience, in sites with low topographic wetness index. Drought tolerance was greater among species whose leaves experienced less shrinkage upon desiccation and lost turgor (wilted) at more negative water potentials.</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global_2010">
        <w:r>
          <w:rPr>
            <w:rStyle w:val="Hyperlink"/>
          </w:rPr>
          <w:t xml:space="preserve">2010</w:t>
        </w:r>
      </w:hyperlink>
      <w:r>
        <w:t xml:space="preserve">,</w:t>
      </w:r>
      <w:r>
        <w:t xml:space="preserve"> </w:t>
      </w:r>
      <w:hyperlink w:anchor="ref-allen_underestimation_2015">
        <w:r>
          <w:rPr>
            <w:rStyle w:val="Hyperlink"/>
          </w:rPr>
          <w:t xml:space="preserve">2015</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and recover to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are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McDowell &amp; Allen,</w:t>
      </w:r>
      <w:r>
        <w:t xml:space="preserve"> </w:t>
      </w:r>
      <w:hyperlink w:anchor="ref-mcdowell_darcys_2015">
        <w:r>
          <w:rPr>
            <w:rStyle w:val="Hyperlink"/>
          </w:rPr>
          <w:t xml:space="preserve">2015</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(Koike</w:t>
      </w:r>
      <w:r>
        <w:t xml:space="preserve"> </w:t>
      </w:r>
      <w:r>
        <w:rPr>
          <w:i/>
        </w:rPr>
        <w:t xml:space="preserve">et al.</w:t>
      </w:r>
      <w:r>
        <w:t xml:space="preserve">,</w:t>
      </w:r>
      <w:r>
        <w:t xml:space="preserve"> </w:t>
      </w:r>
      <w:hyperlink w:anchor="ref-koike_leaf_2001">
        <w:r>
          <w:rPr>
            <w:rStyle w:val="Hyperlink"/>
          </w:rPr>
          <w:t xml:space="preserve">2001</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 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sorting out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However, this distinction does not always hold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w:t>
      </w:r>
      <w:r>
        <w:t xml:space="preserve">or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it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 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 as compared with five years’ pre-drought growth:</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perpetually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then added</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While we tested xylem porosity as a predictor (Table 1), we did not consider it appropriate for inclusion in the main model because of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that it is impossible for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different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hits.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gave us the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 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KAT, and NP. Trait data were collected by IM and JZ under guidance of NK, KAT, and LS. Other plot data were collected by NB in coordination with WM and by IM and AS under guidance of EGA and KAT.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Kristina J. Anderson-Teixeira:</w:t>
      </w:r>
      <w:r>
        <w:t xml:space="preserve"> </w:t>
      </w:r>
      <w:hyperlink r:id="rId32">
        <w:r>
          <w:rPr>
            <w:rStyle w:val="Hyperlink"/>
          </w:rPr>
          <w:t xml:space="preserve">https://orcid.org/0000-0001-8461-9713</w:t>
        </w:r>
      </w:hyperlink>
    </w:p>
    <w:p>
      <w:pPr>
        <w:pStyle w:val="Heading3"/>
      </w:pPr>
      <w:bookmarkStart w:id="33" w:name="supplementary-information"/>
      <w:r>
        <w:t xml:space="preserve">Supplementary Information</w:t>
      </w:r>
      <w:bookmarkEnd w:id="33"/>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Appendix S1. Further Package Citations</w:t>
      </w:r>
    </w:p>
    <w:bookmarkStart w:id="142" w:name="refs"/>
    <w:bookmarkStart w:id="34"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4"/>
    <w:bookmarkStart w:id="35"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5"/>
    <w:bookmarkStart w:id="36"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6"/>
    <w:bookmarkStart w:id="37"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7"/>
    <w:bookmarkStart w:id="38"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38"/>
    <w:bookmarkStart w:id="39"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39"/>
    <w:bookmarkStart w:id="40"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0"/>
    <w:bookmarkStart w:id="41"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1"/>
    <w:bookmarkStart w:id="42"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2"/>
    <w:bookmarkStart w:id="43"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3"/>
    <w:bookmarkStart w:id="44"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4"/>
    <w:bookmarkStart w:id="45"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5"/>
    <w:bookmarkStart w:id="46"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6"/>
    <w:bookmarkStart w:id="47"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7"/>
    <w:bookmarkStart w:id="48"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48"/>
    <w:bookmarkStart w:id="49"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49"/>
    <w:bookmarkStart w:id="50"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0"/>
    <w:bookmarkStart w:id="51"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1"/>
    <w:bookmarkStart w:id="52"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2"/>
    <w:bookmarkStart w:id="53"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3"/>
    <w:bookmarkStart w:id="54"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4"/>
    <w:bookmarkStart w:id="55"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5"/>
    <w:bookmarkStart w:id="56"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6"/>
    <w:bookmarkStart w:id="57"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7"/>
    <w:bookmarkStart w:id="58"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58"/>
    <w:bookmarkStart w:id="59"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59"/>
    <w:bookmarkStart w:id="60"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0"/>
    <w:bookmarkStart w:id="61"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1"/>
    <w:bookmarkStart w:id="62"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2"/>
    <w:bookmarkStart w:id="63"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3"/>
    <w:bookmarkStart w:id="64"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4"/>
    <w:bookmarkStart w:id="65"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5"/>
    <w:bookmarkStart w:id="66"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6"/>
    <w:bookmarkStart w:id="67"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7"/>
    <w:bookmarkStart w:id="68"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68"/>
    <w:bookmarkStart w:id="69"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69"/>
    <w:bookmarkStart w:id="70"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0"/>
    <w:bookmarkStart w:id="71"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1"/>
    <w:bookmarkStart w:id="72"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2"/>
    <w:bookmarkStart w:id="73"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3"/>
    <w:bookmarkStart w:id="74"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4"/>
    <w:bookmarkStart w:id="75"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5"/>
    <w:bookmarkStart w:id="76"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6"/>
    <w:bookmarkStart w:id="77"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7"/>
    <w:bookmarkStart w:id="78"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78"/>
    <w:bookmarkStart w:id="79"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79"/>
    <w:bookmarkStart w:id="80"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0"/>
    <w:bookmarkStart w:id="81"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1"/>
    <w:bookmarkStart w:id="82"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2"/>
    <w:bookmarkStart w:id="83"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3"/>
    <w:bookmarkStart w:id="84"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4"/>
    <w:bookmarkStart w:id="85"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5"/>
    <w:bookmarkStart w:id="86"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6"/>
    <w:bookmarkStart w:id="87"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7"/>
    <w:bookmarkStart w:id="88"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88"/>
    <w:bookmarkStart w:id="89"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89"/>
    <w:bookmarkStart w:id="90"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0"/>
    <w:bookmarkStart w:id="91"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1"/>
    <w:bookmarkStart w:id="92"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2"/>
    <w:bookmarkStart w:id="93"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3"/>
    <w:bookmarkStart w:id="94"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4"/>
    <w:bookmarkStart w:id="95"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5"/>
    <w:bookmarkStart w:id="96"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6"/>
    <w:bookmarkStart w:id="97"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7"/>
    <w:bookmarkStart w:id="98"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98"/>
    <w:bookmarkStart w:id="99"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99"/>
    <w:bookmarkStart w:id="100"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0"/>
    <w:bookmarkStart w:id="101"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1"/>
    <w:bookmarkStart w:id="102"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2"/>
    <w:bookmarkStart w:id="103"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3"/>
    <w:bookmarkStart w:id="104"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4"/>
    <w:bookmarkStart w:id="105"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5"/>
    <w:bookmarkStart w:id="106"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6"/>
    <w:bookmarkStart w:id="107"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7"/>
    <w:bookmarkStart w:id="108"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08"/>
    <w:bookmarkStart w:id="109"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09"/>
    <w:bookmarkStart w:id="110"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0"/>
    <w:bookmarkStart w:id="111"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1"/>
    <w:bookmarkStart w:id="112"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2"/>
    <w:bookmarkStart w:id="113"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3"/>
    <w:bookmarkStart w:id="114"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4"/>
    <w:bookmarkStart w:id="115"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5"/>
    <w:bookmarkStart w:id="116"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6"/>
    <w:bookmarkStart w:id="117"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7"/>
    <w:bookmarkStart w:id="118"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18"/>
    <w:bookmarkStart w:id="119"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19"/>
    <w:bookmarkStart w:id="120"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0"/>
    <w:bookmarkStart w:id="121"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1"/>
    <w:bookmarkStart w:id="122"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2"/>
    <w:bookmarkStart w:id="123"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3"/>
    <w:bookmarkStart w:id="124"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4"/>
    <w:bookmarkStart w:id="125"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5"/>
    <w:bookmarkStart w:id="126"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6"/>
    <w:bookmarkStart w:id="127"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7"/>
    <w:bookmarkStart w:id="128"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28"/>
    <w:bookmarkStart w:id="129"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29"/>
    <w:bookmarkStart w:id="130"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0"/>
    <w:bookmarkStart w:id="131"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1"/>
    <w:bookmarkStart w:id="132"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2"/>
    <w:bookmarkStart w:id="133"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3"/>
    <w:bookmarkStart w:id="134"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4"/>
    <w:bookmarkStart w:id="135"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5"/>
    <w:bookmarkStart w:id="136"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6"/>
    <w:bookmarkStart w:id="137"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7"/>
    <w:bookmarkStart w:id="138"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38"/>
    <w:bookmarkStart w:id="139"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39"/>
    <w:bookmarkStart w:id="140"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0"/>
    <w:bookmarkStart w:id="141"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2020-09-26T16:42:24Z</dcterms:created>
  <dcterms:modified xsi:type="dcterms:W3CDTF">2020-09-26T16:42:24Z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