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underestimation_2015">
        <w:r>
          <w:rPr>
            <w:rStyle w:val="Hyperlink"/>
          </w:rPr>
          <w:t xml:space="preserve">2015</w:t>
        </w:r>
      </w:hyperlink>
      <w:r>
        <w:t xml:space="preserve">,</w:t>
      </w:r>
      <w:r>
        <w:t xml:space="preserve"> </w:t>
      </w:r>
      <w:hyperlink w:anchor="ref-allen_global_2010">
        <w:r>
          <w:rPr>
            <w:rStyle w:val="Hyperlink"/>
          </w:rPr>
          <w:t xml:space="preserve">2010</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and recover to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are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McDowell &amp; Allen,</w:t>
      </w:r>
      <w:r>
        <w:t xml:space="preserve"> </w:t>
      </w:r>
      <w:hyperlink w:anchor="ref-mcdowell_darcys_2015">
        <w:r>
          <w:rPr>
            <w:rStyle w:val="Hyperlink"/>
          </w:rPr>
          <w:t xml:space="preserve">2015</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Koike</w:t>
      </w:r>
      <w:r>
        <w:t xml:space="preserve"> </w:t>
      </w:r>
      <w:r>
        <w:rPr>
          <w:i/>
        </w:rPr>
        <w:t xml:space="preserve">et al.</w:t>
      </w:r>
      <w:r>
        <w:t xml:space="preserve">,</w:t>
      </w:r>
      <w:r>
        <w:t xml:space="preserve"> </w:t>
      </w:r>
      <w:hyperlink w:anchor="ref-koike_leaf_2001">
        <w:r>
          <w:rPr>
            <w:rStyle w:val="Hyperlink"/>
          </w:rPr>
          <w:t xml:space="preserve">2001</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 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sorting out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However, this distinction does not always hold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w:t>
      </w:r>
      <w:r>
        <w:t xml:space="preserve">or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it does not resolve differences among the many species within each category.</w:t>
      </w:r>
      <w:r>
        <w:t xml:space="preserve"> </w:t>
      </w:r>
      <w:r>
        <w:t xml:space="preserve">Commonly-measured traits including wood density and leaf mass per area (</w:t>
      </w:r>
      <m:oMath>
        <m:r>
          <m:t>L</m:t>
        </m:r>
        <m:r>
          <m:t>M</m:t>
        </m:r>
        <m:r>
          <m:t>A</m:t>
        </m:r>
      </m:oMath>
      <w:r>
        <w:t xml:space="preserve">) have been linked to drought responses within some temperate deciduous forests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 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percent the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based on previous years’ growth;</w:t>
      </w:r>
      <w:r>
        <w:t xml:space="preserve"> </w:t>
      </w:r>
      <w:r>
        <w:t xml:space="preserve">(2) recovery, defined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perpetually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then added</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While we tested xylem porosity as a predictor (Table 1), we did not consider it appropriate for inclusion in the main model because of highly uneven distribution of species across categories (Table 2) and opposite drought responses of the only two diffuse-porous species (see Results).</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(wood density,</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 wood density 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w:r>
        <w:t xml:space="preserve">Wood density,</w:t>
      </w:r>
      <w:r>
        <w:t xml:space="preserve"> </w:t>
      </w:r>
      <m:oMath>
        <m:r>
          <m:t>L</m:t>
        </m:r>
        <m:r>
          <m:t>M</m:t>
        </m:r>
        <m:r>
          <m:t>A</m:t>
        </m:r>
      </m:oMath>
      <w:r>
        <w:t xml:space="preserve">, and xylem porosity were all poor predictors of drought tolerance (Tables 1, S4-S5).</w:t>
      </w:r>
      <w:r>
        <w:t xml:space="preserve"> </w:t>
      </w:r>
      <w:r>
        <w:t xml:space="preserve">Wood density 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 wood density,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that it is impossible for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w:t>
      </w:r>
      <w:r>
        <w:t xml:space="preserve"> </w:t>
      </w:r>
      <w:r>
        <w:t xml:space="preserve">Taller trees also face dramatically different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hits.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gave us the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 wood density 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 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w:t>
      </w:r>
      <w:r>
        <w:t xml:space="preserve">.</w:t>
      </w:r>
    </w:p>
    <w:p>
      <w:pPr>
        <w:pStyle w:val="BodyText"/>
      </w:pPr>
      <w:r>
        <w:t xml:space="preserve">As climate change drives increasing drought in many of the world’s forests</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and NP. Trait data were collected by IM, JZ under guidance of NK and LS. Other plot data were collected by NB in coordination with WM and by IM, AS, and EGA under guidance of EGA and WM.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Kristina J. Anderson-Teixeira:</w:t>
      </w:r>
      <w:r>
        <w:t xml:space="preserve"> </w:t>
      </w:r>
      <w:hyperlink r:id="rId32">
        <w:r>
          <w:rPr>
            <w:rStyle w:val="Hyperlink"/>
          </w:rPr>
          <w:t xml:space="preserve">https://orcid.org/0000-0001-8461-9713</w:t>
        </w:r>
      </w:hyperlink>
    </w:p>
    <w:p>
      <w:pPr>
        <w:pStyle w:val="Heading3"/>
      </w:pPr>
      <w:bookmarkStart w:id="33" w:name="supplementary-information"/>
      <w:r>
        <w:t xml:space="preserve">Supplementary Information</w:t>
      </w:r>
      <w:bookmarkEnd w:id="33"/>
    </w:p>
    <w:p>
      <w:pPr>
        <w:pStyle w:val="FirstParagraph"/>
      </w:pPr>
      <w:r>
        <w:rPr>
          <w:b/>
        </w:rPr>
        <w:t xml:space="preserve">NEED TO UPDATE !!</w:t>
      </w:r>
      <w:r>
        <w:t xml:space="preserve">**</w:t>
      </w:r>
      <w:r>
        <w:t xml:space="preserve"> </w:t>
      </w:r>
      <w:r>
        <w:t xml:space="preserve">Table S1. Monthly Palmer Drought Severity Index (PDSI), and its rank among all years between 1950 and 2009 (driest=1),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S7.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Figure S1. Time series of Palmer Drought Severity Index (PDSI) for the 2.5 years prior to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Visualization of best model, with data, for all droughts combined.</w:t>
      </w:r>
    </w:p>
    <w:p>
      <w:pPr>
        <w:pStyle w:val="BodyText"/>
      </w:pPr>
      <w:r>
        <w:t xml:space="preserve">Appendix S1. Further Package Citations</w:t>
      </w:r>
    </w:p>
    <w:bookmarkStart w:id="142" w:name="refs"/>
    <w:bookmarkStart w:id="34"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4"/>
    <w:bookmarkStart w:id="35"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5"/>
    <w:bookmarkStart w:id="36"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6"/>
    <w:bookmarkStart w:id="37"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7"/>
    <w:bookmarkStart w:id="38"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38"/>
    <w:bookmarkStart w:id="39"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39"/>
    <w:bookmarkStart w:id="40"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0"/>
    <w:bookmarkStart w:id="41"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1"/>
    <w:bookmarkStart w:id="42"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2"/>
    <w:bookmarkStart w:id="43"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3"/>
    <w:bookmarkStart w:id="44"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4"/>
    <w:bookmarkStart w:id="45"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5"/>
    <w:bookmarkStart w:id="46"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6"/>
    <w:bookmarkStart w:id="47"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7"/>
    <w:bookmarkStart w:id="48"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48"/>
    <w:bookmarkStart w:id="49"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49"/>
    <w:bookmarkStart w:id="50"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0"/>
    <w:bookmarkStart w:id="51"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1"/>
    <w:bookmarkStart w:id="52"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2"/>
    <w:bookmarkStart w:id="53"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3"/>
    <w:bookmarkStart w:id="54"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4"/>
    <w:bookmarkStart w:id="55"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5"/>
    <w:bookmarkStart w:id="56"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6"/>
    <w:bookmarkStart w:id="57"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7"/>
    <w:bookmarkStart w:id="58"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58"/>
    <w:bookmarkStart w:id="59"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59"/>
    <w:bookmarkStart w:id="60"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0"/>
    <w:bookmarkStart w:id="61"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1"/>
    <w:bookmarkStart w:id="62"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2"/>
    <w:bookmarkStart w:id="63"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3"/>
    <w:bookmarkStart w:id="64"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4"/>
    <w:bookmarkStart w:id="65"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5"/>
    <w:bookmarkStart w:id="66"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6"/>
    <w:bookmarkStart w:id="67"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7"/>
    <w:bookmarkStart w:id="68"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68"/>
    <w:bookmarkStart w:id="69"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69"/>
    <w:bookmarkStart w:id="70"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0"/>
    <w:bookmarkStart w:id="71"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1"/>
    <w:bookmarkStart w:id="72"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2"/>
    <w:bookmarkStart w:id="73"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3"/>
    <w:bookmarkStart w:id="74"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4"/>
    <w:bookmarkStart w:id="75"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5"/>
    <w:bookmarkStart w:id="76"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6"/>
    <w:bookmarkStart w:id="77"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7"/>
    <w:bookmarkStart w:id="78"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78"/>
    <w:bookmarkStart w:id="79"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79"/>
    <w:bookmarkStart w:id="80"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0"/>
    <w:bookmarkStart w:id="81"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1"/>
    <w:bookmarkStart w:id="82"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2"/>
    <w:bookmarkStart w:id="83"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3"/>
    <w:bookmarkStart w:id="84"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4"/>
    <w:bookmarkStart w:id="85"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5"/>
    <w:bookmarkStart w:id="86"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6"/>
    <w:bookmarkStart w:id="87"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7"/>
    <w:bookmarkStart w:id="88"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88"/>
    <w:bookmarkStart w:id="89"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89"/>
    <w:bookmarkStart w:id="90"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0"/>
    <w:bookmarkStart w:id="91"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1"/>
    <w:bookmarkStart w:id="92"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2"/>
    <w:bookmarkStart w:id="93"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3"/>
    <w:bookmarkStart w:id="94"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4"/>
    <w:bookmarkStart w:id="95"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5"/>
    <w:bookmarkStart w:id="96"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6"/>
    <w:bookmarkStart w:id="97"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7"/>
    <w:bookmarkStart w:id="98"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98"/>
    <w:bookmarkStart w:id="99"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99"/>
    <w:bookmarkStart w:id="100"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0"/>
    <w:bookmarkStart w:id="101"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1"/>
    <w:bookmarkStart w:id="102"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2"/>
    <w:bookmarkStart w:id="103"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3"/>
    <w:bookmarkStart w:id="104"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4"/>
    <w:bookmarkStart w:id="105"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5"/>
    <w:bookmarkStart w:id="106"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6"/>
    <w:bookmarkStart w:id="107"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7"/>
    <w:bookmarkStart w:id="108"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08"/>
    <w:bookmarkStart w:id="109"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09"/>
    <w:bookmarkStart w:id="110"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0"/>
    <w:bookmarkStart w:id="111"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1"/>
    <w:bookmarkStart w:id="112"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2"/>
    <w:bookmarkStart w:id="113"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3"/>
    <w:bookmarkStart w:id="114"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4"/>
    <w:bookmarkStart w:id="115"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5"/>
    <w:bookmarkStart w:id="116"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6"/>
    <w:bookmarkStart w:id="117"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7"/>
    <w:bookmarkStart w:id="118"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18"/>
    <w:bookmarkStart w:id="119"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19"/>
    <w:bookmarkStart w:id="120"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0"/>
    <w:bookmarkStart w:id="121"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1"/>
    <w:bookmarkStart w:id="122"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2"/>
    <w:bookmarkStart w:id="123"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3"/>
    <w:bookmarkStart w:id="124"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4"/>
    <w:bookmarkStart w:id="125"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5"/>
    <w:bookmarkStart w:id="126"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6"/>
    <w:bookmarkStart w:id="127"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7"/>
    <w:bookmarkStart w:id="128"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28"/>
    <w:bookmarkStart w:id="129"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29"/>
    <w:bookmarkStart w:id="130"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0"/>
    <w:bookmarkStart w:id="131"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1"/>
    <w:bookmarkStart w:id="132"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2"/>
    <w:bookmarkStart w:id="133"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3"/>
    <w:bookmarkStart w:id="134"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4"/>
    <w:bookmarkStart w:id="135"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5"/>
    <w:bookmarkStart w:id="136"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6"/>
    <w:bookmarkStart w:id="137"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7"/>
    <w:bookmarkStart w:id="138"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38"/>
    <w:bookmarkStart w:id="139"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39"/>
    <w:bookmarkStart w:id="140"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0"/>
    <w:bookmarkStart w:id="141"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2020-09-25T15:06:32Z</dcterms:created>
  <dcterms:modified xsi:type="dcterms:W3CDTF">2020-09-25T15:06:32Z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