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5,365</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198</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1,034</w:t>
            </w:r>
          </w:p>
        </w:tc>
        <w:tc>
          <w:p>
            <w:pPr>
              <w:pStyle w:val="Compact"/>
              <w:jc w:val="left"/>
            </w:pPr>
            <w:r>
              <w:t xml:space="preserve">No of Supporting Information files</w:t>
            </w:r>
          </w:p>
        </w:tc>
        <w:tc>
          <w:p>
            <w:pPr>
              <w:pStyle w:val="Compact"/>
              <w:jc w:val="left"/>
            </w:pPr>
            <w:r>
              <w:t xml:space="preserve">14</w:t>
            </w:r>
          </w:p>
        </w:tc>
      </w:tr>
      <w:tr>
        <w:tc>
          <w:p>
            <w:pPr>
              <w:pStyle w:val="Compact"/>
              <w:jc w:val="left"/>
            </w:pPr>
            <w:r>
              <w:t xml:space="preserve">Materials and Methods</w:t>
            </w:r>
          </w:p>
        </w:tc>
        <w:tc>
          <w:p>
            <w:pPr>
              <w:pStyle w:val="Compact"/>
              <w:jc w:val="left"/>
            </w:pPr>
            <w:r>
              <w:t xml:space="preserve">1,945</w:t>
            </w:r>
          </w:p>
        </w:tc>
        <w:tc>
          <w:p/>
        </w:tc>
        <w:tc>
          <w:p/>
        </w:tc>
      </w:tr>
      <w:tr>
        <w:tc>
          <w:p>
            <w:pPr>
              <w:pStyle w:val="Compact"/>
              <w:jc w:val="left"/>
            </w:pPr>
            <w:r>
              <w:t xml:space="preserve">Results</w:t>
            </w:r>
          </w:p>
        </w:tc>
        <w:tc>
          <w:p>
            <w:pPr>
              <w:pStyle w:val="Compact"/>
              <w:jc w:val="left"/>
            </w:pPr>
            <w:r>
              <w:t xml:space="preserve">697</w:t>
            </w:r>
          </w:p>
        </w:tc>
        <w:tc>
          <w:p/>
        </w:tc>
        <w:tc>
          <w:p/>
        </w:tc>
      </w:tr>
      <w:tr>
        <w:tc>
          <w:p>
            <w:pPr>
              <w:pStyle w:val="Compact"/>
              <w:jc w:val="left"/>
            </w:pPr>
            <w:r>
              <w:t xml:space="preserve">Discussion</w:t>
            </w:r>
          </w:p>
        </w:tc>
        <w:tc>
          <w:p>
            <w:pPr>
              <w:pStyle w:val="Compact"/>
              <w:jc w:val="left"/>
            </w:pPr>
            <w:r>
              <w:t xml:space="preserve">1467</w:t>
            </w:r>
          </w:p>
        </w:tc>
        <w:tc>
          <w:p/>
        </w:tc>
        <w:tc>
          <w:p/>
        </w:tc>
      </w:tr>
      <w:tr>
        <w:tc>
          <w:p>
            <w:pPr>
              <w:pStyle w:val="Compact"/>
              <w:jc w:val="left"/>
            </w:pPr>
            <w:r>
              <w:t xml:space="preserve">Acknowledgements</w:t>
            </w:r>
          </w:p>
        </w:tc>
        <w:tc>
          <w:p>
            <w:pPr>
              <w:pStyle w:val="Compact"/>
              <w:jc w:val="left"/>
            </w:pPr>
            <w:r>
              <w:t xml:space="preserve">125</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around the world, mechanistic understanding of the factors conferring drought resistance in trees is increasingly important. The dendrochronological record provides a window through which we can understand how tree size and species’ traits shape growth responses during droughts.</w:t>
      </w:r>
    </w:p>
    <w:p>
      <w:pPr>
        <w:numPr>
          <w:numId w:val="1002"/>
          <w:ilvl w:val="0"/>
        </w:numPr>
      </w:pPr>
      <w:r>
        <w:t xml:space="preserve">We analyzed tree-ring records for twelve species that comprise 97% of the woody productivity in a broadleaf deciduous forest of northern Virginia (USA) to test hypotheses on how tree height, microenvironment characteristics, and species’ traits shaped drought responses across the three strongest regional droughts over a 60-year period (1950 - 2009).</w:t>
      </w:r>
    </w:p>
    <w:p>
      <w:pPr>
        <w:numPr>
          <w:numId w:val="1002"/>
          <w:ilvl w:val="0"/>
        </w:numPr>
      </w:pPr>
      <w:r>
        <w:t xml:space="preserve">Individual-level drought resistance decreased with tree height, which was strongly correlated with exposure to higher evaporative demand and solar radiation. The potentially greater rooting volume of larger trees did not confer an advantage in sites with low topographic wetness index. Resistance was greater among species whose leaves experienced less shrinkage upon desiccation and lost turgor (wilted) at more negative water potentials.</w:t>
      </w:r>
    </w:p>
    <w:p>
      <w:pPr>
        <w:numPr>
          <w:numId w:val="1002"/>
          <w:ilvl w:val="0"/>
        </w:numPr>
      </w:pPr>
      <w:r>
        <w:t xml:space="preserve">We conclude that tree height and leaf drought tolerance traits influence growth responses during drought, as recorded in the tree-ring record spanning historical droughts. Thus, these factors can be useful for predicting future drought responses under climate change.</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[@bonan_forests_2008]</w:t>
      </w:r>
      <w:r>
        <w:t xml:space="preserve">, yet there remains enormous uncertainty as to how the forest-dominated terrestrial carbon sink will respond to climate change</w:t>
      </w:r>
      <w:r>
        <w:t xml:space="preserve"> </w:t>
      </w:r>
      <w:r>
        <w:t xml:space="preserve">[@friedlingstein_climatecarbon_2006]</w:t>
      </w:r>
      <w:r>
        <w:t xml:space="preserve">. An important aspect of this uncertainty lies with physiological responses of trees to drought</w:t>
      </w:r>
      <w:r>
        <w:t xml:space="preserve"> </w:t>
      </w:r>
      <w:r>
        <w:t xml:space="preserve">[@kennedy_implementing_2019]</w:t>
      </w:r>
      <w:r>
        <w:t xml:space="preserve">. In many forested regions around the world, the risk of severe drought is increasing</w:t>
      </w:r>
      <w:r>
        <w:t xml:space="preserve"> </w:t>
      </w:r>
      <w:r>
        <w:t xml:space="preserve">[@trenberth_global_2014; @dai_climate_2018]</w:t>
      </w:r>
      <w:r>
        <w:t xml:space="preserve">, often despite increasing precipitation</w:t>
      </w:r>
      <w:r>
        <w:t xml:space="preserve"> </w:t>
      </w:r>
      <w:r>
        <w:t xml:space="preserve">[@intergovernmental_panel_on_climate_change_climate_2015; @cook_unprecedented_2015]</w:t>
      </w:r>
      <w:r>
        <w:t xml:space="preserve">. Droughts, intensified by climate change, have been affecting forests worldwide and are expected to continue as one of the most important drivers of forest change in the future</w:t>
      </w:r>
      <w:r>
        <w:t xml:space="preserve"> </w:t>
      </w:r>
      <w:r>
        <w:t xml:space="preserve">[@allen_global_2010; @allen_underestimation_2015; @mcdowell_pervasive_2020]</w:t>
      </w:r>
      <w:r>
        <w:t xml:space="preserve">. Understanding forest responses to drought requires elucidation of how tree size, microenvironment, and species’ traits jointly influence individual-level drought resistance, defined here as a tree’s ability to maintain growth during drought, and the extent to which their influence is consistent across droughts.</w:t>
      </w:r>
      <w:r>
        <w:t xml:space="preserve"> </w:t>
      </w:r>
      <w:r>
        <w:t xml:space="preserve">Because the resistance and resilience (i.e., post-drought recovery) of growth to drought are linked to trees’ probability of surviving drought</w:t>
      </w:r>
      <w:r>
        <w:t xml:space="preserve"> </w:t>
      </w:r>
      <w:r>
        <w:t xml:space="preserve">[@desoto_low_2020; @liu_hydraulic_2019]</w:t>
      </w:r>
      <w:r>
        <w:t xml:space="preserve">, understanding growth responses can also help elucidate which trees are most vulnerable to drought-induced mortality.</w:t>
      </w:r>
      <w:r>
        <w:t xml:space="preserve"> </w:t>
      </w:r>
      <w:r>
        <w:t xml:space="preserve">However, it has proven difficult to resolve the many factors affecting tree growth during drought with available forest census data, which only rarely captures extreme drought, and with tree-ring records, which capture multiple droughts but usually only sample a subset of a forest community, typically focusing on a single species or the largest individuals.</w:t>
      </w:r>
    </w:p>
    <w:p>
      <w:pPr>
        <w:pStyle w:val="BodyText"/>
      </w:pPr>
      <w:r>
        <w:t xml:space="preserve">Many studies have shown that within and across species, large trees tend to be more affected by drought.</w:t>
      </w:r>
      <w:r>
        <w:t xml:space="preserve"> </w:t>
      </w:r>
      <w:r>
        <w:t xml:space="preserve">Greater growth reductions for larger trees were first shown on a global scale by</w:t>
      </w:r>
      <w:r>
        <w:t xml:space="preserve"> </w:t>
      </w:r>
      <w:r>
        <w:t xml:space="preserve">@bennett_larger_2015</w:t>
      </w:r>
      <w:r>
        <w:t xml:space="preserve">, and subsequent studies have reinforced this finding</w:t>
      </w:r>
      <w:r>
        <w:t xml:space="preserve"> </w:t>
      </w:r>
      <w:r>
        <w:t xml:space="preserve">[*e.g.*, @hacket-pain_consistent_2016; @gillerot_tree_2020]</w:t>
      </w:r>
      <w:r>
        <w:t xml:space="preserve">.</w:t>
      </w:r>
      <w:r>
        <w:t xml:space="preserve"> </w:t>
      </w:r>
      <w:r>
        <w:t xml:space="preserve">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[@mcdowell_relationships_2011; @mcdowell_darcys_2015; @ryan_hydraulic_2006; @couvreur_water_2018]</w:t>
      </w:r>
      <w:r>
        <w:t xml:space="preserve">.</w:t>
      </w:r>
      <w:r>
        <w:t xml:space="preserve"> </w:t>
      </w:r>
      <w:r>
        <w:t xml:space="preserve">Vertical gradients in stem and leaf traits–including smaller and thicker leaves (higher leaf mass per area, LMA), greater resistance to hydraulic dysfunction (</w:t>
      </w:r>
      <w:r>
        <w:rPr>
          <w:i/>
        </w:rPr>
        <w:t xml:space="preserve">i.e.</w:t>
      </w:r>
      <w:r>
        <w:t xml:space="preserve">, more negative water potential at 50% loss of hydraulic conductivity, more negative P50), and lower hydraulic conductivity at greater heights</w:t>
      </w:r>
      <w:r>
        <w:t xml:space="preserve"> </w:t>
      </w:r>
      <w:r>
        <w:t xml:space="preserve">[@couvreur_water_2018; @koike_leaf_2001; @mcdowell_relationships_2011]</w:t>
      </w:r>
      <w:r>
        <w:t xml:space="preserve">–enable trees to become tall</w:t>
      </w:r>
      <w:r>
        <w:t xml:space="preserve"> </w:t>
      </w:r>
      <w:r>
        <w:t xml:space="preserve">[@couvreur_water_2018]</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[@phillips_reliance_2003; @scholz_hydraulic_2011]</w:t>
      </w:r>
      <w:r>
        <w:t xml:space="preserve">.</w:t>
      </w:r>
      <w:r>
        <w:t xml:space="preserve"> </w:t>
      </w:r>
      <w:r>
        <w:t xml:space="preserve">Indeed, tall trees require xylem of greater hydraulic efficiency, such that xylem conduit diameters are wider in the basal portions of taller trees, both within and across species</w:t>
      </w:r>
      <w:r>
        <w:t xml:space="preserve"> </w:t>
      </w:r>
      <w:r>
        <w:t xml:space="preserve">[@olson_plant_2018; @liu_hydraulic_2019]</w:t>
      </w:r>
      <w:r>
        <w:t xml:space="preserve">, and throughout the conductive systems of angiosperms</w:t>
      </w:r>
      <w:r>
        <w:t xml:space="preserve"> </w:t>
      </w:r>
      <w:r>
        <w:t xml:space="preserve">[@zach_vessel_2010; @olson_universal_2014; @olson_plant_2018]</w:t>
      </w:r>
      <w:r>
        <w:t xml:space="preserve">.</w:t>
      </w:r>
      <w:r>
        <w:t xml:space="preserve"> </w:t>
      </w:r>
      <w:r>
        <w:t xml:space="preserve">Wider xylem conduits plausibly make large trees more vulnerable to embolism during drought</w:t>
      </w:r>
      <w:r>
        <w:t xml:space="preserve"> </w:t>
      </w:r>
      <w:r>
        <w:t xml:space="preserve">[@olson_plant_2018]</w:t>
      </w:r>
      <w:r>
        <w:t xml:space="preserve">, and traits conducive to efficient water transport may also lead to poor ability to recover from or re-route water around embolisms</w:t>
      </w:r>
      <w:r>
        <w:t xml:space="preserve"> </w:t>
      </w:r>
      <w:r>
        <w:t xml:space="preserve">[@roskilly_conflicting_2019]</w:t>
      </w:r>
      <w:r>
        <w:t xml:space="preserve">.</w:t>
      </w:r>
    </w:p>
    <w:p>
      <w:pPr>
        <w:pStyle w:val="BodyText"/>
      </w:pPr>
      <w:r>
        <w:t xml:space="preserve">Larger trees may also have lower drought resistance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[@kunert_revised_2017]</w:t>
      </w:r>
      <w:r>
        <w:t xml:space="preserve">.</w:t>
      </w:r>
      <w:r>
        <w:t xml:space="preserve"> </w:t>
      </w:r>
      <w:r>
        <w:t xml:space="preserve">Subcanopy trees tend to fare better specifically due to the benefits of a buffered environment</w:t>
      </w:r>
      <w:r>
        <w:t xml:space="preserve"> </w:t>
      </w:r>
      <w:r>
        <w:t xml:space="preserve">[@pretzsch_drought_2018]</w:t>
      </w:r>
      <w:r>
        <w:t xml:space="preserve">.</w:t>
      </w:r>
      <w:r>
        <w:t xml:space="preserve"> </w:t>
      </w:r>
      <w:r>
        <w:t xml:space="preserve">Counteracting the liabilities associated with tall height, large trees tend to have larger root systems</w:t>
      </w:r>
      <w:r>
        <w:t xml:space="preserve"> </w:t>
      </w:r>
      <w:r>
        <w:t xml:space="preserve">[@enquist_global_2002]</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[@meakem_role_2018; @liu_hydraulic_2019]</w:t>
      </w:r>
      <w:r>
        <w:t xml:space="preserve">.</w:t>
      </w:r>
      <w:r>
        <w:t xml:space="preserve"> </w:t>
      </w:r>
      <w:r>
        <w:t xml:space="preserve">Understanding the mechanisms driving the greater relative growth reductions of larger trees during drought requires sorting out the interactive effects of height and associated exposure, root water access, and species’ traits.</w:t>
      </w:r>
    </w:p>
    <w:p>
      <w:pPr>
        <w:pStyle w:val="BodyText"/>
      </w:pPr>
      <w:r>
        <w:t xml:space="preserve">Debates have also arisen regarding the traits influencing tree growth responses to drought. Studies within temperate broadleaf forests have observed ring-porous species showing higher drought tolerance than diffuse-porous species</w:t>
      </w:r>
      <w:r>
        <w:t xml:space="preserve"> </w:t>
      </w:r>
      <w:r>
        <w:t xml:space="preserve">[@friedrichs_species-specific_2009; @elliott_forest_2015; @kannenberg_linking_2019]</w:t>
      </w:r>
      <w:r>
        <w:t xml:space="preserve">, but this distinction does not always hold</w:t>
      </w:r>
      <w:r>
        <w:t xml:space="preserve"> </w:t>
      </w:r>
      <w:r>
        <w:t xml:space="preserve">[@martin-benito_convergence_2015]</w:t>
      </w:r>
      <w:r>
        <w:t xml:space="preserve">, would not hold in the global context</w:t>
      </w:r>
      <w:r>
        <w:t xml:space="preserve"> </w:t>
      </w:r>
      <w:r>
        <w:t xml:space="preserve">[@wheeler_variations_2007; @olson_xylem_2020]</w:t>
      </w:r>
      <w:r>
        <w:t xml:space="preserve"> </w:t>
      </w:r>
      <w:r>
        <w:t xml:space="preserve">and does not resolve differences among the many species within each category. Commonly-measured traits including wood density and leaf mass per area (</w:t>
      </w:r>
      <m:oMath>
        <m:r>
          <m:t>L</m:t>
        </m:r>
        <m:r>
          <m:t>M</m:t>
        </m:r>
        <m:r>
          <m:t>A</m:t>
        </m:r>
      </m:oMath>
      <w:r>
        <w:t xml:space="preserve">) have been linked to drought responses within some temperate deciduous forests</w:t>
      </w:r>
      <w:r>
        <w:t xml:space="preserve"> </w:t>
      </w:r>
      <w:r>
        <w:t xml:space="preserve">[@abrams_adaptations_1990; @guerfel_impacts_2009; @hoffmann_hydraulic_2011; @martinbenito_convergence_2015]</w:t>
      </w:r>
      <w:r>
        <w:t xml:space="preserve"> </w:t>
      </w:r>
      <w:r>
        <w:t xml:space="preserve">and across forests worldwide</w:t>
      </w:r>
      <w:r>
        <w:t xml:space="preserve"> </w:t>
      </w:r>
      <w:r>
        <w:t xml:space="preserve">[@greenwood_tree_2017]</w:t>
      </w:r>
      <w:r>
        <w:t xml:space="preserve">. However, in other cases these traits could not explain drought tolerance</w:t>
      </w:r>
      <w:r>
        <w:t xml:space="preserve"> </w:t>
      </w:r>
      <w:r>
        <w:t xml:space="preserve">[e.g., in a tropical rainforest; @marechaux_leaf_2019]</w:t>
      </w:r>
      <w:r>
        <w:t xml:space="preserve">, or the direction of response was not always consistent. For instance, higher wood density has been associated with greater drought resistance at a global scale</w:t>
      </w:r>
      <w:r>
        <w:t xml:space="preserve"> </w:t>
      </w:r>
      <w:r>
        <w:t xml:space="preserve">[@greenwood_tree_2017]</w:t>
      </w:r>
      <w:r>
        <w:t xml:space="preserve">, but correlated negatively with tree performance during drought in a broadleaf deciduous forest in the southeastern United States</w:t>
      </w:r>
      <w:r>
        <w:t xml:space="preserve"> </w:t>
      </w:r>
      <w:r>
        <w:t xml:space="preserve">[@hoffmann_hydraulic_2011]</w:t>
      </w:r>
      <w:r>
        <w:t xml:space="preserve">. Thus, the perceived influence of these traits on drought resistance may actually reflect indirect correlations with other traits that more directly drive drought responses</w:t>
      </w:r>
      <w:r>
        <w:t xml:space="preserve"> </w:t>
      </w:r>
      <w:r>
        <w:t xml:space="preserve">[@hoffmann_hydraulic_2011]</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percent the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[@anderegg_meta-analysis_2016]</w:t>
      </w:r>
      <w:r>
        <w:t xml:space="preserve">.</w:t>
      </w:r>
      <w:r>
        <w:t xml:space="preserve"> </w:t>
      </w:r>
      <w:r>
        <w:t xml:space="preserve">However, these are time-consuming to measure and therefore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[@medeiros_extensive_2019]</w:t>
      </w:r>
      <w:r>
        <w:t xml:space="preserve">.</w:t>
      </w:r>
      <w:r>
        <w:t xml:space="preserve"> </w:t>
      </w:r>
      <w:r>
        <w:t xml:space="preserve">These include leaf area shrinkage upon desiccation</w:t>
      </w:r>
      <w:r>
        <w:t xml:space="preserve"> </w:t>
      </w:r>
      <w:r>
        <w:t xml:space="preserve">[$PLA_{dry}$; @scoffoni_leaf_2014]</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[@bartlett_correlations_2016; @zhu_leaf_2018]</w:t>
      </w:r>
      <w:r>
        <w:t xml:space="preserve">.</w:t>
      </w:r>
      <w:r>
        <w:t xml:space="preserve"> </w:t>
      </w:r>
      <w:r>
        <w:t xml:space="preserve">Both traits correlate with hydraulic vulnerability and drought tolerance as part of unified plant hydraulic systems</w:t>
      </w:r>
      <w:r>
        <w:t xml:space="preserve"> </w:t>
      </w:r>
      <w:r>
        <w:t xml:space="preserve">[@scoffoni_leaf_2014; @bartlett_correlations_2016; @zhu_leaf_2018; @farrell_does_2017]</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tree drought resistance remains untested.</w:t>
      </w:r>
    </w:p>
    <w:p>
      <w:pPr>
        <w:pStyle w:val="BodyText"/>
      </w:pPr>
      <w:r>
        <w:t xml:space="preserve">Here, we examine how tree height, microenvironment characteristics, and species’ traits collectively shape drought resistance, defined as the ratio of annual growth in a drought year to that which would be expected in the absence of drought based on previous years’ growth.</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resistance.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resistance in this forest, which is in a region (eastern North America) represented by only two studies in the global review of</w:t>
      </w:r>
      <w:r>
        <w:t xml:space="preserve"> </w:t>
      </w:r>
      <w:r>
        <w:t xml:space="preserve">[@bennett_larger_2015]</w:t>
      </w:r>
      <w:r>
        <w:t xml:space="preserve">.</w:t>
      </w:r>
      <w:r>
        <w:t xml:space="preserve"> </w:t>
      </w:r>
      <w:r>
        <w:t xml:space="preserve">We also test for an influence of potential access to available soil water, which should be greater for larger trees in dry but not in perpetually wet microsites.</w:t>
      </w:r>
      <w:r>
        <w:t xml:space="preserve"> </w:t>
      </w:r>
      <w:r>
        <w:t xml:space="preserve">Finally, we focus on the role of species’ traits, testing the hypothesis that species’ traits-–particularly leaf drought tolerance traits-–predict drought resistance.</w:t>
      </w:r>
      <w:r>
        <w:t xml:space="preserve"> </w:t>
      </w:r>
      <w:r>
        <w:t xml:space="preserve">We test predictions that drought resistance is higher in ring-porous than semi-ring and diffuse-porous species and that it is correlated with wood density–either positively</w:t>
      </w:r>
      <w:r>
        <w:t xml:space="preserve"> </w:t>
      </w:r>
      <w:r>
        <w:t xml:space="preserve">[@greenwood_tree_2017]</w:t>
      </w:r>
      <w:r>
        <w:t xml:space="preserve"> </w:t>
      </w:r>
      <w:r>
        <w:t xml:space="preserve">or negatively</w:t>
      </w:r>
      <w:r>
        <w:t xml:space="preserve"> </w:t>
      </w:r>
      <w:r>
        <w:t xml:space="preserve">[@hoffmann_hydraulic_2011]</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have higher drought resistance, and that species whose leaves lose turgor lower water potentials (more negative</w:t>
      </w:r>
      <w:r>
        <w:t xml:space="preserve"> </w:t>
      </w:r>
      <m:oMath>
        <m:sSub>
          <m:e>
            <m:r>
              <m:t>π</m:t>
            </m:r>
          </m:e>
          <m:sub>
            <m:r>
              <m:t>t</m:t>
            </m:r>
            <m:r>
              <m:t>l</m:t>
            </m:r>
            <m:r>
              <m:t>p</m:t>
            </m:r>
          </m:sub>
        </m:sSub>
      </m:oMath>
      <w:r>
        <w:t xml:space="preserve">) have higher resistance.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Fig.</w:t>
      </w:r>
      <w:r>
        <w:t xml:space="preserve"> </w:t>
      </w:r>
      <w:r>
        <w:rPr>
          <w:b/>
        </w:rPr>
        <w:t xml:space="preserve">S1</w:t>
      </w:r>
      <w:r>
        <w:t xml:space="preserve">)</w:t>
      </w:r>
      <w:r>
        <w:t xml:space="preserve"> </w:t>
      </w:r>
      <w:r>
        <w:t xml:space="preserve">[@bourg_initial_2013; @andersonteixeira_ctfs-forestgeo:_2015]</w:t>
      </w:r>
      <w:r>
        <w:t xml:space="preserve">. SCBI is located in the central Appalachian Mountains near the northern boundary of Shenandoah National Park. Elevations range from 273 to 338 m above sea level with a topographic relief of 65m</w:t>
      </w:r>
      <w:r>
        <w:t xml:space="preserve"> </w:t>
      </w:r>
      <w:r>
        <w:t xml:space="preserve">[@bourg_initial_2013]</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@harris_updated_2014]</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1950-2009, defining drought</w:t>
      </w:r>
      <w:r>
        <w:t xml:space="preserve"> </w:t>
      </w:r>
      <w:r>
        <w:t xml:space="preserve">[@slette_how_2019]</w:t>
      </w:r>
      <w:r>
        <w:t xml:space="preserve"> </w:t>
      </w:r>
      <w:r>
        <w:t xml:space="preserve">as events with anomalously dry peak growing season climatic conditions.</w:t>
      </w:r>
      <w:r>
        <w:t xml:space="preserve"> </w:t>
      </w:r>
      <w:r>
        <w:t xml:space="preserve">Specifically, we used the metric of Palmer Drought Severity Index (PDSI) during May-August (MJJA; Table S1), which were identified by</w:t>
      </w:r>
      <w:r>
        <w:t xml:space="preserve"> </w:t>
      </w:r>
      <w:r>
        <w:t xml:space="preserve">@helcoski_growing_2019</w:t>
      </w:r>
      <w:r>
        <w:t xml:space="preserve"> </w:t>
      </w:r>
      <w:r>
        <w:t xml:space="preserve">as the months of the current year to which annual tree growth was most sensitive at this site.</w:t>
      </w:r>
      <w:r>
        <w:t xml:space="preserve"> </w:t>
      </w:r>
      <w:r>
        <w:t xml:space="preserve">PDSI divisional data for Northern Virginia were obtained from NOAA (</w:t>
      </w:r>
      <w:hyperlink r:id="rId24">
        <w:r>
          <w:rPr>
            <w:rStyle w:val="Hyperlink"/>
          </w:rPr>
          <w:t xml:space="preserve">https://www7.ncdc.noaa.gov/CDO/CDODivisionalSelect.jsp</w:t>
        </w:r>
      </w:hyperlink>
      <w:r>
        <w:t xml:space="preserve">) in December 2017.</w:t>
      </w:r>
      <w:r>
        <w:t xml:space="preserve"> </w:t>
      </w:r>
      <w:r>
        <w:t xml:space="preserve">Based on this, we identified the three strongest droughts during the study period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[@condit_tropical_1998]</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 Census data are available through the ForestGEO data portal (www.forestgeo.si.edu).</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[@helcoski_growing_2019]</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[@bourg_initial_2013]</w:t>
      </w:r>
      <w:r>
        <w:t xml:space="preserve">.</w:t>
      </w:r>
      <w:r>
        <w:t xml:space="preserve"> </w:t>
      </w:r>
      <w:r>
        <w:t xml:space="preserve">Annual tree mortality censuses were initiated in 2014</w:t>
      </w:r>
      <w:r>
        <w:t xml:space="preserve"> </w:t>
      </w:r>
      <w:r>
        <w:t xml:space="preserve">[@gonzalezakre_patterns_2016]</w:t>
      </w:r>
      <w:r>
        <w:t xml:space="preserve">, and in 2016-2017, cores were collected from all trees found to have died since the previous year’s census.</w:t>
      </w:r>
      <w:r>
        <w:t xml:space="preserve"> </w:t>
      </w:r>
      <w:r>
        <w:t xml:space="preserve">We note that drought was probably not a cause of mortality for these trees, as monthly May-Aug</w:t>
      </w:r>
      <w:r>
        <w:t xml:space="preserve"> </w:t>
      </w:r>
      <m:oMath>
        <m:r>
          <m:t>P</m:t>
        </m:r>
        <m:r>
          <m:t>D</m:t>
        </m:r>
        <m:r>
          <m:t>S</m:t>
        </m:r>
        <m:r>
          <m:t>I</m:t>
        </m:r>
      </m:oMath>
      <w:r>
        <w:t xml:space="preserve"> </w:t>
      </w:r>
      <w:r>
        <w:t xml:space="preserve">did not drop below -1.75 in these years or the three years prior (2013-2017), and that trees cored dead displayed similar climate sensitivity to trees cored live</w:t>
      </w:r>
      <w:r>
        <w:t xml:space="preserve"> </w:t>
      </w:r>
      <w:r>
        <w:t xml:space="preserve">[@helcoski_growing_2019]</w:t>
      </w:r>
      <w:r>
        <w:t xml:space="preserve">.</w:t>
      </w:r>
      <w:r>
        <w:t xml:space="preserve"> </w:t>
      </w:r>
      <w:r>
        <w:t xml:space="preserve">Cores were sanded, measured, and crossdated using standard procedures, as detailed in</w:t>
      </w:r>
      <w:r>
        <w:t xml:space="preserve"> </w:t>
      </w:r>
      <w:r>
        <w:t xml:space="preserve">[@helcoski_growing_2019]</w:t>
      </w:r>
      <w:r>
        <w:t xml:space="preserve">.</w:t>
      </w:r>
      <w:r>
        <w:t xml:space="preserve"> </w:t>
      </w:r>
      <w:r>
        <w:t xml:space="preserve">The resulting chronologies (Fig.</w:t>
      </w:r>
      <w:r>
        <w:t xml:space="preserve"> </w:t>
      </w:r>
      <w:r>
        <w:rPr>
          <w:b/>
        </w:rPr>
        <w:t xml:space="preserve">1a</w:t>
      </w:r>
      <w:r>
        <w:t xml:space="preserve">) were published in Zenodo (DOI: 10.5281/zenodo.2649302) in association with</w:t>
      </w:r>
      <w:r>
        <w:t xml:space="preserve"> </w:t>
      </w:r>
      <w:r>
        <w:t xml:space="preserve">@helcoski_growing_2019</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w:t>
      </w:r>
      <w:r>
        <w:t xml:space="preserve"> </w:t>
      </w:r>
      <w:r>
        <w:t xml:space="preserve">Bark thickness was estimated from species-specific allometries based on the bark thickness data from the site</w:t>
      </w:r>
      <w:r>
        <w:t xml:space="preserve"> </w:t>
      </w:r>
      <w:r>
        <w:t xml:space="preserve">[@andersonteixeira_size-related_2015]</w:t>
      </w:r>
      <w:r>
        <w:t xml:space="preserve">.</w:t>
      </w:r>
      <w:r>
        <w:t xml:space="preserve"> </w:t>
      </w:r>
      <w:r>
        <w:t xml:space="preserve">Specifically, we used linear regression on log-transformed data to relate</w:t>
      </w:r>
      <w:r>
        <w:t xml:space="preserve"> </w:t>
      </w:r>
      <m:oMath>
        <m:sSub>
          <m:e>
            <m:r>
              <m:t>r</m:t>
            </m:r>
          </m:e>
          <m:sub>
            <m:r>
              <m:t>b</m:t>
            </m:r>
            <m:r>
              <m:t>a</m:t>
            </m:r>
            <m:r>
              <m:t>r</m:t>
            </m:r>
            <m:r>
              <m:t>k</m:t>
            </m:r>
          </m:sub>
        </m:sSub>
      </m:oMath>
      <w:r>
        <w:t xml:space="preserve"> </w:t>
      </w:r>
      <w:r>
        <w:t xml:space="preserve">to diameter inside bark from 2008 data (Table S2), which were then used to determine</w:t>
      </w:r>
      <w:r>
        <w:t xml:space="preserve"> </w:t>
      </w:r>
      <m:oMath>
        <m:sSub>
          <m:e>
            <m:r>
              <m:t>r</m:t>
            </m:r>
          </m:e>
          <m:sub>
            <m:r>
              <m:t>b</m:t>
            </m:r>
            <m:r>
              <m:t>a</m:t>
            </m:r>
            <m:r>
              <m:t>r</m:t>
            </m:r>
            <m:r>
              <m:t>k</m:t>
            </m:r>
          </m:sub>
        </m:sSub>
      </m:oMath>
      <w:r>
        <w:t xml:space="preserve"> </w:t>
      </w:r>
      <w:r>
        <w:t xml:space="preserve">in the</w:t>
      </w:r>
      <w:r>
        <w:t xml:space="preserve"> </w:t>
      </w:r>
      <m:oMath>
        <m:r>
          <m:t>D</m:t>
        </m:r>
        <m:r>
          <m:t>B</m:t>
        </m:r>
        <m:r>
          <m:t>H</m:t>
        </m:r>
      </m:oMath>
      <w:r>
        <w:t xml:space="preserve"> </w:t>
      </w:r>
      <w:r>
        <w:t xml:space="preserve">reconstruction.</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[@neon_national_2018]</w:t>
      </w:r>
      <w:r>
        <w:t xml:space="preserve"> </w:t>
      </w:r>
      <w:r>
        <w:t xml:space="preserve">or a tape measure on recently fallen trees (this study); geometric calculations using clinometer and tape measure</w:t>
      </w:r>
      <w:r>
        <w:t xml:space="preserve"> </w:t>
      </w:r>
      <w:r>
        <w:t xml:space="preserve">[@stovall_assessing_2018]</w:t>
      </w:r>
      <w:r>
        <w:t xml:space="preserve"> </w:t>
      </w:r>
      <w:r>
        <w:t xml:space="preserve">or digital rangefinders</w:t>
      </w:r>
      <w:r>
        <w:t xml:space="preserve"> </w:t>
      </w:r>
      <w:r>
        <w:t xml:space="preserve">[@andersonteixeira_size-related_2015; @neon_national_2018]</w:t>
      </w:r>
      <w:r>
        <w:t xml:space="preserve">; and ground-based LiDAR</w:t>
      </w:r>
      <w:r>
        <w:t xml:space="preserve"> </w:t>
      </w:r>
      <w:r>
        <w:t xml:space="preserve">[@stovall_terrestrial_2018]</w:t>
      </w:r>
      <w:r>
        <w:t xml:space="preserve">. Rangefinders used either the tangent method (Impulse 200LR, TruPulse 360R) or the sine method (Nikon ForestryPro) for calculating heights. Both methods are associated with some error</w:t>
      </w:r>
      <w:r>
        <w:t xml:space="preserve"> </w:t>
      </w:r>
      <w:r>
        <w:t xml:space="preserve">[@larjavaara_measuring_2013]</w:t>
      </w:r>
      <w:r>
        <w:t xml:space="preserve">, but in this instance there was no clear advantage of one or the other. Measurements from the National Ecological Observatory Network (NEON) were collected near the ForestGEO plot following standard NEON protocol, whereby vegetation of short stature was measured with a collapsible measurement rod, and taller trees with a rangefinder</w:t>
      </w:r>
      <w:r>
        <w:t xml:space="preserve"> </w:t>
      </w:r>
      <w:r>
        <w:t xml:space="preserve">[@neon_national_2018]</w:t>
      </w:r>
      <w:r>
        <w:t xml:space="preserve">.</w:t>
      </w:r>
      <w:r>
        <w:t xml:space="preserve"> </w:t>
      </w:r>
      <w:r>
        <w:t xml:space="preserve">Species-specific height allometries were developed (Table S3) using log-log regression (</w:t>
      </w:r>
      <m:oMath>
        <m:r>
          <m:t>l</m:t>
        </m:r>
        <m:r>
          <m:t>n</m:t>
        </m:r>
        <m:r>
          <m:t>[</m:t>
        </m:r>
        <m:r>
          <m:t>H</m:t>
        </m:r>
        <m:r>
          <m:t>]</m:t>
        </m:r>
        <m:r>
          <m:t>∼</m:t>
        </m:r>
        <m:r>
          <m:t>l</m:t>
        </m:r>
        <m:r>
          <m:t>n</m:t>
        </m:r>
        <m:r>
          <m:t>[</m:t>
        </m:r>
        <m:r>
          <m:t>D</m:t>
        </m:r>
        <m:r>
          <m:t>B</m:t>
        </m:r>
        <m:r>
          <m:t>H</m:t>
        </m:r>
        <m:r>
          <m:t>]</m:t>
        </m:r>
      </m:oMath>
      <w:r>
        <w:t xml:space="preserve">).</w:t>
      </w:r>
      <w:r>
        <w:t xml:space="preserve"> </w:t>
      </w:r>
      <w:r>
        <w:t xml:space="preserve">For species with insufficient height data to create reliable species-specific allometries (n=2, JUNI and 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w:t>
      </w:r>
      <w:r>
        <w:t xml:space="preserve"> </w:t>
      </w:r>
      <w:r>
        <w:t xml:space="preserve">The distribution of</w:t>
      </w:r>
      <w:r>
        <w:t xml:space="preserve"> </w:t>
      </w:r>
      <m:oMath>
        <m:r>
          <m:t>H</m:t>
        </m:r>
      </m:oMath>
      <w:r>
        <w:t xml:space="preserve"> </w:t>
      </w:r>
      <w:r>
        <w:t xml:space="preserve">across drought years is shown in 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[@R-neonUtilities]</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[@neon_national_2018]</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@jennings_assessing_1999</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[@R-dynatopmodel]</w:t>
      </w:r>
      <w:r>
        <w:t xml:space="preserve">. Originally developed by</w:t>
      </w:r>
      <w:r>
        <w:t xml:space="preserve"> </w:t>
      </w:r>
      <w:r>
        <w:t xml:space="preserve">@beven_physically_1979</w:t>
      </w:r>
      <w:r>
        <w:t xml:space="preserve">, TWI was part of a hydrological run-off model and has since been used for a number of purposes in hydrology and ecology</w:t>
      </w:r>
      <w:r>
        <w:t xml:space="preserve"> </w:t>
      </w:r>
      <w:r>
        <w:t xml:space="preserve">[@sorensen_calculation_2006]</w:t>
      </w:r>
      <w:r>
        <w:t xml:space="preserve">. TWI calculation depends on an input of a digital elevation model (DEM; ~3.7 m resolution from the elevatr package</w:t>
      </w:r>
      <w:r>
        <w:t xml:space="preserve"> </w:t>
      </w:r>
      <w:r>
        <w:t xml:space="preserve">[@R-elevatr]</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[@R-LeafArea]</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w:t>
      </w:r>
      <w:r>
        <w:t xml:space="preserve"> </w:t>
      </w:r>
      <w:r>
        <w:t xml:space="preserve">@bartlett_rapid_2012</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[@bartlett_rapid_2012]</w:t>
      </w:r>
      <w:r>
        <w:t xml:space="preserve">.</w:t>
      </w:r>
    </w:p>
    <w:p>
      <w:pPr>
        <w:pStyle w:val="BodyText"/>
      </w:pPr>
      <w:r>
        <w:rPr>
          <w:i/>
        </w:rPr>
        <w:t xml:space="preserve">Statistical Analysis</w:t>
      </w:r>
    </w:p>
    <w:p>
      <w:pPr>
        <w:pStyle w:val="BodyText"/>
      </w:pPr>
      <w:r>
        <w:t xml:space="preserve">For each drought year, we calculated a metric drought resistance (</w:t>
      </w:r>
      <m:oMath>
        <m:r>
          <m:t>R</m:t>
        </m:r>
        <m:r>
          <m:t>t</m:t>
        </m:r>
      </m:oMath>
      <w:r>
        <w:t xml:space="preserve">) as the ratio of basal area increment (</w:t>
      </w:r>
      <m:oMath>
        <m:r>
          <m:t>B</m:t>
        </m:r>
        <m:r>
          <m:t>A</m:t>
        </m:r>
        <m:r>
          <m:t>I</m:t>
        </m:r>
      </m:oMath>
      <w:r>
        <w:t xml:space="preserve">;</w:t>
      </w:r>
      <w:r>
        <w:t xml:space="preserve"> </w:t>
      </w:r>
      <w:r>
        <w:rPr>
          <w:i/>
        </w:rPr>
        <w:t xml:space="preserve">i.e.</w:t>
      </w:r>
      <w:r>
        <w:t xml:space="preserve">, change in cross-sectional area) during the drought year to the mean</w:t>
      </w:r>
      <w:r>
        <w:t xml:space="preserve"> </w:t>
      </w:r>
      <m:oMath>
        <m:r>
          <m:t>B</m:t>
        </m:r>
        <m:r>
          <m:t>A</m:t>
        </m:r>
        <m:r>
          <m:t>I</m:t>
        </m:r>
      </m:oMath>
      <w:r>
        <w:t xml:space="preserve"> </w:t>
      </w:r>
      <w:r>
        <w:t xml:space="preserve">over the five years preceding the drought</w:t>
      </w:r>
      <w:r>
        <w:t xml:space="preserve"> </w:t>
      </w:r>
      <w:r>
        <w:t xml:space="preserve">[@lloret_components_2011]</w:t>
      </w:r>
      <w:r>
        <w:t xml:space="preserve">. Thus,</w:t>
      </w:r>
      <w:r>
        <w:t xml:space="preserve"> </w:t>
      </w:r>
      <m:oMath>
        <m:r>
          <m:t>R</m:t>
        </m:r>
        <m:r>
          <m:t>t</m:t>
        </m:r>
      </m:oMath>
      <w:r>
        <w:t xml:space="preserve"> </w:t>
      </w:r>
      <w:r>
        <w:t xml:space="preserve">values &lt;1 and &gt;1 indicate growth reductions and increases, respectively. Because the</w:t>
      </w:r>
      <w:r>
        <w:t xml:space="preserve"> </w:t>
      </w:r>
      <m:oMath>
        <m:r>
          <m:t>R</m:t>
        </m:r>
        <m:r>
          <m:t>t</m:t>
        </m:r>
      </m:oMath>
      <w:r>
        <w:t xml:space="preserve"> </w:t>
      </w:r>
      <w:r>
        <w:t xml:space="preserve">metric could be biased by directional pre-drought growth trends, we also tried an intervention time series analysis</w:t>
      </w:r>
      <w:r>
        <w:t xml:space="preserve"> </w:t>
      </w:r>
      <w:r>
        <w:t xml:space="preserve">[ARIMA, @R-forecast]</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 The two metrics were strongly correlated (Fig.</w:t>
      </w:r>
      <w:r>
        <w:t xml:space="preserve"> </w:t>
      </w:r>
      <w:r>
        <w:rPr>
          <w:b/>
        </w:rPr>
        <w:t xml:space="preserve">S5</w:t>
      </w:r>
      <w:r>
        <w:t xml:space="preserve">). 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 so we selected</w:t>
      </w:r>
      <w:r>
        <w:t xml:space="preserve"> </w:t>
      </w:r>
      <m:oMath>
        <m:r>
          <m:t>R</m:t>
        </m:r>
        <m:r>
          <m:t>t</m:t>
        </m:r>
      </m:oMath>
      <w:r>
        <w:t xml:space="preserve"> </w:t>
      </w:r>
      <w:r>
        <w:t xml:space="preserve">as our focal metric, presenting parallel results for</w:t>
      </w:r>
      <w:r>
        <w:t xml:space="preserve"> </w:t>
      </w:r>
      <m:oMath>
        <m:r>
          <m:t>R</m:t>
        </m:r>
        <m:sSub>
          <m:e>
            <m:r>
              <m:t>t</m:t>
            </m:r>
          </m:e>
          <m:sub>
            <m:r>
              <m:t>A</m:t>
            </m:r>
            <m:r>
              <m:t>R</m:t>
            </m:r>
            <m:r>
              <m:t>I</m:t>
            </m:r>
            <m:r>
              <m:t>M</m:t>
            </m:r>
            <m:r>
              <m:t>A</m:t>
            </m:r>
          </m:sub>
        </m:sSub>
      </m:oMath>
      <w:r>
        <w:t xml:space="preserve"> </w:t>
      </w:r>
      <w:r>
        <w:t xml:space="preserve">in the Supplementary Info. In this study we focus exclusively on drought resistance metrics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 and not on the resilience metrics described in</w:t>
      </w:r>
      <w:r>
        <w:t xml:space="preserve"> </w:t>
      </w:r>
      <w:r>
        <w:t xml:space="preserve">@lloret_components_2011</w:t>
      </w:r>
      <w:r>
        <w:t xml:space="preserve">, because (1) we would expect resilience to be controlled by a different set of mechanisms, and (2) the findings of</w:t>
      </w:r>
      <w:r>
        <w:t xml:space="preserve"> </w:t>
      </w:r>
      <w:r>
        <w:t xml:space="preserve">@desoto_low_2020</w:t>
      </w:r>
      <w:r>
        <w:t xml:space="preserve"> </w:t>
      </w:r>
      <w:r>
        <w:t xml:space="preserve">suggest that</w:t>
      </w:r>
      <w:r>
        <w:t xml:space="preserve"> </w:t>
      </w:r>
      <m:oMath>
        <m:r>
          <m:t>R</m:t>
        </m:r>
        <m:r>
          <m:t>t</m:t>
        </m:r>
      </m:oMath>
      <w:r>
        <w:t xml:space="preserve"> </w:t>
      </w:r>
      <w:r>
        <w:t xml:space="preserve">is a more important drought response metric for angiosperms in that low resistance to moderate droughts was a better predictor of mortality during subsequent severe droughts than the resilience metrics.</w:t>
      </w:r>
    </w:p>
    <w:p>
      <w:pPr>
        <w:pStyle w:val="BodyText"/>
      </w:pPr>
      <w:r>
        <w:t xml:space="preserve">Analyses focused on testing the predictions presented in Table 1 with</w:t>
      </w:r>
      <w:r>
        <w:t xml:space="preserve"> </w:t>
      </w:r>
      <m:oMath>
        <m:r>
          <m:t>R</m:t>
        </m:r>
        <m:r>
          <m:t>t</m:t>
        </m:r>
      </m:oMath>
      <w:r>
        <w:t xml:space="preserve"> </w:t>
      </w:r>
      <w:r>
        <w:t xml:space="preserve">as the response variable, and then repeated using</w:t>
      </w:r>
      <w:r>
        <w:t xml:space="preserve"> </w:t>
      </w:r>
      <m:oMath>
        <m:r>
          <m:t>R</m:t>
        </m:r>
        <m:sSub>
          <m:e>
            <m:r>
              <m:t>t</m:t>
            </m:r>
          </m:e>
          <m:sub>
            <m:r>
              <m:t>A</m:t>
            </m:r>
            <m:r>
              <m:t>R</m:t>
            </m:r>
            <m:r>
              <m:t>I</m:t>
            </m:r>
            <m:r>
              <m:t>M</m:t>
            </m:r>
            <m:r>
              <m:t>A</m:t>
            </m:r>
          </m:sub>
        </m:sSub>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[@R-lme4]</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&lt;1.2 (1 +/- 0.019).</w:t>
      </w:r>
      <w:r>
        <w:t xml:space="preserve"> </w:t>
      </w:r>
      <w:r>
        <w:t xml:space="preserve">We used AICc to assess model selection, and conditional/marginal R-squared to assess model fit as implemented in the AICcmodavg package in R</w:t>
      </w:r>
      <w:r>
        <w:t xml:space="preserve"> </w:t>
      </w:r>
      <w:r>
        <w:t xml:space="preserve">[@R-AICcmodavg]</w:t>
      </w:r>
      <w:r>
        <w:t xml:space="preserve">.</w:t>
      </w:r>
      <w:r>
        <w:t xml:space="preserve"> </w:t>
      </w:r>
      <w:r>
        <w:t xml:space="preserve">AICc refers to a corrected version of AICc, and is best suited for small data sizes</w:t>
      </w:r>
      <w:r>
        <w:t xml:space="preserve"> </w:t>
      </w:r>
      <w:r>
        <w:t xml:space="preserve">[see @brewer_relative_2016]</w:t>
      </w:r>
      <w:r>
        <w:t xml:space="preserve">.</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then added</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to create a base model against which we tested traits.</w:t>
      </w:r>
      <w:r>
        <w:t xml:space="preserve"> </w:t>
      </w:r>
      <w:r>
        <w:t xml:space="preserve">Trait variables were considered appropriate for inclusion in the main model if they had a consistent direction of response across all droughts and if their addition to the base model improved fit (at</w:t>
      </w:r>
      <w:r>
        <w:t xml:space="preserve"> </w:t>
      </w:r>
      <m:oMath>
        <m:r>
          <m:t>Δ</m:t>
        </m:r>
      </m:oMath>
      <w:r>
        <w:t xml:space="preserve">AICc</w:t>
      </w:r>
      <w:r>
        <w:t xml:space="preserve"> </w:t>
      </w:r>
      <m:oMath>
        <m:r>
          <m:t>≥</m:t>
        </m:r>
      </m:oMath>
      <w:r>
        <w:t xml:space="preserve"> </w:t>
      </w:r>
      <w:r>
        <w:t xml:space="preserve">1.0) in at least one drought year (Table S4).</w:t>
      </w:r>
      <w:r>
        <w:t xml:space="preserve"> </w:t>
      </w:r>
      <w:r>
        <w:t xml:space="preserve">We note that we did not use the</w:t>
      </w:r>
      <w:r>
        <w:t xml:space="preserve"> </w:t>
      </w:r>
      <m:oMath>
        <m:r>
          <m:t>Δ</m:t>
        </m:r>
      </m:oMath>
      <w:r>
        <w:t xml:space="preserve">AICc</w:t>
      </w:r>
      <w:r>
        <w:t xml:space="preserve"> </w:t>
      </w:r>
      <m:oMath>
        <m:r>
          <m:t>≥</m:t>
        </m:r>
      </m:oMath>
      <w:r>
        <w:t xml:space="preserve"> </w:t>
      </w:r>
      <w:r>
        <w:t xml:space="preserve">1.0 criterion as a test of significance, but rather of whether the variable had enough influence to be considered as a</w:t>
      </w:r>
      <w:r>
        <w:t xml:space="preserve"> </w:t>
      </w:r>
      <w:r>
        <w:rPr>
          <w:i/>
        </w:rPr>
        <w:t xml:space="preserve">candidate</w:t>
      </w:r>
      <w:r>
        <w:t xml:space="preserve"> </w:t>
      </w:r>
      <w:r>
        <w:t xml:space="preserve">variable in full models.</w:t>
      </w:r>
    </w:p>
    <w:p>
      <w:pPr>
        <w:pStyle w:val="BodyText"/>
      </w:pPr>
      <w:r>
        <w:t xml:space="preserve">We then determined the top full models for predicting</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r>
        <w:t xml:space="preserve"> </w:t>
      </w:r>
      <w:r>
        <w:t xml:space="preserve">In presentation of the results below, we note instances where the</w:t>
      </w:r>
      <w:r>
        <w:t xml:space="preserve"> </w:t>
      </w:r>
      <m:oMath>
        <m:r>
          <m:t>R</m:t>
        </m:r>
        <m:sSub>
          <m:e>
            <m:r>
              <m:t>t</m:t>
            </m:r>
          </m:e>
          <m:sub>
            <m:r>
              <m:t>A</m:t>
            </m:r>
            <m:r>
              <m:t>R</m:t>
            </m:r>
            <m:r>
              <m:t>I</m:t>
            </m:r>
            <m:r>
              <m:t>M</m:t>
            </m:r>
            <m:r>
              <m:t>A</m:t>
            </m:r>
          </m:sub>
        </m:sSub>
      </m:oMath>
      <w:r>
        <w:t xml:space="preserve"> </w:t>
      </w:r>
      <w:r>
        <w:t xml:space="preserve">model disagreed with the</w:t>
      </w:r>
      <w:r>
        <w:t xml:space="preserve"> </w:t>
      </w:r>
      <m:oMath>
        <m:r>
          <m:t>R</m:t>
        </m:r>
        <m:r>
          <m:t>t</m:t>
        </m:r>
      </m:oMath>
      <w:r>
        <w:t xml:space="preserve"> </w:t>
      </w:r>
      <w:r>
        <w:t xml:space="preserve">model, but otherwise do not discuss the</w:t>
      </w:r>
      <w:r>
        <w:t xml:space="preserve"> </w:t>
      </w:r>
      <m:oMath>
        <m:r>
          <m:t>R</m:t>
        </m:r>
        <m:sSub>
          <m:e>
            <m:r>
              <m:t>t</m:t>
            </m:r>
          </m:e>
          <m:sub>
            <m:r>
              <m:t>A</m:t>
            </m:r>
            <m:r>
              <m:t>R</m:t>
            </m:r>
            <m:r>
              <m:t>I</m:t>
            </m:r>
            <m:r>
              <m:t>M</m:t>
            </m:r>
            <m:r>
              <m:t>A</m:t>
            </m:r>
          </m:sub>
        </m:sSub>
      </m:oMath>
      <w:r>
        <w:t xml:space="preserve"> </w:t>
      </w:r>
      <w:r>
        <w:t xml:space="preserve">model. Visualization of the best mixed effects model per drought scenario (Fig.</w:t>
      </w:r>
      <w:r>
        <w:t xml:space="preserve"> </w:t>
      </w:r>
      <w:r>
        <w:rPr>
          <w:b/>
        </w:rPr>
        <w:t xml:space="preserve">4</w:t>
      </w:r>
      <w:r>
        <w:t xml:space="preserve">) was created by the visreg package</w:t>
      </w:r>
      <w:r>
        <w:t xml:space="preserve"> </w:t>
      </w:r>
      <w:r>
        <w:t xml:space="preserve">[@R-visreg]</w:t>
      </w:r>
      <w:r>
        <w:t xml:space="preserve">.</w:t>
      </w:r>
    </w:p>
    <w:p>
      <w:pPr>
        <w:pStyle w:val="BodyText"/>
      </w:pPr>
      <w:r>
        <w:t xml:space="preserve">All analysis beyond basic data collection was performed using R version 3.6.2</w:t>
      </w:r>
      <w:r>
        <w:t xml:space="preserve"> </w:t>
      </w:r>
      <w:r>
        <w:t xml:space="preserve">[@R-base]</w:t>
      </w:r>
      <w:r>
        <w:t xml:space="preserve">.</w:t>
      </w:r>
      <w:r>
        <w:t xml:space="preserve"> </w:t>
      </w:r>
      <w:r>
        <w:t xml:space="preserve">Other R-packages used in analyses are listed in the Supplementary Information (Appendix S1).</w:t>
      </w:r>
      <w:r>
        <w:t xml:space="preserve"> </w:t>
      </w:r>
      <w:r>
        <w:t xml:space="preserve">All data, code, and results are available through the SCBI-ForestGEO organization on GitHub (</w:t>
      </w:r>
      <w:hyperlink r:id="rId25">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w:t>
      </w:r>
    </w:p>
    <w:p>
      <w:pPr>
        <w:pStyle w:val="Heading3"/>
      </w:pPr>
      <w:bookmarkStart w:id="26" w:name="results"/>
      <w:r>
        <w:t xml:space="preserve">Results</w:t>
      </w:r>
      <w:bookmarkEnd w:id="26"/>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2b</w:t>
      </w:r>
      <w:r>
        <w:t xml:space="preserve">). Across the entire study period (1950-2009), the focal drought years were the three years with the largest fraction of trees exhibiting</w:t>
      </w:r>
      <w:r>
        <w:t xml:space="preserve"> </w:t>
      </w:r>
      <m:oMath>
        <m:r>
          <m:t>R</m:t>
        </m:r>
        <m:r>
          <m:t>t</m:t>
        </m:r>
        <m:r>
          <m:t>≤</m:t>
        </m:r>
        <m:r>
          <m:t>0.7</m:t>
        </m:r>
      </m:oMath>
      <w:r>
        <w:t xml:space="preserve">. 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 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p>
    <w:p>
      <w:pPr>
        <w:pStyle w:val="BodyText"/>
      </w:pPr>
      <w:r>
        <w:t xml:space="preserve">In the context of the multivariate model,</w:t>
      </w:r>
      <w:r>
        <w:t xml:space="preserve"> </w:t>
      </w:r>
      <m:oMath>
        <m:r>
          <m:t>R</m:t>
        </m:r>
        <m:r>
          <m:t>t</m:t>
        </m:r>
      </m:oMath>
      <w:r>
        <w:t xml:space="preserve"> </w:t>
      </w:r>
      <w:r>
        <w:t xml:space="preserve">did not vary across drought years. That is, drought year as a variable did not appear in any of the top models –</w:t>
      </w:r>
      <w:r>
        <w:t xml:space="preserve"> </w:t>
      </w:r>
      <w:r>
        <w:rPr>
          <w:i/>
        </w:rPr>
        <w:t xml:space="preserve">i.e.</w:t>
      </w:r>
      <w:r>
        <w:t xml:space="preserve">, models that were statistically indistinguishable (</w:t>
      </w:r>
      <m:oMath>
        <m:r>
          <m:t>Δ</m:t>
        </m:r>
      </m:oMath>
      <w:r>
        <w:t xml:space="preserve">AICc&lt;2) from the best model.</w:t>
      </w:r>
    </w:p>
    <w:p>
      <w:pPr>
        <w:pStyle w:val="BodyText"/>
      </w:pPr>
      <w:r>
        <w:rPr>
          <w:i/>
        </w:rPr>
        <w:t xml:space="preserve">Tree height, microenvironment, and drought resistance</w:t>
      </w:r>
    </w:p>
    <w:p>
      <w:pPr>
        <w:pStyle w:val="BodyText"/>
      </w:pPr>
      <w:r>
        <w:t xml:space="preserve">Taller trees (based on</w:t>
      </w:r>
      <w:r>
        <w:t xml:space="preserve"> </w:t>
      </w:r>
      <m:oMath>
        <m:r>
          <m:t>H</m:t>
        </m:r>
      </m:oMath>
      <w:r>
        <w:t xml:space="preserve"> </w:t>
      </w:r>
      <w:r>
        <w:t xml:space="preserve">in the drought year) showed stronger growth reductions during drought (Table 1; Figs.</w:t>
      </w:r>
      <w:r>
        <w:t xml:space="preserve"> </w:t>
      </w:r>
      <w:r>
        <w:rPr>
          <w:b/>
        </w:rPr>
        <w:t xml:space="preserve">4, S6</w:t>
      </w:r>
      <w:r>
        <w:t xml:space="preserve">).</w:t>
      </w:r>
      <w:r>
        <w:t xml:space="preserve"> </w:t>
      </w:r>
      <w:r>
        <w:t xml:space="preserve">Specifically,</w:t>
      </w:r>
      <w:r>
        <w:t xml:space="preserve"> </w:t>
      </w:r>
      <m:oMath>
        <m:r>
          <m:t>l</m:t>
        </m:r>
        <m:r>
          <m:t>n</m:t>
        </m:r>
        <m:r>
          <m:t>[</m:t>
        </m:r>
        <m:r>
          <m:t>H</m:t>
        </m:r>
        <m:r>
          <m:t>]</m:t>
        </m:r>
      </m:oMath>
      <w:r>
        <w:t xml:space="preserve"> </w:t>
      </w:r>
      <w:r>
        <w:t xml:space="preserve">appeared, with a negative coefficient, in the best model ((</w:t>
      </w:r>
      <m:oMath>
        <m:r>
          <m:t>Δ</m:t>
        </m:r>
      </m:oMath>
      <w:r>
        <w:t xml:space="preserve">AICc=0) and all top models when evaluating the three drought years together (Tables S6-S7).</w:t>
      </w:r>
      <w:r>
        <w:t xml:space="preserve"> </w:t>
      </w:r>
      <w:r>
        <w:t xml:space="preserve">The same held true for 1966 individually.</w:t>
      </w:r>
      <w:r>
        <w:t xml:space="preserve"> </w:t>
      </w:r>
      <w:r>
        <w:t xml:space="preserve">For the 1977 drought,</w:t>
      </w:r>
      <w:r>
        <w:t xml:space="preserve"> </w:t>
      </w:r>
      <m:oMath>
        <m:r>
          <m:t>l</m:t>
        </m:r>
        <m:r>
          <m:t>n</m:t>
        </m:r>
        <m:r>
          <m:t>[</m:t>
        </m:r>
        <m:r>
          <m:t>H</m:t>
        </m:r>
        <m:r>
          <m:t>]</m:t>
        </m:r>
      </m:oMath>
      <w:r>
        <w:t xml:space="preserve"> </w:t>
      </w:r>
      <w:r>
        <w:t xml:space="preserve">did not appear in the best model, but was included, with a negative coefficient, among the top models–</w:t>
      </w:r>
      <w:r>
        <w:rPr>
          <w:i/>
        </w:rPr>
        <w:t xml:space="preserve">i.e.</w:t>
      </w:r>
      <w:r>
        <w:t xml:space="preserve">, models that were statistically indistinguishable (</w:t>
      </w:r>
      <m:oMath>
        <m:r>
          <m:t>Δ</m:t>
        </m:r>
      </m:oMath>
      <w:r>
        <w:t xml:space="preserve">AICc&lt;2) from the best model (Tables 1, S6-S7).</w:t>
      </w:r>
      <w:r>
        <w:t xml:space="preserve"> </w:t>
      </w:r>
      <w:r>
        <w:t xml:space="preserve">For the 1999 drought,</w:t>
      </w:r>
      <w:r>
        <w:t xml:space="preserve"> </w:t>
      </w:r>
      <m:oMath>
        <m:r>
          <m:t>l</m:t>
        </m:r>
        <m:r>
          <m:t>n</m:t>
        </m:r>
        <m:r>
          <m:t>[</m:t>
        </m:r>
        <m:r>
          <m:t>H</m:t>
        </m:r>
        <m:r>
          <m:t>]</m:t>
        </m:r>
      </m:oMath>
      <w:r>
        <w:t xml:space="preserve"> </w:t>
      </w:r>
      <w:r>
        <w:t xml:space="preserve">had no significant effect.</w:t>
      </w:r>
    </w:p>
    <w:p>
      <w:pPr>
        <w:pStyle w:val="BodyText"/>
      </w:pP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(Figs.</w:t>
      </w:r>
      <w:r>
        <w:t xml:space="preserve"> </w:t>
      </w:r>
      <w:r>
        <w:rPr>
          <w:b/>
        </w:rPr>
        <w:t xml:space="preserve">4, S6</w:t>
      </w:r>
      <w:r>
        <w:t xml:space="preserve">, Table S6-S7).</w:t>
      </w:r>
      <w:r>
        <w:t xml:space="preserve"> </w:t>
      </w:r>
      <w:r>
        <w:t xml:space="preserve">The effect was also significant for 1977 and 1999 individually (Fig.</w:t>
      </w:r>
      <w:r>
        <w:t xml:space="preserve"> </w:t>
      </w:r>
      <w:r>
        <w:rPr>
          <w:b/>
        </w:rPr>
        <w:t xml:space="preserve">4</w:t>
      </w:r>
      <w:r>
        <w:t xml:space="preserve">, Table S6).</w:t>
      </w:r>
      <w:r>
        <w:t xml:space="preserve"> </w:t>
      </w:r>
      <w:r>
        <w:t xml:space="preserve">When</w:t>
      </w:r>
      <w:r>
        <w:t xml:space="preserve"> </w:t>
      </w:r>
      <m:oMath>
        <m:r>
          <m:t>R</m:t>
        </m:r>
        <m:sSub>
          <m:e>
            <m:r>
              <m:t>t</m:t>
            </m:r>
          </m:e>
          <m:sub>
            <m:r>
              <m:t>A</m:t>
            </m:r>
            <m:r>
              <m:t>R</m:t>
            </m:r>
            <m:r>
              <m:t>I</m:t>
            </m:r>
            <m:r>
              <m:t>M</m:t>
            </m:r>
            <m:r>
              <m:t>A</m:t>
            </m:r>
          </m:sub>
        </m:sSub>
      </m:oMath>
      <w:r>
        <w:t xml:space="preserve"> </w:t>
      </w:r>
      <w:r>
        <w:t xml:space="preserve">was used as the response variable, the effect was significant in 1977, and included in some of the top models in 1966 and 1999 (Table S7).</w:t>
      </w:r>
      <w:r>
        <w:t xml:space="preserve"> </w:t>
      </w:r>
      <w:r>
        <w:t xml:space="preserve">This negates the idea that trees in moist microsites would be less affected by drought.</w:t>
      </w:r>
      <w:r>
        <w:t xml:space="preserve"> </w:t>
      </w:r>
      <w:r>
        <w:t xml:space="preserve">Nevertheless, we tested for a</w:t>
      </w:r>
      <w:r>
        <w:t xml:space="preserve"> </w:t>
      </w:r>
      <m:oMath>
        <m:r>
          <m:t>l</m:t>
        </m:r>
        <m:r>
          <m:t>n</m:t>
        </m:r>
        <m:r>
          <m:t>[</m:t>
        </m:r>
        <m:r>
          <m:t>H</m:t>
        </m:r>
        <m:r>
          <m:t>]</m:t>
        </m:r>
        <m:r>
          <m:t>*</m:t>
        </m:r>
        <m:r>
          <m:t>l</m:t>
        </m:r>
        <m:r>
          <m:t>n</m:t>
        </m:r>
        <m:r>
          <m:t>[</m:t>
        </m:r>
        <m:r>
          <m:t>T</m:t>
        </m:r>
        <m:r>
          <m:t>W</m:t>
        </m:r>
        <m:r>
          <m:t>I</m:t>
        </m:r>
        <m:r>
          <m:t>]</m:t>
        </m:r>
      </m:oMath>
      <w:r>
        <w:t xml:space="preserve"> </w:t>
      </w:r>
      <w:r>
        <w:t xml:space="preserve">interaction, a negative sign of which could indicate that smaller trees (presumably with smaller rooting volume) are more susceptible to drought in drier microenvironments with a deeper water table.</w:t>
      </w:r>
      <w:r>
        <w:t xml:space="preserve"> </w:t>
      </w:r>
      <w:r>
        <w:t xml:space="preserve">This hypothesis was rejected, as 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 models in which it appeared (Tables 1, S6-S7).</w:t>
      </w:r>
      <w:r>
        <w:t xml:space="preserve"> </w:t>
      </w:r>
      <w:r>
        <w:t xml:space="preserve">This term did appear with a positive coefficient in the best</w:t>
      </w:r>
      <w:r>
        <w:t xml:space="preserve"> </w:t>
      </w:r>
      <m:oMath>
        <m:r>
          <m:t>R</m:t>
        </m:r>
        <m:sSub>
          <m:e>
            <m:r>
              <m:t>t</m:t>
            </m:r>
          </m:e>
          <m:sub>
            <m:r>
              <m:t>A</m:t>
            </m:r>
            <m:r>
              <m:t>R</m:t>
            </m:r>
            <m:r>
              <m:t>I</m:t>
            </m:r>
            <m:r>
              <m:t>M</m:t>
            </m:r>
            <m:r>
              <m:t>A</m:t>
            </m:r>
          </m:sub>
        </m:sSub>
      </m:oMath>
      <w:r>
        <w:t xml:space="preserve"> </w:t>
      </w:r>
      <w:r>
        <w:t xml:space="preserve">model for all years combined (Table S7), indicating that the negative effect of height on</w:t>
      </w:r>
      <w:r>
        <w:t xml:space="preserve"> </w:t>
      </w:r>
      <m:oMath>
        <m:r>
          <m:t>R</m:t>
        </m:r>
        <m:r>
          <m:t>t</m:t>
        </m:r>
      </m:oMath>
      <w:r>
        <w:t xml:space="preserve"> </w:t>
      </w:r>
      <w:r>
        <w:t xml:space="preserve">was significantly stronger in wetter microhabitats.</w:t>
      </w:r>
    </w:p>
    <w:p>
      <w:pPr>
        <w:pStyle w:val="BodyText"/>
      </w:pPr>
      <w:r>
        <w:rPr>
          <w:i/>
        </w:rPr>
        <w:t xml:space="preserve">Species’ traits and drought resistance</w:t>
      </w:r>
    </w:p>
    <w:p>
      <w:pPr>
        <w:pStyle w:val="BodyText"/>
      </w:pPr>
      <w:r>
        <w:t xml:space="preserve">Species, as a factor in ANOVA, had significant influence (p&lt;0.05) on all traits (wood density,</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 wood density 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 </w:t>
      </w:r>
      <w:r>
        <w:t xml:space="preserve">as characterized by the agricolae package</w:t>
      </w:r>
      <w:r>
        <w:t xml:space="preserve"> </w:t>
      </w:r>
      <w:r>
        <w:t xml:space="preserve">@R-agricolae</w:t>
      </w:r>
      <w:r>
        <w:t xml:space="preserve">).</w:t>
      </w:r>
      <w:r>
        <w:t xml:space="preserve"> </w:t>
      </w:r>
      <w:r>
        <w:t xml:space="preserve">Drought resistance also varied across species, overall and in each drought year (Fig.</w:t>
      </w:r>
      <w:r>
        <w:t xml:space="preserve"> </w:t>
      </w:r>
      <w:r>
        <w:rPr>
          <w:b/>
        </w:rPr>
        <w:t xml:space="preserve">3</w:t>
      </w:r>
      <w:r>
        <w:t xml:space="preserve">). Significant differences in</w:t>
      </w:r>
      <w:r>
        <w:t xml:space="preserve"> </w:t>
      </w:r>
      <m:oMath>
        <m:r>
          <m:t>R</m:t>
        </m:r>
        <m:r>
          <m:t>t</m:t>
        </m:r>
      </m:oMath>
      <w:r>
        <w:t xml:space="preserve"> </w:t>
      </w:r>
      <w:r>
        <w:t xml:space="preserve">across species were most pronounced in 1966 with a total of seven distinct groupings, while 1977 had four and 1999 had two.</w:t>
      </w:r>
      <w:r>
        <w:t xml:space="preserve"> </w:t>
      </w:r>
      <w:r>
        <w:t xml:space="preserve">Averaged across all droughts,</w:t>
      </w:r>
      <w:r>
        <w:t xml:space="preserve"> </w:t>
      </w:r>
      <m:oMath>
        <m:r>
          <m:t>R</m:t>
        </m:r>
        <m:r>
          <m:t>t</m:t>
        </m:r>
      </m:oMath>
      <w:r>
        <w:t xml:space="preserve"> </w:t>
      </w:r>
      <w:r>
        <w:t xml:space="preserve">was lowest in</w:t>
      </w:r>
      <w:r>
        <w:t xml:space="preserve"> </w:t>
      </w:r>
      <w:r>
        <w:rPr>
          <w:i/>
        </w:rPr>
        <w:t xml:space="preserve">Liriodendron tulipifera</w:t>
      </w:r>
      <w:r>
        <w:t xml:space="preserve"> </w:t>
      </w:r>
      <w:r>
        <w:t xml:space="preserve">(mean</w:t>
      </w:r>
      <w:r>
        <w:t xml:space="preserve"> </w:t>
      </w:r>
      <m:oMath>
        <m:r>
          <m:t>R</m:t>
        </m:r>
        <m:r>
          <m:t>t</m:t>
        </m:r>
      </m:oMath>
      <w:r>
        <w:t xml:space="preserve"> </w:t>
      </w:r>
      <w:r>
        <w:t xml:space="preserve">=</w:t>
      </w:r>
      <w:r>
        <w:t xml:space="preserve"> </w:t>
      </w:r>
      <w:r>
        <w:rPr>
          <w:b/>
        </w:rPr>
        <w:t xml:space="preserve">0.66</w:t>
      </w:r>
      <w:r>
        <w:t xml:space="preserve">) and highest in</w:t>
      </w:r>
      <w:r>
        <w:t xml:space="preserve"> </w:t>
      </w:r>
      <w:r>
        <w:rPr>
          <w:i/>
        </w:rPr>
        <w:t xml:space="preserve">Fagus grandifolia</w:t>
      </w:r>
      <w:r>
        <w:t xml:space="preserve"> </w:t>
      </w:r>
      <w:r>
        <w:t xml:space="preserve">(mean</w:t>
      </w:r>
      <w:r>
        <w:t xml:space="preserve"> </w:t>
      </w:r>
      <m:oMath>
        <m:r>
          <m:t>R</m:t>
        </m:r>
        <m:r>
          <m:t>t</m:t>
        </m:r>
      </m:oMath>
      <w:r>
        <w:t xml:space="preserve"> </w:t>
      </w:r>
      <w:r>
        <w:t xml:space="preserve">=</w:t>
      </w:r>
      <w:r>
        <w:t xml:space="preserve"> </w:t>
      </w:r>
      <w:r>
        <w:rPr>
          <w:b/>
        </w:rPr>
        <w:t xml:space="preserve">0.99</w:t>
      </w:r>
      <w:r>
        <w:t xml:space="preserve">).</w:t>
      </w:r>
    </w:p>
    <w:p>
      <w:pPr>
        <w:pStyle w:val="BodyText"/>
      </w:pPr>
      <w:r>
        <w:t xml:space="preserve">Wood density,</w:t>
      </w:r>
      <w:r>
        <w:t xml:space="preserve"> </w:t>
      </w:r>
      <m:oMath>
        <m:r>
          <m:t>L</m:t>
        </m:r>
        <m:r>
          <m:t>M</m:t>
        </m:r>
        <m:r>
          <m:t>A</m:t>
        </m:r>
      </m:oMath>
      <w:r>
        <w:t xml:space="preserve">, and xylem porosity were all poor predictors of</w:t>
      </w:r>
      <w:r>
        <w:t xml:space="preserve"> </w:t>
      </w:r>
      <m:oMath>
        <m:r>
          <m:t>R</m:t>
        </m:r>
        <m:r>
          <m:t>t</m:t>
        </m:r>
      </m:oMath>
      <w:r>
        <w:t xml:space="preserve"> </w:t>
      </w:r>
      <w:r>
        <w:t xml:space="preserve">(Tables 1,S4-S5).</w:t>
      </w:r>
      <w:r>
        <w:t xml:space="preserve"> </w:t>
      </w:r>
      <w:r>
        <w:t xml:space="preserve">Wood density and</w:t>
      </w:r>
      <w:r>
        <w:t xml:space="preserve"> </w:t>
      </w:r>
      <m:oMath>
        <m:r>
          <m:t>L</m:t>
        </m:r>
        <m:r>
          <m:t>M</m:t>
        </m:r>
        <m:r>
          <m:t>A</m:t>
        </m:r>
      </m:oMath>
      <w:r>
        <w:t xml:space="preserve"> </w:t>
      </w:r>
      <w:r>
        <w:t xml:space="preserve">were never significantly associated with</w:t>
      </w:r>
      <w:r>
        <w:t xml:space="preserve"> </w:t>
      </w:r>
      <m:oMath>
        <m:r>
          <m:t>R</m:t>
        </m:r>
        <m:r>
          <m:t>t</m:t>
        </m:r>
      </m:oMath>
      <w:r>
        <w:t xml:space="preserve"> </w:t>
      </w:r>
      <w:r>
        <w:t xml:space="preserve">in the single-variable tests and were therefore excluded from the full models.</w:t>
      </w:r>
      <w:r>
        <w:t xml:space="preserve"> </w:t>
      </w:r>
      <w:r>
        <w:t xml:space="preserve">Xylem porosity was also excluded from the full models, as it had no significant influence for all droughts combined and had contrasting effects in the individual droughts: whereas ring-porous species had higher</w:t>
      </w:r>
      <w:r>
        <w:t xml:space="preserve"> </w:t>
      </w:r>
      <m:oMath>
        <m:r>
          <m:t>R</m:t>
        </m:r>
        <m:r>
          <m:t>t</m:t>
        </m:r>
      </m:oMath>
      <w:r>
        <w:t xml:space="preserve"> </w:t>
      </w:r>
      <w:r>
        <w:t xml:space="preserve">than diffuse- and semi-ring- porous species in the 1966 and 1999 droughts, they had lower</w:t>
      </w:r>
      <w:r>
        <w:t xml:space="preserve"> </w:t>
      </w:r>
      <m:oMath>
        <m:r>
          <m:t>R</m:t>
        </m:r>
        <m:r>
          <m:t>t</m:t>
        </m:r>
      </m:oMath>
      <w:r>
        <w:t xml:space="preserve"> </w:t>
      </w:r>
      <w:r>
        <w:t xml:space="preserve">in 1977 (Table S4).</w:t>
      </w:r>
      <w:r>
        <w:t xml:space="preserve"> </w:t>
      </w:r>
      <w:r>
        <w:t xml:space="preserve">It is noteworthy that the two diffuse-porous species in our study,</w:t>
      </w:r>
      <w:r>
        <w:t xml:space="preserve"> </w:t>
      </w:r>
      <w:r>
        <w:rPr>
          <w:i/>
        </w:rPr>
        <w:t xml:space="preserve">Liriodendron tulipifera</w:t>
      </w:r>
      <w:r>
        <w:t xml:space="preserve"> </w:t>
      </w:r>
      <w:r>
        <w:t xml:space="preserve">and</w:t>
      </w:r>
      <w:r>
        <w:t xml:space="preserve"> </w:t>
      </w:r>
      <w:r>
        <w:rPr>
          <w:i/>
        </w:rPr>
        <w:t xml:space="preserve">Fagus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 further refuting the idea that xylem porosity is a useful predictor of</w:t>
      </w:r>
      <w:r>
        <w:t xml:space="preserve"> </w:t>
      </w:r>
      <m:oMath>
        <m:r>
          <m:t>R</m:t>
        </m:r>
        <m:r>
          <m:t>t</m:t>
        </m:r>
      </m:oMath>
      <w:r>
        <w:t xml:space="preserve"> </w:t>
      </w:r>
      <w:r>
        <w:t xml:space="preserve">in the context of this study.</w:t>
      </w:r>
    </w:p>
    <w:p>
      <w:pPr>
        <w:pStyle w:val="BodyText"/>
      </w:pPr>
      <w:r>
        <w:t xml:space="preserve">In contrast,</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t>
      </w:r>
      <w:r>
        <w:t xml:space="preserve">were both negatively correlated to drought resistance (Figs.</w:t>
      </w:r>
      <w:r>
        <w:t xml:space="preserve"> </w:t>
      </w:r>
      <w:r>
        <w:rPr>
          <w:b/>
        </w:rPr>
        <w:t xml:space="preserve">4, S6</w:t>
      </w:r>
      <w:r>
        <w:t xml:space="preserve">; Tables 1,S4-S7).</w:t>
      </w:r>
      <w:r>
        <w:t xml:space="preserve"> </w:t>
      </w:r>
      <w:r>
        <w:t xml:space="preserve">Both had consistent signs across all droughts, and their inclusion at least marginally improved the model (</w:t>
      </w:r>
      <m:oMath>
        <m:r>
          <m:t>Δ</m:t>
        </m:r>
      </m:oMath>
      <w:r>
        <w:t xml:space="preserve">AICc &gt; 1.0) for at least one of the three droughts (Table S4), qualifying them as candidate variables for the full model.</w:t>
      </w:r>
      <w:r>
        <w:t xml:space="preserve"> </w:t>
      </w:r>
      <m:oMath>
        <m:r>
          <m:t>P</m:t>
        </m:r>
        <m:r>
          <m:t>L</m:t>
        </m:r>
        <m:sSub>
          <m:e>
            <m:r>
              <m:t>A</m:t>
            </m:r>
          </m:e>
          <m:sub>
            <m:r>
              <m:t>d</m:t>
            </m:r>
            <m:r>
              <m:t>r</m:t>
            </m:r>
            <m:r>
              <m:t>y</m:t>
            </m:r>
          </m:sub>
        </m:sSub>
      </m:oMath>
      <w:r>
        <w:t xml:space="preserve"> </w:t>
      </w:r>
      <w:r>
        <w:t xml:space="preserve">had a significant influence, with negative coefficient, in full models for the three droughts combined and for the 1966 drought individually (Fig.</w:t>
      </w:r>
      <w:r>
        <w:t xml:space="preserve"> </w:t>
      </w:r>
      <w:r>
        <w:rPr>
          <w:b/>
        </w:rPr>
        <w:t xml:space="preserve">4</w:t>
      </w:r>
      <w:r>
        <w:t xml:space="preserve">; Tables S6-S7).</w:t>
      </w:r>
      <w:r>
        <w:t xml:space="preserve"> </w:t>
      </w:r>
      <w:r>
        <w:t xml:space="preserve">For 1977 and 1999, it was included with a negative coefficient in some of the top models (Tables S6-S7).</w:t>
      </w:r>
      <w:r>
        <w:t xml:space="preserve"> </w:t>
      </w:r>
      <m:oMath>
        <m:sSub>
          <m:e>
            <m:r>
              <m:t>π</m:t>
            </m:r>
          </m:e>
          <m:sub>
            <m:r>
              <m:t>t</m:t>
            </m:r>
            <m:r>
              <m:t>l</m:t>
            </m:r>
            <m:r>
              <m:t>p</m:t>
            </m:r>
          </m:sub>
        </m:sSub>
      </m:oMath>
      <w:r>
        <w:t xml:space="preserve"> </w:t>
      </w:r>
      <w:r>
        <w:t xml:space="preserve">was included with a negative coefficient in the best model for both all droughts combined and for the 1977 drought individually (Fig.</w:t>
      </w:r>
      <w:r>
        <w:t xml:space="preserve"> </w:t>
      </w:r>
      <w:r>
        <w:rPr>
          <w:b/>
        </w:rPr>
        <w:t xml:space="preserve">4</w:t>
      </w:r>
      <w:r>
        <w:t xml:space="preserve">; Table S6).</w:t>
      </w:r>
      <w:r>
        <w:t xml:space="preserve"> </w:t>
      </w:r>
      <w:r>
        <w:t xml:space="preserve">It was also included in some of the top models for 1999 (Tables S6-S7).</w:t>
      </w:r>
    </w:p>
    <w:p>
      <w:pPr>
        <w:pStyle w:val="Heading3"/>
      </w:pPr>
      <w:bookmarkStart w:id="27" w:name="discussion"/>
      <w:r>
        <w:t xml:space="preserve">Discussion</w:t>
      </w:r>
      <w:bookmarkEnd w:id="27"/>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 The greater susceptibility of larger trees to drought, similar to forests worldwide</w:t>
      </w:r>
      <w:r>
        <w:t xml:space="preserve"> </w:t>
      </w:r>
      <w:r>
        <w:t xml:space="preserve">[@bennett_larger_2015]</w:t>
      </w:r>
      <w:r>
        <w:t xml:space="preserve">, was driven primarily by their height</w:t>
      </w:r>
      <w:r>
        <w:t xml:space="preserve"> </w:t>
      </w:r>
      <w:r>
        <w:t xml:space="preserve">[@stovall_tree_2019]</w:t>
      </w:r>
      <w:r>
        <w:t xml:space="preserve">. Taller height was likely a liability in itself, and was also associated with greater exposure to conditions that would promote water loss and heat damage during drought (Fig.</w:t>
      </w:r>
      <w:r>
        <w:t xml:space="preserve"> </w:t>
      </w:r>
      <w:r>
        <w:rPr>
          <w:b/>
        </w:rPr>
        <w:t xml:space="preserve">2</w:t>
      </w:r>
      <w:r>
        <w:t xml:space="preserve">). 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[@zuleta_drought-induced_2017; @stovall_tree_2019]</w:t>
      </w:r>
      <w:r>
        <w:t xml:space="preserve">, and the larger potential rooting volume of large trees provided no advantage in the drier microenvironments. 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[@stovall_reply_2020]</w:t>
      </w:r>
      <w:r>
        <w:t xml:space="preserve">. Drought resistance was not consistently linked to species’</w:t>
      </w:r>
      <w:r>
        <w:t xml:space="preserve"> </w:t>
      </w:r>
      <m:oMath>
        <m:r>
          <m:t>L</m:t>
        </m:r>
        <m:r>
          <m:t>M</m:t>
        </m:r>
        <m:r>
          <m:t>A</m:t>
        </m:r>
      </m:oMath>
      <w:r>
        <w:t xml:space="preserve">, wood density,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 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 The directions of these responses were consistent across droughts (Table S6), supporting the premise that they were driven by fundamental physiological mechanisms. However, the strengths of each predictor varied across droughts (Fig.</w:t>
      </w:r>
      <w:r>
        <w:t xml:space="preserve"> </w:t>
      </w:r>
      <w:r>
        <w:rPr>
          <w:b/>
        </w:rPr>
        <w:t xml:space="preserve">4</w:t>
      </w:r>
      <w:r>
        <w:t xml:space="preserve">; Tables S6-S7), indicating that drought characteristics interact with tree size, microenvironment, and traits to shape which individuals are most affected. These findings advance our knowledge of the factors that make trees vulnerable to growth declines during drought and, by extension, likely make them more vulnerable to mortality</w:t>
      </w:r>
      <w:r>
        <w:t xml:space="preserve"> </w:t>
      </w:r>
      <w:r>
        <w:t xml:space="preserve">[@sapes_plant_2019]</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 **1a**, @helcoski_growing_2019]</w:t>
      </w:r>
      <w:r>
        <w:t xml:space="preserve"> </w:t>
      </w:r>
      <w:r>
        <w:t xml:space="preserve">and had substantial but not devastating impacts on tree growth (Figs.</w:t>
      </w:r>
      <w:r>
        <w:t xml:space="preserve"> </w:t>
      </w:r>
      <w:r>
        <w:rPr>
          <w:b/>
        </w:rPr>
        <w:t xml:space="preserve">1b</w:t>
      </w:r>
      <w:r>
        <w:t xml:space="preserve">). 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[@druckenbrod_redefining_2019]</w:t>
      </w:r>
      <w:r>
        <w:t xml:space="preserve">. However, extreme, multiannual droughts such as the so-called</w:t>
      </w:r>
      <w:r>
        <w:t xml:space="preserve"> </w:t>
      </w:r>
      <w:r>
        <w:t xml:space="preserve">“</w:t>
      </w:r>
      <w:r>
        <w:t xml:space="preserve">megadroughts</w:t>
      </w:r>
      <w:r>
        <w:t xml:space="preserve">”</w:t>
      </w:r>
      <w:r>
        <w:t xml:space="preserve"> </w:t>
      </w:r>
      <w:r>
        <w:t xml:space="preserve">of this type that have triggered massive tree die-off in other regions</w:t>
      </w:r>
      <w:r>
        <w:t xml:space="preserve"> </w:t>
      </w:r>
      <w:r>
        <w:t xml:space="preserve">[e.g., @allen_global_2010; @stovall_tree_2019]</w:t>
      </w:r>
      <w:r>
        <w:t xml:space="preserve"> </w:t>
      </w:r>
      <w:r>
        <w:t xml:space="preserve">have not occurred in the Eastern United States within the past several decades</w:t>
      </w:r>
      <w:r>
        <w:t xml:space="preserve"> </w:t>
      </w:r>
      <w:r>
        <w:t xml:space="preserve">[@clark_impacts_2016]</w:t>
      </w:r>
      <w:r>
        <w:t xml:space="preserve">. 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 The tendency for large trees to have lowest resistance was most pronounced in this drought, consistent with other findings that this physiological response increases with drought severity</w:t>
      </w:r>
      <w:r>
        <w:t xml:space="preserve"> </w:t>
      </w:r>
      <w:r>
        <w:t xml:space="preserve">[@bennett_larger_2015; @stovall_tree_2019]</w:t>
      </w:r>
      <w:r>
        <w:t xml:space="preserve">. Across all three droughts, the majority of trees experienced reduced growth, but a substantial portion had increased growth (Fig.</w:t>
      </w:r>
      <w:r>
        <w:t xml:space="preserve"> </w:t>
      </w:r>
      <w:r>
        <w:rPr>
          <w:b/>
        </w:rPr>
        <w:t xml:space="preserve">1b</w:t>
      </w:r>
      <w:r>
        <w:t xml:space="preserve">), consistent with prior observations that smaller trees can exhibit increased growth rates during drought</w:t>
      </w:r>
      <w:r>
        <w:t xml:space="preserve"> </w:t>
      </w:r>
      <w:r>
        <w:t xml:space="preserve">[@bennett_larger_2015]</w:t>
      </w:r>
      <w:r>
        <w:t xml:space="preserve">. 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 11-12% for all droughts combined, and 18-25% for each individual drought (Fig.</w:t>
      </w:r>
      <w:r>
        <w:t xml:space="preserve"> </w:t>
      </w:r>
      <w:r>
        <w:rPr>
          <w:b/>
        </w:rPr>
        <w:t xml:space="preserve">S6</w:t>
      </w:r>
      <w:r>
        <w:t xml:space="preserve">; Table S6).</w:t>
      </w:r>
    </w:p>
    <w:p>
      <w:pPr>
        <w:pStyle w:val="BodyText"/>
      </w:pPr>
      <w:r>
        <w:t xml:space="preserve">Consistent with studies in other forests worldwide</w:t>
      </w:r>
      <w:r>
        <w:t xml:space="preserve"> </w:t>
      </w:r>
      <w:r>
        <w:t xml:space="preserve">[@bennett_larger_2015]</w:t>
      </w:r>
      <w:r>
        <w:t xml:space="preserve">, taller trees in this forest exhibited lower drought resistance.</w:t>
      </w:r>
      <w:r>
        <w:t xml:space="preserve"> </w:t>
      </w:r>
      <w:r>
        <w:t xml:space="preserve">Mechanistically, this is consistent with, and reinforces, previous findings that biophysical constraints make it impossible for trees to efficiently transport water to great heights and simultaneously maintain strong resistance and resilience to drought-induced embolism</w:t>
      </w:r>
      <w:r>
        <w:t xml:space="preserve"> </w:t>
      </w:r>
      <w:r>
        <w:t xml:space="preserve">[@olson_plant_2018; @couvreur_water_2018; @roskilly_conflicting_2019]</w:t>
      </w:r>
      <w:r>
        <w:t xml:space="preserve">.</w:t>
      </w:r>
      <w:r>
        <w:t xml:space="preserve"> </w:t>
      </w:r>
      <w:r>
        <w:t xml:space="preserve">Taller trees also face dramatically different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[@zellweger_seasonal_2019]</w:t>
      </w:r>
      <w:r>
        <w:t xml:space="preserve">, particularly under drier conditions</w:t>
      </w:r>
      <w:r>
        <w:t xml:space="preserve"> </w:t>
      </w:r>
      <w:r>
        <w:t xml:space="preserve">[@davis_microclimatic_2019]</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[@campbell_introduction_1998; @rey-sanchez_spatial_2016]</w:t>
      </w:r>
      <w:r>
        <w:t xml:space="preserve">.</w:t>
      </w:r>
      <w:r>
        <w:t xml:space="preserve"> </w:t>
      </w:r>
      <w:r>
        <w:t xml:space="preserve">Under drought, when air temperatures tend to be warmer,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[@liu_effect_1993; @suarez_factors_2004; @scharnweber_confessions_2019]</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[@enquist_global_2002]</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[@brum_hydrological_2019]</w:t>
      </w:r>
      <w:r>
        <w:t xml:space="preserve">, the linkage is not consistent. Shorter trees can vary broadly in the depth of water uptake</w:t>
      </w:r>
      <w:r>
        <w:t xml:space="preserve"> </w:t>
      </w:r>
      <w:r>
        <w:t xml:space="preserve">[@stahl_depth_2013]</w:t>
      </w:r>
      <w:r>
        <w:t xml:space="preserve">, and larger trees may allocate more to abundant shallow roots that are beneficial for taking up water from rainstorms</w:t>
      </w:r>
      <w:r>
        <w:t xml:space="preserve"> </w:t>
      </w:r>
      <w:r>
        <w:t xml:space="preserve">[@meinzer_partitioning_1999]</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[@chitratarak_roots_2018]</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[@zuleta_drought-induced_2017; @stovall_tree_2019]</w:t>
      </w:r>
      <w:r>
        <w:t xml:space="preserve">.</w:t>
      </w:r>
      <w:r>
        <w:t xml:space="preserve"> </w:t>
      </w:r>
      <w:r>
        <w:t xml:space="preserve">This may be because moister habitats would tend to support species and individuals with more mesophytic traits</w:t>
      </w:r>
      <w:r>
        <w:t xml:space="preserve"> </w:t>
      </w:r>
      <w:r>
        <w:t xml:space="preserve">[@bartlett_drought_2016; @mencuccini_ecological_2003; @medeiros_extensive_2019]</w:t>
      </w:r>
      <w:r>
        <w:t xml:space="preserve">, potentially growing to greater heights [e.g.,</w:t>
      </w:r>
      <w:r>
        <w:t xml:space="preserve"> </w:t>
      </w:r>
      <w:r>
        <w:t xml:space="preserve">@detto_hydrological_2013</w:t>
      </w:r>
      <w:r>
        <w:t xml:space="preserve">, and these are then more vulnerable when drought hits.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[@bretfeld_plant_2018]</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[@helcoski_growing_2019; @bourg_initial_2013]</w:t>
      </w:r>
      <w:r>
        <w:t xml:space="preserve"> </w:t>
      </w:r>
      <w:r>
        <w:t xml:space="preserve">gave us the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@elliott_forest_2015]</w:t>
      </w:r>
      <w:r>
        <w:t xml:space="preserve">.</w:t>
      </w:r>
      <w:r>
        <w:t xml:space="preserve"> </w:t>
      </w:r>
      <w:r>
        <w:t xml:space="preserve">Our study reinforced current understanding (see Introduction) that wood density and</w:t>
      </w:r>
      <w:r>
        <w:t xml:space="preserve"> </w:t>
      </w:r>
      <m:oMath>
        <m:r>
          <m:t>L</m:t>
        </m:r>
        <m:r>
          <m:t>M</m:t>
        </m:r>
        <m:r>
          <m:t>A</m:t>
        </m:r>
      </m:oMath>
      <w:r>
        <w:t xml:space="preserve"> </w:t>
      </w:r>
      <w:r>
        <w:t xml:space="preserve">are not reliably linked to drought resistance (Table 1).</w:t>
      </w:r>
      <w:r>
        <w:t xml:space="preserve"> </w:t>
      </w:r>
      <w:r>
        <w:t xml:space="preserve">Contrary to several previous studies in temperate deciduous forests</w:t>
      </w:r>
      <w:r>
        <w:t xml:space="preserve"> </w:t>
      </w:r>
      <w:r>
        <w:t xml:space="preserve">[@friedrichs_species-specific_2009; @elliott_forest_2015; @kannenberg_linking_2019]</w:t>
      </w:r>
      <w:r>
        <w:t xml:space="preserve">, we did not find an association between xylem porosity and drought resistance, as the two diffuse-porous species,</w:t>
      </w:r>
      <w:r>
        <w:t xml:space="preserve"> </w:t>
      </w:r>
      <w:r>
        <w:rPr>
          <w:i/>
        </w:rPr>
        <w:t xml:space="preserve">Liriodendron tulipifera</w:t>
      </w:r>
      <w:r>
        <w:t xml:space="preserve"> </w:t>
      </w:r>
      <w:r>
        <w:t xml:space="preserve">and</w:t>
      </w:r>
      <w:r>
        <w:t xml:space="preserve"> </w:t>
      </w:r>
      <w:r>
        <w:rPr>
          <w:i/>
        </w:rPr>
        <w:t xml:space="preserve">Fagus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[@elliott_forest_2015]</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[@elliott_forest_2015; @kannenberg_linking_2019]</w:t>
      </w:r>
      <w:r>
        <w:t xml:space="preserve">, and the genus</w:t>
      </w:r>
      <w:r>
        <w:t xml:space="preserve"> </w:t>
      </w:r>
      <w:r>
        <w:rPr>
          <w:i/>
        </w:rPr>
        <w:t xml:space="preserve">Fagus</w:t>
      </w:r>
      <w:r>
        <w:t xml:space="preserve"> </w:t>
      </w:r>
      <w:r>
        <w:t xml:space="preserve">in particular</w:t>
      </w:r>
      <w:r>
        <w:t xml:space="preserve"> </w:t>
      </w:r>
      <w:r>
        <w:t xml:space="preserve">[@friedrichs_species-specific_2009]</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[@wheeler_variations_2007]</w:t>
      </w:r>
      <w:r>
        <w:t xml:space="preserve">.</w:t>
      </w:r>
      <w:r>
        <w:t xml:space="preserve"> </w:t>
      </w:r>
      <w:r>
        <w:rPr>
          <w:i/>
        </w:rPr>
        <w:t xml:space="preserve">Fagus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resistance (Fig.</w:t>
      </w:r>
      <w:r>
        <w:t xml:space="preserve"> </w:t>
      </w:r>
      <w:r>
        <w:rPr>
          <w:b/>
        </w:rPr>
        <w:t xml:space="preserve">4</w:t>
      </w:r>
      <w:r>
        <w:t xml:space="preserve">; see discussion below).</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[@andersonteixeira_size-related_2015]</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w:t>
      </w:r>
      <w:r>
        <w:t xml:space="preserve"> </w:t>
      </w:r>
      <w:r>
        <w:t xml:space="preserve">[@scoffoni_leaf_2014; @bartlett_correlations_2016; @medeiros_extensive_2019]</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[@marechaux_drought_2015; @fletcher_evolution_2018; @medeiros_extensive_2019; @simeone_coupled_2019; @rosas_adjustments_2019; @zhu_leaf_2018]</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[@powell_differences_2017]</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[@bartlett_rapid_2012; @scoffoni_leaf_2014]</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species that do not form annual rings, and for diverse tropical forests. Although progress is being made for the tropics</w:t>
      </w:r>
      <w:r>
        <w:t xml:space="preserve"> </w:t>
      </w:r>
      <w:r>
        <w:t xml:space="preserve">[@schongart_dendroecological_2017]</w:t>
      </w:r>
      <w:r>
        <w:t xml:space="preserve">, a full linkage of drought tolerance traits to drought responses would be invaluable for forecasting how little-known species and whole forests will respond to future droughts</w:t>
      </w:r>
      <w:r>
        <w:t xml:space="preserve"> </w:t>
      </w:r>
      <w:r>
        <w:t xml:space="preserve">[@christoffersen_linking_2016; @powell_differences_2017]</w:t>
      </w:r>
      <w:r>
        <w:t xml:space="preserve">.</w:t>
      </w:r>
    </w:p>
    <w:p>
      <w:pPr>
        <w:pStyle w:val="BodyText"/>
      </w:pPr>
      <w:r>
        <w:t xml:space="preserve">As climate change drives increasing drought in many of the world’s forests</w:t>
      </w:r>
      <w:r>
        <w:t xml:space="preserve"> </w:t>
      </w:r>
      <w:r>
        <w:t xml:space="preserve">[@trenberth_global_2014; @intergovernmental_panel_on_climate_change_climate_2015]</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at least in terms of growth during the drought year.</w:t>
      </w:r>
      <w:r>
        <w:t xml:space="preserve"> </w:t>
      </w:r>
      <w:r>
        <w:t xml:space="preserve">Resilience and survival are both linked to resistance</w:t>
      </w:r>
      <w:r>
        <w:t xml:space="preserve"> </w:t>
      </w:r>
      <w:r>
        <w:t xml:space="preserve">[@desoto_low_2020; @gessler_way_2020]</w:t>
      </w:r>
      <w:r>
        <w:t xml:space="preserve">, implying that the same factors may influence these.</w:t>
      </w:r>
      <w:r>
        <w:t xml:space="preserve"> </w:t>
      </w:r>
      <w:r>
        <w:t xml:space="preserve">Indeed, while the influence of</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on drought resilience and survival remains to be tested, taller trees have lower resilience</w:t>
      </w:r>
      <w:r>
        <w:t xml:space="preserve"> </w:t>
      </w:r>
      <w:r>
        <w:t xml:space="preserve">[@trugman_tree_2018; @gillerot_tree_2020]</w:t>
      </w:r>
      <w:r>
        <w:t xml:space="preserve"> </w:t>
      </w:r>
      <w:r>
        <w:t xml:space="preserve">and survival</w:t>
      </w:r>
      <w:r>
        <w:t xml:space="preserve"> </w:t>
      </w:r>
      <w:r>
        <w:t xml:space="preserve">[@bennett_larger_2015; @stovall_tree_2019]</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[@mcdowell_pervasive_2020]</w:t>
      </w:r>
      <w:r>
        <w:t xml:space="preserve">.</w:t>
      </w:r>
      <w:r>
        <w:t xml:space="preserve"> </w:t>
      </w:r>
      <w:r>
        <w:t xml:space="preserve">At this point, species whose drought resistance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resistant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[@liu_hydraulic_2019; @bartlett_correlations_2016; @zhu_leaf_2018]</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8" w:name="acknowledgements"/>
      <w:r>
        <w:t xml:space="preserve">Acknowledgements</w:t>
      </w:r>
      <w:bookmarkEnd w:id="28"/>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9" w:name="author-contribution"/>
      <w:r>
        <w:t xml:space="preserve">Author Contribution</w:t>
      </w:r>
      <w:bookmarkEnd w:id="29"/>
    </w:p>
    <w:p>
      <w:pPr>
        <w:pStyle w:val="FirstParagraph"/>
      </w:pPr>
      <w:r>
        <w:t xml:space="preserve">KAT, IM, and AJT designed the research. Tree-ring chronologies were developed by RH under guidance of AJT and NP. Trait data were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pPr>
        <w:pStyle w:val="Heading3"/>
      </w:pPr>
      <w:bookmarkStart w:id="30" w:name="supplementary-information"/>
      <w:r>
        <w:t xml:space="preserve">Supplementary Information</w:t>
      </w:r>
      <w:bookmarkEnd w:id="30"/>
    </w:p>
    <w:p>
      <w:pPr>
        <w:pStyle w:val="FirstParagraph"/>
      </w:pPr>
      <w:r>
        <w:t xml:space="preserve">Table S1. Monthly Palmer Drought Severity Index (PDSI), and its rank among all years between 1950 and 2009 (driest=1),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S7.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Figure S1. Time series of Palmer Drought Severity Index (PDSI) for the 2.5 years prior to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Visualization of best model, with data, for all droughts combined.</w:t>
      </w:r>
    </w:p>
    <w:p>
      <w:pPr>
        <w:pStyle w:val="BodyText"/>
      </w:pPr>
      <w:r>
        <w:t xml:space="preserve">Appendix S1. Further Package Citations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SCBI-ForestGEO"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SCBI-ForestGEO"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2020-07-24T19:03:14Z</dcterms:created>
  <dcterms:modified xsi:type="dcterms:W3CDTF">2020-07-24T19:03:14Z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