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F04E9" w14:textId="77777777" w:rsidR="00363137" w:rsidRDefault="00363137">
      <w:pPr>
        <w:pStyle w:val="FirstParagraph"/>
      </w:pPr>
    </w:p>
    <w:p w14:paraId="43EC2946" w14:textId="77777777" w:rsidR="00363137" w:rsidRDefault="00C61EC2">
      <w:pPr>
        <w:pStyle w:val="BodyText"/>
      </w:pPr>
      <w:r>
        <w:rPr>
          <w:b/>
        </w:rPr>
        <w:t>Title:</w:t>
      </w:r>
      <w:r>
        <w:t xml:space="preserve"> Tree height and hydraulic traits shape growth responses across droughts in a temperate broadleaf forest</w:t>
      </w:r>
    </w:p>
    <w:p w14:paraId="55F838F9" w14:textId="7C34F097" w:rsidR="00363137" w:rsidRDefault="00C61EC2">
      <w:pPr>
        <w:pStyle w:val="BodyText"/>
      </w:pPr>
      <w:r>
        <w:rPr>
          <w:b/>
        </w:rPr>
        <w:t>Authors:</w:t>
      </w:r>
      <w:r>
        <w:t xml:space="preserve"> Ian R. McGregor</w:t>
      </w:r>
      <w:r>
        <w:rPr>
          <w:vertAlign w:val="superscript"/>
        </w:rPr>
        <w:t>1,2</w:t>
      </w:r>
      <w:r>
        <w:t xml:space="preserve"> Ryan Helcoski</w:t>
      </w:r>
      <w:r>
        <w:rPr>
          <w:vertAlign w:val="superscript"/>
        </w:rPr>
        <w:t>1</w:t>
      </w:r>
      <w:r>
        <w:t xml:space="preserve"> Norbert Kunert</w:t>
      </w:r>
      <w:r>
        <w:rPr>
          <w:vertAlign w:val="superscript"/>
        </w:rPr>
        <w:t>1,3</w:t>
      </w:r>
      <w:r>
        <w:t xml:space="preserve"> Alan J. Tepley</w:t>
      </w:r>
      <w:r>
        <w:rPr>
          <w:vertAlign w:val="superscript"/>
        </w:rPr>
        <w:t>1,</w:t>
      </w:r>
      <w:commentRangeStart w:id="0"/>
      <w:r>
        <w:rPr>
          <w:vertAlign w:val="superscript"/>
        </w:rPr>
        <w:t>4</w:t>
      </w:r>
      <w:commentRangeEnd w:id="0"/>
      <w:r w:rsidR="005D7049">
        <w:rPr>
          <w:rStyle w:val="CommentReference"/>
        </w:rPr>
        <w:commentReference w:id="0"/>
      </w:r>
      <w:r>
        <w:t xml:space="preserve"> Erika B. Gonzalez-Akre</w:t>
      </w:r>
      <w:r>
        <w:rPr>
          <w:vertAlign w:val="superscript"/>
        </w:rPr>
        <w:t>1</w:t>
      </w:r>
      <w:r>
        <w:t xml:space="preserve"> Valentine Herrmann</w:t>
      </w:r>
      <w:r>
        <w:rPr>
          <w:vertAlign w:val="superscript"/>
        </w:rPr>
        <w:t>1</w:t>
      </w:r>
      <w:r>
        <w:t xml:space="preserve"> Joseph Zailaa</w:t>
      </w:r>
      <w:r>
        <w:rPr>
          <w:vertAlign w:val="superscript"/>
        </w:rPr>
        <w:t>1,5</w:t>
      </w:r>
      <w:r>
        <w:t xml:space="preserve"> Atticus Stovall</w:t>
      </w:r>
      <w:r>
        <w:rPr>
          <w:vertAlign w:val="superscript"/>
        </w:rPr>
        <w:t>1,6</w:t>
      </w:r>
      <w:r>
        <w:t xml:space="preserve"> Norman A. Bourg</w:t>
      </w:r>
      <w:r>
        <w:rPr>
          <w:vertAlign w:val="superscript"/>
        </w:rPr>
        <w:t>1</w:t>
      </w:r>
      <w:r>
        <w:t>? William J. McShea</w:t>
      </w:r>
      <w:r>
        <w:rPr>
          <w:vertAlign w:val="superscript"/>
        </w:rPr>
        <w:t>1</w:t>
      </w:r>
      <w:r>
        <w:t>? Neil Pederson</w:t>
      </w:r>
      <w:r>
        <w:rPr>
          <w:vertAlign w:val="superscript"/>
        </w:rPr>
        <w:t>7</w:t>
      </w:r>
      <w:r>
        <w:t xml:space="preserve"> Lawren Sack</w:t>
      </w:r>
      <w:r>
        <w:rPr>
          <w:vertAlign w:val="superscript"/>
        </w:rPr>
        <w:t>8</w:t>
      </w:r>
      <w:r>
        <w:t xml:space="preserve"> Kristina J. Anderson-Teixeira</w:t>
      </w:r>
      <w:r>
        <w:rPr>
          <w:vertAlign w:val="superscript"/>
        </w:rPr>
        <w:t>1,3</w:t>
      </w:r>
      <w:r>
        <w:t>*</w:t>
      </w:r>
    </w:p>
    <w:p w14:paraId="2EAE7A6E" w14:textId="77777777" w:rsidR="00363137" w:rsidRDefault="00C61EC2">
      <w:pPr>
        <w:pStyle w:val="BodyText"/>
      </w:pPr>
      <w:r>
        <w:rPr>
          <w:b/>
        </w:rPr>
        <w:t>Author Affiliations:</w:t>
      </w:r>
    </w:p>
    <w:p w14:paraId="769B9CDC" w14:textId="77777777" w:rsidR="00363137" w:rsidRDefault="00C61EC2">
      <w:pPr>
        <w:pStyle w:val="Compact"/>
        <w:numPr>
          <w:ilvl w:val="0"/>
          <w:numId w:val="3"/>
        </w:numPr>
      </w:pPr>
      <w:r>
        <w:t>Conservation Ecology Center; Smithsonian Conservation Biology Institute; National Zoological Park, Front Royal, VA, USA</w:t>
      </w:r>
    </w:p>
    <w:p w14:paraId="4ADD8807" w14:textId="77777777" w:rsidR="00363137" w:rsidRDefault="00C61EC2">
      <w:pPr>
        <w:pStyle w:val="Compact"/>
        <w:numPr>
          <w:ilvl w:val="0"/>
          <w:numId w:val="3"/>
        </w:numPr>
      </w:pPr>
      <w:r>
        <w:t>Center for Tropical Forest Science-Forest Global Earth Observatory; Smithsonian Tropical Research Institute; Panama, Republic of Panama</w:t>
      </w:r>
    </w:p>
    <w:p w14:paraId="2FB841CC" w14:textId="77777777" w:rsidR="00363137" w:rsidRDefault="00C61EC2">
      <w:pPr>
        <w:pStyle w:val="Compact"/>
        <w:numPr>
          <w:ilvl w:val="0"/>
          <w:numId w:val="3"/>
        </w:numPr>
      </w:pPr>
      <w:r>
        <w:t>Biological Sciences Department; California State University; Los Angeles, CA, USA</w:t>
      </w:r>
    </w:p>
    <w:p w14:paraId="4AC0ED00" w14:textId="77777777" w:rsidR="00363137" w:rsidRDefault="00C61EC2">
      <w:pPr>
        <w:pStyle w:val="FirstParagraph"/>
      </w:pPr>
      <w:r>
        <w:t xml:space="preserve">*corresponding author: </w:t>
      </w:r>
      <w:hyperlink r:id="rId10">
        <w:r>
          <w:rPr>
            <w:rStyle w:val="Hyperlink"/>
          </w:rPr>
          <w:t>teixeirak@si.edu</w:t>
        </w:r>
      </w:hyperlink>
      <w:r>
        <w:t>; +1 540 635 6546</w:t>
      </w:r>
    </w:p>
    <w:p w14:paraId="6650F430" w14:textId="77777777" w:rsidR="00363137" w:rsidRDefault="00C61EC2">
      <w:pPr>
        <w:pStyle w:val="BodyText"/>
      </w:pPr>
      <w:r>
        <w:rPr>
          <w:b/>
        </w:rPr>
        <w:t>coauthors, fill in middle initials and affiliations, if missing</w:t>
      </w:r>
      <w:r>
        <w:t>*</w:t>
      </w:r>
    </w:p>
    <w:tbl>
      <w:tblPr>
        <w:tblW w:w="5000" w:type="pct"/>
        <w:tblLook w:val="07E0" w:firstRow="1" w:lastRow="1" w:firstColumn="1" w:lastColumn="1" w:noHBand="1" w:noVBand="1"/>
      </w:tblPr>
      <w:tblGrid>
        <w:gridCol w:w="3183"/>
        <w:gridCol w:w="3102"/>
        <w:gridCol w:w="1938"/>
        <w:gridCol w:w="1137"/>
      </w:tblGrid>
      <w:tr w:rsidR="00363137" w14:paraId="44F55E5D" w14:textId="77777777">
        <w:tc>
          <w:tcPr>
            <w:tcW w:w="0" w:type="auto"/>
            <w:tcBorders>
              <w:bottom w:val="single" w:sz="0" w:space="0" w:color="auto"/>
            </w:tcBorders>
            <w:vAlign w:val="bottom"/>
          </w:tcPr>
          <w:p w14:paraId="4AB4B173" w14:textId="77777777" w:rsidR="00363137" w:rsidRDefault="00C61EC2">
            <w:pPr>
              <w:pStyle w:val="Compact"/>
            </w:pPr>
            <w:r>
              <w:t>text</w:t>
            </w:r>
          </w:p>
        </w:tc>
        <w:tc>
          <w:tcPr>
            <w:tcW w:w="0" w:type="auto"/>
            <w:tcBorders>
              <w:bottom w:val="single" w:sz="0" w:space="0" w:color="auto"/>
            </w:tcBorders>
            <w:vAlign w:val="bottom"/>
          </w:tcPr>
          <w:p w14:paraId="110864B8" w14:textId="77777777" w:rsidR="00363137" w:rsidRDefault="00C61EC2">
            <w:pPr>
              <w:pStyle w:val="Compact"/>
            </w:pPr>
            <w:r>
              <w:t>word count</w:t>
            </w:r>
          </w:p>
        </w:tc>
        <w:tc>
          <w:tcPr>
            <w:tcW w:w="0" w:type="auto"/>
            <w:tcBorders>
              <w:bottom w:val="single" w:sz="0" w:space="0" w:color="auto"/>
            </w:tcBorders>
            <w:vAlign w:val="bottom"/>
          </w:tcPr>
          <w:p w14:paraId="0A0C9574" w14:textId="77777777" w:rsidR="00363137" w:rsidRDefault="00C61EC2">
            <w:pPr>
              <w:pStyle w:val="Compact"/>
            </w:pPr>
            <w:r>
              <w:t>other</w:t>
            </w:r>
          </w:p>
        </w:tc>
        <w:tc>
          <w:tcPr>
            <w:tcW w:w="0" w:type="auto"/>
            <w:tcBorders>
              <w:bottom w:val="single" w:sz="0" w:space="0" w:color="auto"/>
            </w:tcBorders>
            <w:vAlign w:val="bottom"/>
          </w:tcPr>
          <w:p w14:paraId="1FCE35DF" w14:textId="77777777" w:rsidR="00363137" w:rsidRDefault="00C61EC2">
            <w:pPr>
              <w:pStyle w:val="Compact"/>
            </w:pPr>
            <w:r>
              <w:t>n</w:t>
            </w:r>
          </w:p>
        </w:tc>
      </w:tr>
      <w:tr w:rsidR="00363137" w14:paraId="4C9D3C21" w14:textId="77777777">
        <w:tc>
          <w:tcPr>
            <w:tcW w:w="0" w:type="auto"/>
          </w:tcPr>
          <w:p w14:paraId="1431F206" w14:textId="77777777" w:rsidR="00363137" w:rsidRDefault="00C61EC2">
            <w:pPr>
              <w:pStyle w:val="Compact"/>
            </w:pPr>
            <w:r>
              <w:t>Total word count (excluding summary, references and legends)</w:t>
            </w:r>
          </w:p>
        </w:tc>
        <w:tc>
          <w:tcPr>
            <w:tcW w:w="0" w:type="auto"/>
          </w:tcPr>
          <w:p w14:paraId="5B1E9AA8" w14:textId="77777777" w:rsidR="00363137" w:rsidRDefault="00C61EC2">
            <w:pPr>
              <w:pStyle w:val="Compact"/>
            </w:pPr>
            <w:r>
              <w:t>currently ~6442 (strict limit 6,500)</w:t>
            </w:r>
          </w:p>
        </w:tc>
        <w:tc>
          <w:tcPr>
            <w:tcW w:w="0" w:type="auto"/>
          </w:tcPr>
          <w:p w14:paraId="40200E00" w14:textId="77777777" w:rsidR="00363137" w:rsidRDefault="00C61EC2">
            <w:pPr>
              <w:pStyle w:val="Compact"/>
            </w:pPr>
            <w:r>
              <w:t>No. of figures</w:t>
            </w:r>
          </w:p>
        </w:tc>
        <w:tc>
          <w:tcPr>
            <w:tcW w:w="0" w:type="auto"/>
          </w:tcPr>
          <w:p w14:paraId="28C5F037" w14:textId="77777777" w:rsidR="00363137" w:rsidRDefault="00C61EC2">
            <w:pPr>
              <w:pStyle w:val="Compact"/>
            </w:pPr>
            <w:r>
              <w:t>2 (both colour)</w:t>
            </w:r>
          </w:p>
        </w:tc>
      </w:tr>
      <w:tr w:rsidR="00363137" w14:paraId="5020E503" w14:textId="77777777">
        <w:tc>
          <w:tcPr>
            <w:tcW w:w="0" w:type="auto"/>
          </w:tcPr>
          <w:p w14:paraId="4718A923" w14:textId="77777777" w:rsidR="00363137" w:rsidRDefault="00C61EC2">
            <w:pPr>
              <w:pStyle w:val="Compact"/>
            </w:pPr>
            <w:r>
              <w:t>Summary</w:t>
            </w:r>
          </w:p>
        </w:tc>
        <w:tc>
          <w:tcPr>
            <w:tcW w:w="0" w:type="auto"/>
          </w:tcPr>
          <w:p w14:paraId="181D73D1" w14:textId="77777777" w:rsidR="00363137" w:rsidRDefault="00C61EC2">
            <w:pPr>
              <w:pStyle w:val="Compact"/>
            </w:pPr>
            <w:r>
              <w:t>currently 200 (limit 200)</w:t>
            </w:r>
          </w:p>
        </w:tc>
        <w:tc>
          <w:tcPr>
            <w:tcW w:w="0" w:type="auto"/>
          </w:tcPr>
          <w:p w14:paraId="3CF0D312" w14:textId="77777777" w:rsidR="00363137" w:rsidRDefault="00C61EC2">
            <w:pPr>
              <w:pStyle w:val="Compact"/>
            </w:pPr>
            <w:r>
              <w:t>No. of Tables</w:t>
            </w:r>
          </w:p>
        </w:tc>
        <w:tc>
          <w:tcPr>
            <w:tcW w:w="0" w:type="auto"/>
          </w:tcPr>
          <w:p w14:paraId="7DDE3194" w14:textId="77777777" w:rsidR="00363137" w:rsidRDefault="00C61EC2">
            <w:pPr>
              <w:pStyle w:val="Compact"/>
            </w:pPr>
            <w:r>
              <w:t>5</w:t>
            </w:r>
          </w:p>
        </w:tc>
      </w:tr>
      <w:tr w:rsidR="00363137" w14:paraId="00FC67A0" w14:textId="77777777">
        <w:tc>
          <w:tcPr>
            <w:tcW w:w="0" w:type="auto"/>
          </w:tcPr>
          <w:p w14:paraId="18FE93D0" w14:textId="77777777" w:rsidR="00363137" w:rsidRDefault="00C61EC2">
            <w:pPr>
              <w:pStyle w:val="Compact"/>
            </w:pPr>
            <w:r>
              <w:t>Introduction</w:t>
            </w:r>
          </w:p>
        </w:tc>
        <w:tc>
          <w:tcPr>
            <w:tcW w:w="0" w:type="auto"/>
          </w:tcPr>
          <w:p w14:paraId="79793F5E" w14:textId="77777777" w:rsidR="00363137" w:rsidRDefault="00C61EC2">
            <w:pPr>
              <w:pStyle w:val="Compact"/>
            </w:pPr>
            <w:r>
              <w:t>currently ~1339</w:t>
            </w:r>
          </w:p>
        </w:tc>
        <w:tc>
          <w:tcPr>
            <w:tcW w:w="0" w:type="auto"/>
          </w:tcPr>
          <w:p w14:paraId="3B80EAD1" w14:textId="77777777" w:rsidR="00363137" w:rsidRDefault="00C61EC2">
            <w:pPr>
              <w:pStyle w:val="Compact"/>
            </w:pPr>
            <w:r>
              <w:t>No of Supporting Information files</w:t>
            </w:r>
          </w:p>
        </w:tc>
        <w:tc>
          <w:tcPr>
            <w:tcW w:w="0" w:type="auto"/>
          </w:tcPr>
          <w:p w14:paraId="5BBD1C88" w14:textId="77777777" w:rsidR="00363137" w:rsidRDefault="00C61EC2">
            <w:pPr>
              <w:pStyle w:val="Compact"/>
            </w:pPr>
            <w:r>
              <w:t>6</w:t>
            </w:r>
          </w:p>
        </w:tc>
      </w:tr>
      <w:tr w:rsidR="00363137" w14:paraId="0F06D007" w14:textId="77777777">
        <w:tc>
          <w:tcPr>
            <w:tcW w:w="0" w:type="auto"/>
          </w:tcPr>
          <w:p w14:paraId="6E200CE9" w14:textId="77777777" w:rsidR="00363137" w:rsidRDefault="00C61EC2">
            <w:pPr>
              <w:pStyle w:val="Compact"/>
            </w:pPr>
            <w:r>
              <w:t>Materials and Methods</w:t>
            </w:r>
          </w:p>
        </w:tc>
        <w:tc>
          <w:tcPr>
            <w:tcW w:w="0" w:type="auto"/>
          </w:tcPr>
          <w:p w14:paraId="5E9C31CB" w14:textId="77777777" w:rsidR="00363137" w:rsidRDefault="00C61EC2">
            <w:pPr>
              <w:pStyle w:val="Compact"/>
            </w:pPr>
            <w:r>
              <w:t>currently ~1604</w:t>
            </w:r>
          </w:p>
        </w:tc>
        <w:tc>
          <w:tcPr>
            <w:tcW w:w="0" w:type="auto"/>
          </w:tcPr>
          <w:p w14:paraId="292F1463" w14:textId="77777777" w:rsidR="00363137" w:rsidRDefault="00363137"/>
        </w:tc>
        <w:tc>
          <w:tcPr>
            <w:tcW w:w="0" w:type="auto"/>
          </w:tcPr>
          <w:p w14:paraId="0E2DD310" w14:textId="77777777" w:rsidR="00363137" w:rsidRDefault="00363137"/>
        </w:tc>
      </w:tr>
      <w:tr w:rsidR="00363137" w14:paraId="1C06F39C" w14:textId="77777777">
        <w:tc>
          <w:tcPr>
            <w:tcW w:w="0" w:type="auto"/>
          </w:tcPr>
          <w:p w14:paraId="13674D66" w14:textId="77777777" w:rsidR="00363137" w:rsidRDefault="00C61EC2">
            <w:pPr>
              <w:pStyle w:val="Compact"/>
            </w:pPr>
            <w:r>
              <w:t>Results</w:t>
            </w:r>
          </w:p>
        </w:tc>
        <w:tc>
          <w:tcPr>
            <w:tcW w:w="0" w:type="auto"/>
          </w:tcPr>
          <w:p w14:paraId="7D110603" w14:textId="77777777" w:rsidR="00363137" w:rsidRDefault="00C61EC2">
            <w:pPr>
              <w:pStyle w:val="Compact"/>
            </w:pPr>
            <w:r>
              <w:t>currently ~1558</w:t>
            </w:r>
          </w:p>
        </w:tc>
        <w:tc>
          <w:tcPr>
            <w:tcW w:w="0" w:type="auto"/>
          </w:tcPr>
          <w:p w14:paraId="112097A1" w14:textId="77777777" w:rsidR="00363137" w:rsidRDefault="00363137"/>
        </w:tc>
        <w:tc>
          <w:tcPr>
            <w:tcW w:w="0" w:type="auto"/>
          </w:tcPr>
          <w:p w14:paraId="2A65BCC1" w14:textId="77777777" w:rsidR="00363137" w:rsidRDefault="00363137"/>
        </w:tc>
      </w:tr>
      <w:tr w:rsidR="00363137" w14:paraId="1F26EAF0" w14:textId="77777777">
        <w:tc>
          <w:tcPr>
            <w:tcW w:w="0" w:type="auto"/>
          </w:tcPr>
          <w:p w14:paraId="51BC63B0" w14:textId="77777777" w:rsidR="00363137" w:rsidRDefault="00C61EC2">
            <w:pPr>
              <w:pStyle w:val="Compact"/>
            </w:pPr>
            <w:r>
              <w:t>Discussion</w:t>
            </w:r>
          </w:p>
        </w:tc>
        <w:tc>
          <w:tcPr>
            <w:tcW w:w="0" w:type="auto"/>
          </w:tcPr>
          <w:p w14:paraId="434943BC" w14:textId="77777777" w:rsidR="00363137" w:rsidRDefault="00C61EC2">
            <w:pPr>
              <w:pStyle w:val="Compact"/>
            </w:pPr>
            <w:r>
              <w:t>currently ~1866 (limit 30% of total (not strict), or 1950 if manuscript reaches word limit)</w:t>
            </w:r>
          </w:p>
        </w:tc>
        <w:tc>
          <w:tcPr>
            <w:tcW w:w="0" w:type="auto"/>
          </w:tcPr>
          <w:p w14:paraId="6CB8533E" w14:textId="77777777" w:rsidR="00363137" w:rsidRDefault="00363137"/>
        </w:tc>
        <w:tc>
          <w:tcPr>
            <w:tcW w:w="0" w:type="auto"/>
          </w:tcPr>
          <w:p w14:paraId="765E6A74" w14:textId="77777777" w:rsidR="00363137" w:rsidRDefault="00363137"/>
        </w:tc>
      </w:tr>
      <w:tr w:rsidR="00363137" w14:paraId="39A8B17B" w14:textId="77777777">
        <w:tc>
          <w:tcPr>
            <w:tcW w:w="0" w:type="auto"/>
          </w:tcPr>
          <w:p w14:paraId="330FCA56" w14:textId="77777777" w:rsidR="00363137" w:rsidRDefault="00C61EC2">
            <w:pPr>
              <w:pStyle w:val="Compact"/>
            </w:pPr>
            <w:r>
              <w:t>Acknowledgements</w:t>
            </w:r>
          </w:p>
        </w:tc>
        <w:tc>
          <w:tcPr>
            <w:tcW w:w="0" w:type="auto"/>
          </w:tcPr>
          <w:p w14:paraId="7FD21437" w14:textId="77777777" w:rsidR="00363137" w:rsidRDefault="00C61EC2">
            <w:pPr>
              <w:pStyle w:val="Compact"/>
            </w:pPr>
            <w:r>
              <w:t>currently ~73</w:t>
            </w:r>
          </w:p>
        </w:tc>
        <w:tc>
          <w:tcPr>
            <w:tcW w:w="0" w:type="auto"/>
          </w:tcPr>
          <w:p w14:paraId="395E6D0E" w14:textId="77777777" w:rsidR="00363137" w:rsidRDefault="00363137"/>
        </w:tc>
        <w:tc>
          <w:tcPr>
            <w:tcW w:w="0" w:type="auto"/>
          </w:tcPr>
          <w:p w14:paraId="768A7B4A" w14:textId="77777777" w:rsidR="00363137" w:rsidRDefault="00363137"/>
        </w:tc>
      </w:tr>
    </w:tbl>
    <w:p w14:paraId="17AD8F3B" w14:textId="77777777" w:rsidR="00363137" w:rsidRDefault="00C61EC2">
      <w:pPr>
        <w:pStyle w:val="Heading3"/>
      </w:pPr>
      <w:bookmarkStart w:id="1" w:name="summary"/>
      <w:bookmarkEnd w:id="1"/>
      <w:r>
        <w:t>Summary</w:t>
      </w:r>
    </w:p>
    <w:p w14:paraId="785C9236" w14:textId="77777777" w:rsidR="00363137" w:rsidRDefault="00C61EC2">
      <w:pPr>
        <w:numPr>
          <w:ilvl w:val="0"/>
          <w:numId w:val="4"/>
        </w:numPr>
      </w:pPr>
      <w:r>
        <w:t>As the climate changes, driving increased drought in many forested regions around the world, mechanistic understanding of factors conferring drought resistance in trees is increasingly important. Yet it remains unclear how tree size and species’ traits interactively shape tree growth responses during droughts.</w:t>
      </w:r>
    </w:p>
    <w:p w14:paraId="12622246" w14:textId="77777777" w:rsidR="00363137" w:rsidRDefault="00C61EC2">
      <w:pPr>
        <w:numPr>
          <w:ilvl w:val="0"/>
          <w:numId w:val="4"/>
        </w:numPr>
      </w:pPr>
      <w:r>
        <w:lastRenderedPageBreak/>
        <w:t>In this study, we analyze tree-ring records for twelve species representing 97% of woody productivity in the 25.6-ha ForestGEO plot in Virginia (USA) to determine how tree size, microhabitat, and species’ traits interactively shape drought responses across the three strongest droughts over a 60-year period (1950 - 2009).</w:t>
      </w:r>
    </w:p>
    <w:p w14:paraId="59C98642" w14:textId="77777777" w:rsidR="00363137" w:rsidRDefault="00C61EC2">
      <w:pPr>
        <w:numPr>
          <w:ilvl w:val="0"/>
          <w:numId w:val="4"/>
        </w:numPr>
      </w:pPr>
      <w:commentRangeStart w:id="2"/>
      <w:r>
        <w:t xml:space="preserve">Individual-level drought resistance </w:t>
      </w:r>
      <w:commentRangeEnd w:id="2"/>
      <w:r w:rsidR="006E3F0C">
        <w:rPr>
          <w:rStyle w:val="CommentReference"/>
        </w:rPr>
        <w:commentReference w:id="2"/>
      </w:r>
      <w:r>
        <w:t xml:space="preserve">decreased with tree height, whereas crown position explained little additional variation and root water access did not confer additional resistance. </w:t>
      </w:r>
      <w:commentRangeStart w:id="3"/>
      <w:r>
        <w:t xml:space="preserve">Resistance was lower among species </w:t>
      </w:r>
      <w:commentRangeEnd w:id="3"/>
      <w:r w:rsidR="002D0CDD">
        <w:rPr>
          <w:rStyle w:val="CommentReference"/>
        </w:rPr>
        <w:commentReference w:id="3"/>
      </w:r>
      <w:r>
        <w:t>whose leaves had higher percent loss of area upon dehydration and lost turgor at less negative water potential. However, there was substantial variation in the best predictor variables across given droughts.</w:t>
      </w:r>
    </w:p>
    <w:p w14:paraId="23307FF9" w14:textId="77777777" w:rsidR="00363137" w:rsidRDefault="00C61EC2">
      <w:pPr>
        <w:numPr>
          <w:ilvl w:val="0"/>
          <w:numId w:val="4"/>
        </w:numPr>
      </w:pPr>
      <w:r>
        <w:t>We conclude that height–as opposed to canopy position, root water access, or species’ traits–is the primary factor through which tree size mediates drought response, that leaf hydraulic traits are useful indicators of drought sensitivity, and that directions but not strengths of responses are consistent across droughts.</w:t>
      </w:r>
    </w:p>
    <w:p w14:paraId="16AA3FD0" w14:textId="77777777" w:rsidR="00363137" w:rsidRDefault="00C61EC2">
      <w:pPr>
        <w:pStyle w:val="FirstParagraph"/>
      </w:pPr>
      <w:r>
        <w:rPr>
          <w:i/>
        </w:rPr>
        <w:t>Key words</w:t>
      </w:r>
      <w:r>
        <w:t xml:space="preserve">: canopy position; drought; Forest Global Earth Observatory (ForestGEO); leaf hydraulic traits; temperate broadleaf deciduous forest; tree growth; tree height; tree-ring [5-8] </w:t>
      </w:r>
      <w:r>
        <w:rPr>
          <w:i/>
        </w:rPr>
        <w:t>Five to eight key words (in alphabetical order) . Words that are in the title can, and should, be among these.</w:t>
      </w:r>
    </w:p>
    <w:p w14:paraId="1C5EC590" w14:textId="77777777" w:rsidR="00363137" w:rsidRDefault="00C61EC2">
      <w:pPr>
        <w:pStyle w:val="Heading3"/>
      </w:pPr>
      <w:bookmarkStart w:id="4" w:name="introduction"/>
      <w:bookmarkEnd w:id="4"/>
      <w:r>
        <w:t>Introduction</w:t>
      </w:r>
    </w:p>
    <w:p w14:paraId="7ACDE539" w14:textId="77777777" w:rsidR="00363137" w:rsidRDefault="00C61EC2">
      <w:pPr>
        <w:pStyle w:val="FirstParagraph"/>
      </w:pPr>
      <w:r>
        <w:t>Forests globally play a critical role in climate regulation [@bonan_forests_2008], yet there remains enormous uncertainty as to how the terrestrial carbon (C) sink, which is dominated by forests, will respond to climate change [@friedlingstein_climatecarbon_2006]. An important aspect of this uncertainty lies in responses to drought (</w:t>
      </w:r>
      <w:hyperlink r:id="rId11">
        <w:r>
          <w:rPr>
            <w:rStyle w:val="Hyperlink"/>
            <w:i/>
          </w:rPr>
          <w:t>Kennedy et al. 2019</w:t>
        </w:r>
      </w:hyperlink>
      <w:r>
        <w:t>). In many forested regions around the world, the risk of severe drought is increasing [@trenberth_global_</w:t>
      </w:r>
      <w:commentRangeStart w:id="5"/>
      <w:r>
        <w:t>2014</w:t>
      </w:r>
      <w:commentRangeEnd w:id="5"/>
      <w:r w:rsidR="006A3A16">
        <w:rPr>
          <w:rStyle w:val="CommentReference"/>
        </w:rPr>
        <w:commentReference w:id="5"/>
      </w:r>
      <w:r>
        <w:t>], sometimes despite increasing precipitation [@intergovernmental_panel_on_climate_change_climate_2015]. Global change-type droughts have been affecting forests worldwide [@allen_global_2010], and are expected to continue severely impacting forests around the world [@</w:t>
      </w:r>
      <w:commentRangeStart w:id="6"/>
      <w:r>
        <w:t>allen_global_2010</w:t>
      </w:r>
      <w:commentRangeEnd w:id="6"/>
      <w:r w:rsidR="00E21718">
        <w:rPr>
          <w:rStyle w:val="CommentReference"/>
        </w:rPr>
        <w:commentReference w:id="6"/>
      </w:r>
      <w:r>
        <w:t xml:space="preserve">]; </w:t>
      </w:r>
      <w:r>
        <w:rPr>
          <w:b/>
        </w:rPr>
        <w:t>REFS</w:t>
      </w:r>
      <w:r>
        <w:t>). During drought, larger trees generally suffer greater reductions in growth and increases in mortality (e.g., @bennett_larger_2015; @stovall_tree_2019], resulting in disproportionate impacts on forest C storage [@meakem_role_2018]. As a result, forest drought responses stand to strongly impact forest feedbacks to climate change (</w:t>
      </w:r>
      <w:r>
        <w:rPr>
          <w:i/>
        </w:rPr>
        <w:t>e.g., McDowell et al. 2016(</w:t>
      </w:r>
      <w:hyperlink r:id="rId12">
        <w:r>
          <w:rPr>
            <w:rStyle w:val="Hyperlink"/>
            <w:i/>
          </w:rPr>
          <w:t>doi:10.1038/nclimate2873</w:t>
        </w:r>
      </w:hyperlink>
      <w:r>
        <w:rPr>
          <w:i/>
        </w:rPr>
        <w:t>); Charney et al. 2016 (doi: 10.1111/ele.12650)</w:t>
      </w:r>
      <w:r>
        <w:t>). Yet, accurate characterization of drought responses remains a modeling challenge (</w:t>
      </w:r>
      <w:hyperlink r:id="rId13">
        <w:r>
          <w:rPr>
            <w:rStyle w:val="Hyperlink"/>
            <w:i/>
          </w:rPr>
          <w:t>Kennedy et al. 2019</w:t>
        </w:r>
      </w:hyperlink>
      <w:r>
        <w:t>)– in part because some of the mechanisms underlying drought responses remain unclear (</w:t>
      </w:r>
      <w:r>
        <w:rPr>
          <w:b/>
        </w:rPr>
        <w:t>REF</w:t>
      </w:r>
      <w:r>
        <w:t>). Understanding forest responses to drought requires increased functional understanding of how tree size, microhabitat, and species’ traits jointly confer individual-level vulnerability or resistance, and the extent to which their influence is consistent across droughts.</w:t>
      </w:r>
    </w:p>
    <w:p w14:paraId="47DFB996" w14:textId="381F4EA0" w:rsidR="00363137" w:rsidRDefault="00C61EC2">
      <w:pPr>
        <w:pStyle w:val="BodyText"/>
      </w:pPr>
      <w:r>
        <w:t xml:space="preserve">One fundamental question regarding forest responses to drought is what drives the observed tendency for large trees to suffer more during drought. @bennett_larger_2015 </w:t>
      </w:r>
      <w:r>
        <w:lastRenderedPageBreak/>
        <w:t xml:space="preserve">showed that in forests globally, large trees suffer greater growth reductions during drought, and numerous subsequent studies have reinforced this finding (e.g., @stovall_tree_2019; @hacket-pain_consistent_2016]. However, @bennett_larger_2015 quantified tree size based on DBH, which has no direct mechanistic meaning. This study proposed </w:t>
      </w:r>
      <w:commentRangeStart w:id="7"/>
      <w:r>
        <w:t>two major mechanisms</w:t>
      </w:r>
      <w:commentRangeEnd w:id="7"/>
      <w:r w:rsidR="00280582">
        <w:rPr>
          <w:rStyle w:val="CommentReference"/>
        </w:rPr>
        <w:commentReference w:id="7"/>
      </w:r>
      <w:r>
        <w:t>–besides the tendency for bark beetles to preferentially attack larger trees [@pfeifer_observations_2011]–for the observed greater drought growth reductions of large trees. First, taller trees face greater biophysical challenge of lifting water greater distances against the effects of gravity and friction [@mcdowell_relationships_2011; @mcdowell_darcys_2015; @ryan_hydraulic_2006; @couvreur_water_2018], which becomes a greater liability during drought [@zhang_size-dependent_2009]. Second, larger trees may have lower drought resistance because the</w:t>
      </w:r>
      <w:ins w:id="8" w:author="Alan Tepley" w:date="2019-11-10T16:10:00Z">
        <w:r w:rsidR="00E3331A">
          <w:t>ir</w:t>
        </w:r>
      </w:ins>
      <w:del w:id="9" w:author="Alan Tepley" w:date="2019-11-10T16:10:00Z">
        <w:r w:rsidDel="00E3331A">
          <w:delText>y</w:delText>
        </w:r>
      </w:del>
      <w:r>
        <w:t xml:space="preserve"> </w:t>
      </w:r>
      <w:ins w:id="10" w:author="Alan Tepley" w:date="2019-11-10T16:10:00Z">
        <w:r w:rsidR="00E3331A">
          <w:t xml:space="preserve">crowns </w:t>
        </w:r>
      </w:ins>
      <w:del w:id="11" w:author="Alan Tepley" w:date="2019-11-10T16:10:00Z">
        <w:r w:rsidDel="00E3331A">
          <w:delText xml:space="preserve">are more </w:delText>
        </w:r>
      </w:del>
      <w:r>
        <w:t xml:space="preserve">often </w:t>
      </w:r>
      <w:ins w:id="12" w:author="Alan Tepley" w:date="2019-11-10T16:10:00Z">
        <w:r w:rsidR="00E3331A">
          <w:t xml:space="preserve">form the upper </w:t>
        </w:r>
      </w:ins>
      <w:del w:id="13" w:author="Alan Tepley" w:date="2019-11-10T16:10:00Z">
        <w:r w:rsidDel="00E3331A">
          <w:delText xml:space="preserve">in the </w:delText>
        </w:r>
      </w:del>
      <w:r>
        <w:t xml:space="preserve">canopy, where they are exposed to higher solar radiation, greater wind speeds, lower humidity, and lower CO_2_ concentrations [@koike_leaf_2001; </w:t>
      </w:r>
      <w:r>
        <w:rPr>
          <w:b/>
        </w:rPr>
        <w:t>REFS-KAT</w:t>
      </w:r>
      <w:r>
        <w:t xml:space="preserve">). Alternatively, the generally supressed status of subcanopy trees may be insufficient to override the benefits of their buffered environment during drought. Potentially counteracting the biophysical </w:t>
      </w:r>
      <w:commentRangeStart w:id="14"/>
      <w:r>
        <w:t xml:space="preserve">challenges faced by large trees, their larger root systems </w:t>
      </w:r>
      <w:commentRangeEnd w:id="14"/>
      <w:r w:rsidR="00372A2D">
        <w:rPr>
          <w:rStyle w:val="CommentReference"/>
        </w:rPr>
        <w:commentReference w:id="14"/>
      </w:r>
      <w:r>
        <w:t xml:space="preserve">confer an advantage in terms of allowing greater access to water; however, it appears that this effect is usually insufficient to offset the costs of height and/or crown exposure [@bennett_larger_2015]. A final mechanism that could mediate tree size-related responses to drought is how hydraulic traits are distributed with respect to size [@meakem_role_2018]. The pattern observed by @bennett_larger_2015 could be caused if the larger size classes were dominated by species less adapted to handle drought, be it through </w:t>
      </w:r>
      <w:commentRangeStart w:id="15"/>
      <w:r>
        <w:t>avoidance, resistance, or resilience</w:t>
      </w:r>
      <w:commentRangeEnd w:id="15"/>
      <w:r w:rsidR="00372A2D">
        <w:rPr>
          <w:rStyle w:val="CommentReference"/>
        </w:rPr>
        <w:commentReference w:id="15"/>
      </w:r>
      <w:r>
        <w:t>. Alternatively, larger size classes may be dominated by species that are better adapted to inherently greater biophysical challenges–as is the case in tropical moist forests of Panama, where larger size classes contain greater proportions of deciduous species [@condit_quantifying_2000; @meakem_role_2018]. Understanding the mechanisms underlying the tendency for larger trees to suffer more during drought will require sorting out the interactive effects of height, canopy position, root water acess, and species’ traits.</w:t>
      </w:r>
    </w:p>
    <w:p w14:paraId="6CDF8F53" w14:textId="77777777" w:rsidR="00363137" w:rsidRDefault="00C61EC2">
      <w:pPr>
        <w:pStyle w:val="BodyText"/>
      </w:pPr>
      <w:r>
        <w:t xml:space="preserve">A second fundamental question regarding forest responses to drought is how species’ traits – alone and in interaction with tree size – influence drought </w:t>
      </w:r>
      <w:commentRangeStart w:id="16"/>
      <w:r>
        <w:t>response</w:t>
      </w:r>
      <w:commentRangeEnd w:id="16"/>
      <w:r w:rsidR="00856F9B">
        <w:rPr>
          <w:rStyle w:val="CommentReference"/>
        </w:rPr>
        <w:commentReference w:id="16"/>
      </w:r>
      <w:r>
        <w:t xml:space="preserve">. Xylem architecture plays a role, with diffuse porous species tending to be more drought-sensitive than ring-porous species [@kannenberg_linking_2019; @elliott_forest_2015; @friedrichs_species-specific_2009], but </w:t>
      </w:r>
      <w:commentRangeStart w:id="17"/>
      <w:r>
        <w:t>does not differentiate species beyond broad classes</w:t>
      </w:r>
      <w:commentRangeEnd w:id="17"/>
      <w:r w:rsidR="00E3331A">
        <w:rPr>
          <w:rStyle w:val="CommentReference"/>
        </w:rPr>
        <w:commentReference w:id="17"/>
      </w:r>
      <w:r>
        <w:t>. Commonly-measured traits including wood density (</w:t>
      </w:r>
      <m:oMath>
        <m:r>
          <w:rPr>
            <w:rFonts w:ascii="Cambria Math" w:hAnsi="Cambria Math"/>
          </w:rPr>
          <m:t>WD</m:t>
        </m:r>
      </m:oMath>
      <w:r>
        <w:t>) and leaf mass per area (</w:t>
      </w:r>
      <m:oMath>
        <m:r>
          <w:rPr>
            <w:rFonts w:ascii="Cambria Math" w:hAnsi="Cambria Math"/>
          </w:rPr>
          <m:t>LMA</m:t>
        </m:r>
      </m:oMath>
      <w:r>
        <w:t>) have been linked to drought responses in temperate deciduous forests [@abrams_adaptations_1990; @guerfel_impacts_2009; @hoffmann_hydraulic_2011] and other forest biomes around the world [@greenwood_tree_2017]. However, the direction of response is not always consistent; wood density correlated negatively with drought tree performance in a broadleaf deciduous forest in the southeastern United States [@hoffmann_hydraulic_2011] but positively or with no effect at a global scale [@greenwood_tree_2017; @anderegg_hydraulic_2018). Hydraulic traits including water potentials at which percent loss conductivity passes a certain threshold (</w:t>
      </w:r>
      <m:oMath>
        <m:r>
          <w:rPr>
            <w:rFonts w:ascii="Cambria Math" w:hAnsi="Cambria Math"/>
          </w:rPr>
          <m:t>P50</m:t>
        </m:r>
      </m:oMath>
      <w:r>
        <w:t xml:space="preserve">, </w:t>
      </w:r>
      <m:oMath>
        <m:r>
          <w:rPr>
            <w:rFonts w:ascii="Cambria Math" w:hAnsi="Cambria Math"/>
          </w:rPr>
          <m:t>P80</m:t>
        </m:r>
      </m:oMath>
      <w:r>
        <w:t xml:space="preserve">, </w:t>
      </w:r>
      <m:oMath>
        <m:r>
          <w:rPr>
            <w:rFonts w:ascii="Cambria Math" w:hAnsi="Cambria Math"/>
          </w:rPr>
          <m:t>P88</m:t>
        </m:r>
      </m:oMath>
      <w:r>
        <w:t xml:space="preserve">) and hydraulic safety margin tend to be more successful at predicting drought performance [@anderegg_hydraulic_2018] but are time-consuming to measure and therefore infeasible </w:t>
      </w:r>
      <w:r>
        <w:lastRenderedPageBreak/>
        <w:t>for predicting or modeling drought responses in highly diverse forests (</w:t>
      </w:r>
      <w:r>
        <w:rPr>
          <w:i/>
        </w:rPr>
        <w:t>e.g.</w:t>
      </w:r>
      <w:r>
        <w:t>, in the tropics). More rapidly measurable leaf hydraulic traits with direct linkage to plant hydraulic function, including leaf area shrinkage upon dessication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[@scoffoni_leaf_2014]) and the osmotic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)–i.e., the water potential at which leaf wilting occurs [@bartlett_correlations_2016] – are emerging as </w:t>
      </w:r>
      <w:commentRangeStart w:id="18"/>
      <w:r>
        <w:t xml:space="preserve">traits with potential to explain greater variation in plant distribution </w:t>
      </w:r>
      <w:commentRangeEnd w:id="18"/>
      <w:r w:rsidR="006A632B">
        <w:rPr>
          <w:rStyle w:val="CommentReference"/>
        </w:rPr>
        <w:commentReference w:id="18"/>
      </w:r>
      <w:r>
        <w:t xml:space="preserve">and function than the more commonly-measured </w:t>
      </w:r>
      <m:oMath>
        <m:r>
          <w:rPr>
            <w:rFonts w:ascii="Cambria Math" w:hAnsi="Cambria Math"/>
          </w:rPr>
          <m:t>WD</m:t>
        </m:r>
      </m:oMath>
      <w:r>
        <w:t xml:space="preserve"> and </w:t>
      </w:r>
      <m:oMath>
        <m:r>
          <w:rPr>
            <w:rFonts w:ascii="Cambria Math" w:hAnsi="Cambria Math"/>
          </w:rPr>
          <m:t>LMA</m:t>
        </m:r>
      </m:oMath>
      <w:r>
        <w:t xml:space="preserve"> [@medeiros_extensive_2019]. The ability of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explain tree performance under drought remains untested.</w:t>
      </w:r>
    </w:p>
    <w:p w14:paraId="578A4934" w14:textId="77777777" w:rsidR="00363137" w:rsidRDefault="00C61EC2">
      <w:pPr>
        <w:pStyle w:val="BodyText"/>
      </w:pPr>
      <w:r>
        <w:t xml:space="preserve">A final fundamental question regarding forest responses to drought is whether tree size and species’ traits have similar influence across droughts, or whether variability in factors such as drought severity, duration, and timing interact with tree size and traits such that components of the community respond differently across droughts. No two droughts are the same, and tree growth responses vary with drought characteristics such as timing and atmospheric demand [@dorangeville_drought_2018]. However, we are not aware of any studies that compare how tree size and species’ traits mediate growth responses across droughts. While tree-ring studies provide long-term records of tree responses to multiple droughts (e.g., [@lloret_components_2011; @dorangeville_drought_2018] </w:t>
      </w:r>
      <w:r>
        <w:rPr>
          <w:b/>
        </w:rPr>
        <w:t>REFS</w:t>
      </w:r>
      <w:r>
        <w:t xml:space="preserve">), these don’t test for differential trait effects across periods of water shortage [@dorangeville_drought_2018] and generally focus on species-level responses, which preclude consideration of the roles of tree size and microenvironment. The </w:t>
      </w:r>
      <w:commentRangeStart w:id="19"/>
      <w:r>
        <w:t>ecological</w:t>
      </w:r>
      <w:commentRangeEnd w:id="19"/>
      <w:r w:rsidR="00B05F8B">
        <w:rPr>
          <w:rStyle w:val="CommentReference"/>
        </w:rPr>
        <w:commentReference w:id="19"/>
      </w:r>
      <w:r>
        <w:t xml:space="preserve"> studies that have shaped our understanding of the role of tree size and microenvironment in forest drought responses generally examine only a single drought and tend to focus disproportionately on extreme droughts with dramatic impacts (</w:t>
      </w:r>
      <w:r>
        <w:rPr>
          <w:i/>
        </w:rPr>
        <w:t>e.g.</w:t>
      </w:r>
      <w:r>
        <w:t xml:space="preserve">, [@allen_global_2010; @bennett_larger_2015; @stovall_tree_2019; @anderegg_meta-analysis_2016). Thus, our knowledge of forest responses to more modest but frequent droughts–e.g., those with historical return intervals on the order of </w:t>
      </w:r>
      <w:commentRangeStart w:id="20"/>
      <w:r>
        <w:t>a decade</w:t>
      </w:r>
      <w:commentRangeEnd w:id="20"/>
      <w:r w:rsidR="0098301A">
        <w:rPr>
          <w:rStyle w:val="CommentReference"/>
        </w:rPr>
        <w:commentReference w:id="20"/>
      </w:r>
      <w:r>
        <w:t>–remains more limited. While the tendency for larger trees to suffer more certainly predominates [@bennett_larger_2015], there are exceptions (</w:t>
      </w:r>
      <w:r>
        <w:rPr>
          <w:i/>
        </w:rPr>
        <w:t>e.g.</w:t>
      </w:r>
      <w:r>
        <w:t xml:space="preserve">, </w:t>
      </w:r>
      <w:r>
        <w:rPr>
          <w:b/>
        </w:rPr>
        <w:t>REFS??</w:t>
      </w:r>
      <w:r>
        <w:t>). There is also evidence that the degree to which larger trees suffer more increases with the severity of drought conditions [@bennett_larger_2015; @stovall_tree_2019]. [</w:t>
      </w:r>
      <w:r>
        <w:rPr>
          <w:i/>
        </w:rPr>
        <w:t>Are there any studies showing interactions of drought type with traits?</w:t>
      </w:r>
      <w:r>
        <w:t>] Thus, while we expect many of the fundamental mechanisms shaping drought responses to be universal, we have little undertanding of how tree size and traits interact with drought characteristics to result in differential responses across droughts.</w:t>
      </w:r>
    </w:p>
    <w:p w14:paraId="6F273903" w14:textId="77777777" w:rsidR="00363137" w:rsidRDefault="00C61EC2">
      <w:pPr>
        <w:pStyle w:val="BodyText"/>
      </w:pPr>
      <w:r>
        <w:t>Here, we combine tree-ring records covering three droughts (1966, 1977, 1999), species functional and hydraulic trait measurements, and forest census data from a 25.6-ha ForestGEO plot in Virginia (USA) to test a series of hypotheses and associated specific predictions (Table 1) designed to yield functional understanding of how tree size, microenvironment, and species’ traits collectively shape drought responses. First, we focus on the role of tree size and its interaction with microenvironment. We confirm that, consistent with most forests globally, larger-diameter trees tend to have lower drought resistance in this forest, which is in an ecoregion represented by only one study in [@bennett_larger_2015] (</w:t>
      </w:r>
      <w:r>
        <w:rPr>
          <w:i/>
        </w:rPr>
        <w:t>H1.0</w:t>
      </w:r>
      <w:r>
        <w:t>). We then test hypotheses designed to disentangle the relative importance of tree height (</w:t>
      </w:r>
      <w:r>
        <w:rPr>
          <w:i/>
        </w:rPr>
        <w:t>H1.1</w:t>
      </w:r>
      <w:r>
        <w:t>), crown exposure (</w:t>
      </w:r>
      <w:r>
        <w:rPr>
          <w:i/>
        </w:rPr>
        <w:t>H1.2</w:t>
      </w:r>
      <w:r>
        <w:t xml:space="preserve">), and </w:t>
      </w:r>
      <w:commentRangeStart w:id="21"/>
      <w:r>
        <w:t>root water access</w:t>
      </w:r>
      <w:commentRangeEnd w:id="21"/>
      <w:r w:rsidR="0098301A">
        <w:rPr>
          <w:rStyle w:val="CommentReference"/>
        </w:rPr>
        <w:commentReference w:id="21"/>
      </w:r>
      <w:r>
        <w:t>, which should be greater for larger trees in dry but not in perpetually wet microsites (</w:t>
      </w:r>
      <w:r>
        <w:rPr>
          <w:i/>
        </w:rPr>
        <w:t>H1.3</w:t>
      </w:r>
      <w:r>
        <w:t xml:space="preserve">). </w:t>
      </w:r>
      <w:r>
        <w:lastRenderedPageBreak/>
        <w:t>Second, we focus on the role of species’ functional and hydraulic traits and their interaction with tree height. We hypothesize that drought resistance will follow observed patterns in relation to wood density (negative effect; @hoffmann_hydraulic_2011), specific leaf area (positive effect), and xylem architecture (</w:t>
      </w:r>
      <w:r>
        <w:rPr>
          <w:i/>
        </w:rPr>
        <w:t>i.e.</w:t>
      </w:r>
      <w:r>
        <w:t xml:space="preserve">, ring or diffuse/ semi-ring porous), but that hydraulic leaf traits including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will prove better predictors (</w:t>
      </w:r>
      <w:r>
        <w:rPr>
          <w:i/>
        </w:rPr>
        <w:t>H2.1</w:t>
      </w:r>
      <w:r>
        <w:t>). We then test whether these traits correlate with tree height (</w:t>
      </w:r>
      <w:r>
        <w:rPr>
          <w:i/>
        </w:rPr>
        <w:t>H2.2</w:t>
      </w:r>
      <w:r>
        <w:t>), potentially driving the observed tendency for taller trees to suffer more during drought (</w:t>
      </w:r>
      <w:r>
        <w:rPr>
          <w:i/>
        </w:rPr>
        <w:t>H2.3</w:t>
      </w:r>
      <w:r>
        <w:t>). Finally, we focused on variability among droughts, asking how community resistance varied across droughts (</w:t>
      </w:r>
      <w:r>
        <w:rPr>
          <w:i/>
        </w:rPr>
        <w:t>H3.1</w:t>
      </w:r>
      <w:r>
        <w:t>) and whether the factors confirming vulnerability or resistance varied across droughts (</w:t>
      </w:r>
      <w:r>
        <w:rPr>
          <w:i/>
        </w:rPr>
        <w:t>H3.2</w:t>
      </w:r>
      <w:r>
        <w:t>).</w:t>
      </w:r>
    </w:p>
    <w:p w14:paraId="4EC32239" w14:textId="77777777" w:rsidR="00363137" w:rsidRDefault="00C61EC2">
      <w:pPr>
        <w:pStyle w:val="Heading3"/>
      </w:pPr>
      <w:bookmarkStart w:id="22" w:name="materials-and-methods"/>
      <w:bookmarkEnd w:id="22"/>
      <w:r>
        <w:t>Materials and Methods</w:t>
      </w:r>
    </w:p>
    <w:p w14:paraId="2F04C18B" w14:textId="77777777" w:rsidR="00363137" w:rsidRDefault="00C61EC2">
      <w:pPr>
        <w:pStyle w:val="FirstParagraph"/>
      </w:pPr>
      <w:r>
        <w:rPr>
          <w:i/>
        </w:rPr>
        <w:t>Study site</w:t>
      </w:r>
    </w:p>
    <w:p w14:paraId="6481CD5B" w14:textId="77777777" w:rsidR="00363137" w:rsidRDefault="00C61EC2">
      <w:pPr>
        <w:pStyle w:val="BodyText"/>
      </w:pPr>
      <w:r>
        <w:t>Research was conducted at the 25.6 ha ForestGEO (Forest Global Earth Observatory) study plot at the Smithsonian Conservation Biology Institute (SCBI) in Virginia, USA (38°53’36.6“N, 78°08’43.4”W) [@bourg_initial_2013; @andersonteixeira_ctfs-forestgeo:_2015]. SCBI is located in the central Appalachian Mountains at the northern edge of Shenandoah National Park. Elevations range from 273-338m above sea level [@gonzalezakre_patterns_2016] with a topographic relief of 65m [@bourg_initial_2013]. Climate is humid temperate, with mean annual temperature of 12.7</w:t>
      </w:r>
      <m:oMath>
        <m:r>
          <w:rPr>
            <w:rFonts w:ascii="Cambria Math" w:hAnsi="Cambria Math"/>
          </w:rPr>
          <m:t>∘</m:t>
        </m:r>
      </m:oMath>
      <w:r>
        <w:t xml:space="preserve">C and precipitation of 1005 mm during our study period (1960-2009; source: CRU TS v.4.01; @harris_updated_2014). Dominant tree taxa include </w:t>
      </w:r>
      <w:r>
        <w:rPr>
          <w:i/>
        </w:rPr>
        <w:t>Liriodendron tulipifera</w:t>
      </w:r>
      <w:r>
        <w:t>, oaks (</w:t>
      </w:r>
      <w:r>
        <w:rPr>
          <w:i/>
        </w:rPr>
        <w:t>Quercus</w:t>
      </w:r>
      <w:r>
        <w:t xml:space="preserve"> spp.), and hickories (</w:t>
      </w:r>
      <w:r>
        <w:rPr>
          <w:i/>
        </w:rPr>
        <w:t>Carya</w:t>
      </w:r>
      <w:r>
        <w:t xml:space="preserve"> spp.).</w:t>
      </w:r>
    </w:p>
    <w:p w14:paraId="62B0106C" w14:textId="77777777" w:rsidR="00363137" w:rsidRDefault="00C61EC2">
      <w:pPr>
        <w:pStyle w:val="BodyText"/>
      </w:pPr>
      <w:r>
        <w:rPr>
          <w:i/>
        </w:rPr>
        <w:t>Data collection and preparation</w:t>
      </w:r>
    </w:p>
    <w:p w14:paraId="1772DC73" w14:textId="77777777" w:rsidR="00363137" w:rsidRDefault="00C61EC2">
      <w:pPr>
        <w:pStyle w:val="BodyText"/>
      </w:pPr>
      <w:r>
        <w:t xml:space="preserve">Within or </w:t>
      </w:r>
      <w:commentRangeStart w:id="23"/>
      <w:r>
        <w:t xml:space="preserve">just outside </w:t>
      </w:r>
      <w:commentRangeEnd w:id="23"/>
      <w:r w:rsidR="00DC2D61">
        <w:rPr>
          <w:rStyle w:val="CommentReference"/>
        </w:rPr>
        <w:commentReference w:id="23"/>
      </w:r>
      <w:r>
        <w:t xml:space="preserve">the ForestGEO plot, we collected data on a suite of variables including tree size, microenvironemnt, and species traits (Table 2). The SCBI ForestGEO plot was censused in 2008, 2013, and 2018 following standard ForestGEO protocols, whereby all free-standing woody stems </w:t>
      </w:r>
      <m:oMath>
        <m:r>
          <w:rPr>
            <w:rFonts w:ascii="Cambria Math" w:hAnsi="Cambria Math"/>
          </w:rPr>
          <m:t>≥</m:t>
        </m:r>
      </m:oMath>
      <w:r>
        <w:t xml:space="preserve"> 1cm diameter at breast height (DBH) were mapped, tagged, measured at DBH, and identified to species [@condit_tropical_1998]. From this census data, we used measurements of DBH from 2008 to calculate historical DBH, tree location in the plot to determine the </w:t>
      </w:r>
      <w:commentRangeStart w:id="24"/>
      <w:r>
        <w:t>topographic wetness index</w:t>
      </w:r>
      <w:commentRangeEnd w:id="24"/>
      <w:r w:rsidR="00DC2D61">
        <w:rPr>
          <w:rStyle w:val="CommentReference"/>
        </w:rPr>
        <w:commentReference w:id="24"/>
      </w:r>
      <w:r>
        <w:t xml:space="preserve">, and data for all stems </w:t>
      </w:r>
      <m:oMath>
        <m:r>
          <w:rPr>
            <w:rFonts w:ascii="Cambria Math" w:hAnsi="Cambria Math"/>
          </w:rPr>
          <m:t>≥</m:t>
        </m:r>
      </m:oMath>
      <w:r>
        <w:t xml:space="preserve"> 10cm to analyze functional trait composition relative to tree height (all analyses described below). Census data, which were last updated in 2019, are available through the ForestGEO data portal (www.forestgeo.si.edu).</w:t>
      </w:r>
    </w:p>
    <w:p w14:paraId="2C7FD9C2" w14:textId="4EAB53FA" w:rsidR="00363137" w:rsidRDefault="00C61EC2">
      <w:pPr>
        <w:pStyle w:val="BodyText"/>
      </w:pPr>
      <w:r>
        <w:t xml:space="preserve">We analyzed </w:t>
      </w:r>
      <w:commentRangeStart w:id="25"/>
      <w:r>
        <w:t xml:space="preserve">tree-ring </w:t>
      </w:r>
      <w:commentRangeEnd w:id="25"/>
      <w:r w:rsidR="00627125">
        <w:rPr>
          <w:rStyle w:val="CommentReference"/>
        </w:rPr>
        <w:commentReference w:id="25"/>
      </w:r>
      <w:r>
        <w:t>data from 571 trees representing the twelve species contributing most to woody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which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[@helcoski_growing_2019] (Figure S1). Cores were </w:t>
      </w:r>
      <w:ins w:id="26" w:author="Alan Tepley" w:date="2019-11-10T16:53:00Z">
        <w:r w:rsidR="00DC2D61">
          <w:t xml:space="preserve">collected </w:t>
        </w:r>
      </w:ins>
      <w:ins w:id="27" w:author="Alan Tepley" w:date="2019-11-10T16:54:00Z">
        <w:r w:rsidR="00DC2D61">
          <w:t xml:space="preserve">at breast height (1.3 m) </w:t>
        </w:r>
      </w:ins>
      <w:del w:id="28" w:author="Alan Tepley" w:date="2019-11-10T16:54:00Z">
        <w:r w:rsidDel="00DC2D61">
          <w:delText xml:space="preserve">obtained </w:delText>
        </w:r>
      </w:del>
      <w:r>
        <w:t xml:space="preserve">in 2010-2011 or 2016-2017 </w:t>
      </w:r>
      <w:del w:id="29" w:author="Alan Tepley" w:date="2019-11-10T16:54:00Z">
        <w:r w:rsidDel="00DC2D61">
          <w:delText xml:space="preserve">from a breast height of 1.3m </w:delText>
        </w:r>
      </w:del>
      <w:r>
        <w:t>using a 5mm</w:t>
      </w:r>
      <w:ins w:id="30" w:author="Alan Tepley" w:date="2019-11-10T16:54:00Z">
        <w:r w:rsidR="00DC2D61">
          <w:t>-diameter</w:t>
        </w:r>
      </w:ins>
      <w:r>
        <w:t xml:space="preserve"> increment borer. In 2010-2011, cores were collected from randomly selected live trees of species with at least 30 individuals </w:t>
      </w:r>
      <w:del w:id="31" w:author="Alan Tepley" w:date="2019-11-10T16:54:00Z">
        <w:r w:rsidDel="00DC2D61">
          <w:delText xml:space="preserve">of DBH </w:delText>
        </w:r>
      </w:del>
      <m:oMath>
        <m:r>
          <w:rPr>
            <w:rFonts w:ascii="Cambria Math" w:hAnsi="Cambria Math"/>
          </w:rPr>
          <m:t>≥</m:t>
        </m:r>
      </m:oMath>
      <w:r>
        <w:t xml:space="preserve"> 10cm </w:t>
      </w:r>
      <w:ins w:id="32" w:author="Alan Tepley" w:date="2019-11-10T16:54:00Z">
        <w:r w:rsidR="00DC2D61">
          <w:t xml:space="preserve">DBH </w:t>
        </w:r>
      </w:ins>
      <w:r>
        <w:t xml:space="preserve">[@bourg_initial_2013]. In 2016-2017, cores were collected from all trees found dead in the annual mortality census [@gonzalezakre_patterns_2016]. Cores were sanded, </w:t>
      </w:r>
      <w:r>
        <w:lastRenderedPageBreak/>
        <w:t xml:space="preserve">measured, and cross-dated using standard procedures, as detailed in [@helcoski_growing_2019]. The resulting chronologies have been published in association with @helcoski_growing_2019: (ITRDB; GitHub/Zenodo). </w:t>
      </w:r>
      <w:r>
        <w:rPr>
          <w:b/>
        </w:rPr>
        <w:t xml:space="preserve">Ryan, have you heard back from ITRDB? We should also cite GitHub/Zenodo here. </w:t>
      </w:r>
    </w:p>
    <w:p w14:paraId="3FD1A0DF" w14:textId="77777777" w:rsidR="00363137" w:rsidRDefault="00C61EC2">
      <w:pPr>
        <w:pStyle w:val="BodyText"/>
      </w:pPr>
      <w:commentRangeStart w:id="33"/>
      <w:r>
        <w:t>For each tree</w:t>
      </w:r>
      <w:commentRangeEnd w:id="33"/>
      <w:r w:rsidR="00E16C13">
        <w:rPr>
          <w:rStyle w:val="CommentReference"/>
        </w:rPr>
        <w:commentReference w:id="33"/>
      </w:r>
      <w:r>
        <w:t>, we combined tree-ring records and allometric equations of bark thickness to retroactively calculate DBH for the years 1950-2009. Prior DBH was estimated using the following equation:</w:t>
      </w:r>
    </w:p>
    <w:p w14:paraId="68156A18" w14:textId="77777777" w:rsidR="00363137" w:rsidRDefault="00C61EC2">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r>
                        <w:rPr>
                          <w:rFonts w:ascii="Cambria Math" w:hAnsi="Cambria Math"/>
                        </w:rPr>
                        <m:t>2008</m:t>
                      </m:r>
                    </m:lim>
                  </m:limUpp>
                </m:e>
                <m:lim>
                  <m:r>
                    <w:rPr>
                      <w:rFonts w:ascii="Cambria Math" w:hAnsi="Cambria Math"/>
                    </w:rPr>
                    <m:t>year=Y</m:t>
                  </m:r>
                </m:lim>
              </m:limLow>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ring,2008</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bark,2008</m:t>
                  </m:r>
                </m:sub>
              </m:sSub>
            </m:e>
          </m:d>
        </m:oMath>
      </m:oMathPara>
    </w:p>
    <w:p w14:paraId="189407D1" w14:textId="77777777" w:rsidR="00363137" w:rsidRDefault="00C61EC2">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Bark thickness was estimated from species-specific allometries based on the bark thickness data from the site [@andersonteixeira_size-related_2015]. Specifically, we used linear regression equations on log-transformed data to relate bark thickness to </w:t>
      </w:r>
      <w:commentRangeStart w:id="34"/>
      <w:commentRangeStart w:id="35"/>
      <w:r>
        <w:t xml:space="preserve">diameter without bark </w:t>
      </w:r>
      <w:commentRangeEnd w:id="34"/>
      <w:r w:rsidR="00DC2D61">
        <w:rPr>
          <w:rStyle w:val="CommentReference"/>
        </w:rPr>
        <w:commentReference w:id="34"/>
      </w:r>
      <w:commentRangeEnd w:id="35"/>
      <w:r w:rsidR="00627125">
        <w:rPr>
          <w:rStyle w:val="CommentReference"/>
        </w:rPr>
        <w:commentReference w:id="35"/>
      </w:r>
      <w:r>
        <w:t>from 2008 data (Table S1), which were then used to determine bark thickness in the retroactive calculation of DBH.</w:t>
      </w:r>
    </w:p>
    <w:p w14:paraId="01FCA263" w14:textId="77777777" w:rsidR="00363137" w:rsidRDefault="00C61EC2">
      <w:pPr>
        <w:pStyle w:val="BodyText"/>
      </w:pPr>
      <w:r>
        <w:t xml:space="preserve">Height measurements (n=1518 trees) were taken by several researchers between 2012 to 2019, and are archived in a public </w:t>
      </w:r>
      <w:hyperlink r:id="rId14">
        <w:r>
          <w:rPr>
            <w:rStyle w:val="Hyperlink"/>
          </w:rPr>
          <w:t>GitHub repository</w:t>
        </w:r>
      </w:hyperlink>
      <w:r>
        <w:t xml:space="preserve">. Measurement methods included manual [@stovall_assessing_2018, NEON], digital rangefinders [@andersonteixeira_size-related_2015], and automatic </w:t>
      </w:r>
      <w:commentRangeStart w:id="36"/>
      <w:r>
        <w:t xml:space="preserve">LiDAR </w:t>
      </w:r>
      <w:commentRangeEnd w:id="36"/>
      <w:r w:rsidR="00E16C13">
        <w:rPr>
          <w:rStyle w:val="CommentReference"/>
        </w:rPr>
        <w:commentReference w:id="36"/>
      </w:r>
      <w:r>
        <w:t>[@stovall_terrestrial_2018]. Rangefinders used either the tangent method (Impulse 200LR, TruPulse 360R) or the sine method (Nikon ForestryPro) for calculating heights. Both methods are associated with some error [@larjavaara_measuring_2013], but in this instance there was no clear advantage of one or the other. Species-specific height allometries were developed (Table S2). For species with insufficient height data to create reliable species-specific allometries, heights were calculated from an equation developed using all height measurements.</w:t>
      </w:r>
    </w:p>
    <w:p w14:paraId="53EE720D" w14:textId="77777777" w:rsidR="00363137" w:rsidRDefault="00C61EC2">
      <w:pPr>
        <w:pStyle w:val="BodyText"/>
      </w:pPr>
      <w:r>
        <w:t xml:space="preserve">Crown positions were recorded in the field during the growing season of 2018 following the crown position protocol of @jennings_assessing_1999, whereby positions were ranked as dominant, codominant, intermediate, or suppressed. As there was no way to retroactively estimate crown position, we assumed that 2018 crown position was reflective of each tree’s position over the past 60 years. While some trees undoubtedly changed position, an analysis of crown position relative to height (Fig. 2) and height change since the beginning of the study period indicated that </w:t>
      </w:r>
      <w:commentRangeStart w:id="37"/>
      <w:r>
        <w:t xml:space="preserve">change was likely slow </w:t>
      </w:r>
      <w:commentRangeEnd w:id="37"/>
      <w:r w:rsidR="00E16C13">
        <w:rPr>
          <w:rStyle w:val="CommentReference"/>
        </w:rPr>
        <w:commentReference w:id="37"/>
      </w:r>
      <w:r>
        <w:t xml:space="preserve">(Fig. S3). Specifically, average tree height growth was confined to &lt;0.5m from 1966 to 1977, ~1m from 1977 to 1999, and </w:t>
      </w:r>
      <w:r>
        <w:rPr>
          <w:b/>
        </w:rPr>
        <w:t># (IAN)</w:t>
      </w:r>
      <w:r>
        <w:t xml:space="preserve"> from 1999 to 2018.</w:t>
      </w:r>
    </w:p>
    <w:p w14:paraId="7D9A3E81" w14:textId="77777777" w:rsidR="00363137" w:rsidRDefault="00C61EC2">
      <w:pPr>
        <w:pStyle w:val="BodyText"/>
      </w:pPr>
      <w:r>
        <w:t xml:space="preserve">Topographic wetness index (TWI) was calculated using the dynatopmodel package in R (Figure S1) [@R-dynatopmodel]. Originally developed by @beven_physically_1979, TWI was part of a hydrological run-off model and has since been used for a number of purposes in hydrology and ecology [@sorensen_calculation_2006]. TWI calculation depends on an input of a digital elevation model (DEM), and from this yields a quantitative assessment defined by how “wet” an area is, based on areas where run-off is more likely. From our </w:t>
      </w:r>
      <w:r>
        <w:lastRenderedPageBreak/>
        <w:t>observations in the plot, the calculation of TWI performed comparatively better at categorizing wet areas than the calculation of a distance matrix from a stream shapefile.</w:t>
      </w:r>
    </w:p>
    <w:p w14:paraId="215CCD48" w14:textId="77777777" w:rsidR="00363137" w:rsidRDefault="00C61EC2">
      <w:pPr>
        <w:pStyle w:val="BodyText"/>
      </w:pPr>
      <w:r>
        <w:t xml:space="preserve">Hydraulic traits were collected at SCBI (Table 3). In August 2018, we sampled </w:t>
      </w:r>
      <w:commentRangeStart w:id="38"/>
      <w:r>
        <w:t xml:space="preserve">small sun-exposed branches </w:t>
      </w:r>
      <w:commentRangeEnd w:id="38"/>
      <w:r w:rsidR="00136DB5">
        <w:rPr>
          <w:rStyle w:val="CommentReference"/>
        </w:rPr>
        <w:commentReference w:id="38"/>
      </w:r>
      <w:r>
        <w:t xml:space="preserve">from three individuals of each species in and around the ForestGEO plot. Samples were re-cut under water </w:t>
      </w:r>
      <w:commentRangeStart w:id="39"/>
      <w:r>
        <w:t xml:space="preserve">by at least two notes </w:t>
      </w:r>
      <w:commentRangeEnd w:id="39"/>
      <w:r w:rsidR="00E16C13">
        <w:rPr>
          <w:rStyle w:val="CommentReference"/>
        </w:rPr>
        <w:commentReference w:id="39"/>
      </w:r>
      <w:r>
        <w:t>and re-hydrated overnight in buckets covered with opaque plastic bags before measurements. Rehydrated leaves (n=3 per indivdiual) were scanned, weighed, dried at 60</w:t>
      </w:r>
      <m:oMath>
        <m:sSup>
          <m:sSupPr>
            <m:ctrlPr>
              <w:rPr>
                <w:rFonts w:ascii="Cambria Math" w:hAnsi="Cambria Math"/>
              </w:rPr>
            </m:ctrlPr>
          </m:sSupPr>
          <m:e/>
          <m:sup>
            <m:r>
              <w:rPr>
                <w:rFonts w:ascii="Cambria Math" w:hAnsi="Cambria Math"/>
              </w:rPr>
              <m:t>∘</m:t>
            </m:r>
          </m:sup>
        </m:sSup>
      </m:oMath>
      <w:r>
        <w:t xml:space="preserve"> C for </w:t>
      </w:r>
      <m:oMath>
        <m:r>
          <w:rPr>
            <w:rFonts w:ascii="Cambria Math" w:hAnsi="Cambria Math"/>
          </w:rPr>
          <m:t>≥</m:t>
        </m:r>
      </m:oMath>
      <w:r>
        <w:t xml:space="preserve"> 48 hours, and then re-scanned and weighed. Leaf area was calculated from scanned images using the Leafarea R package (</w:t>
      </w:r>
      <w:r>
        <w:rPr>
          <w:b/>
        </w:rPr>
        <w:t>citation</w:t>
      </w:r>
      <w:r>
        <w:t xml:space="preserve">). </w:t>
      </w:r>
      <m:oMath>
        <m:r>
          <w:rPr>
            <w:rFonts w:ascii="Cambria Math" w:hAnsi="Cambria Math"/>
          </w:rPr>
          <m:t>LMA</m:t>
        </m:r>
      </m:oMath>
      <w:r>
        <w:t xml:space="preserve"> was calculated as the ratio of leaf dry mass to fresh area. </w:t>
      </w:r>
      <m:oMath>
        <m:r>
          <w:rPr>
            <w:rFonts w:ascii="Cambria Math" w:hAnsi="Cambria Math"/>
          </w:rPr>
          <m:t>PLA</m:t>
        </m:r>
      </m:oMath>
      <w:r>
        <w:t xml:space="preserve"> was calculated as the percent loss of area between fresh and dry leaves. </w:t>
      </w:r>
      <m:oMath>
        <m:r>
          <w:rPr>
            <w:rFonts w:ascii="Cambria Math" w:hAnsi="Cambria Math"/>
          </w:rPr>
          <m:t>WD</m:t>
        </m:r>
      </m:oMath>
      <w:r>
        <w:t xml:space="preserve"> was calculated for ~1cm diameter stem samples (bark and pith removed) as the ratio of dry weight to volume. We used the rapid determination method of @bartlett_rapid_2012 to estimate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Briefly, two 4mm diameter leaf discs were cut from each leaf, tightly wrapped in foil, submerged in liquid nitrogen, perforated 10-15 times with a dissection needle, and then measured using a vapour pressure osmometer (VAPRO 5520, Wescor, Logan, UT, USA). Osmotic </w:t>
      </w:r>
      <w:commentRangeStart w:id="40"/>
      <w:r>
        <w:t xml:space="preserve">potential </w:t>
      </w:r>
      <w:commentRangeEnd w:id="40"/>
      <w:r w:rsidR="00B52582">
        <w:rPr>
          <w:rStyle w:val="CommentReference"/>
        </w:rPr>
        <w:commentReference w:id="40"/>
      </w:r>
      <w:r>
        <w:t>(</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m:oMath>
      <w:r>
        <w:t xml:space="preserve"> [@bartlett_rapid_2012]. Data and R scripts for hydraulic traits are available at [</w:t>
      </w:r>
      <w:r>
        <w:rPr>
          <w:b/>
        </w:rPr>
        <w:t>create new public GitHub repo for hydraulic traits, archive in Zenodo, give DOI</w:t>
      </w:r>
      <w:r>
        <w:t>].</w:t>
      </w:r>
    </w:p>
    <w:p w14:paraId="003C04B9" w14:textId="4BB27881" w:rsidR="00363137" w:rsidRDefault="00C61EC2">
      <w:pPr>
        <w:pStyle w:val="BodyText"/>
      </w:pPr>
      <w:r>
        <w:t>To characterize how environmental conditions vary with height, data were obtained from the National Ecological Observation Network (NEON) tower located &lt;1km from the study area. We used data on wind speed, relative humidity, and air temperature, all measured over a vertical profile, for the years 2016-2018 [@noauthor_national_2018]. After filtering for missing and outlier values, the data w</w:t>
      </w:r>
      <w:ins w:id="41" w:author="Alan Tepley" w:date="2019-11-10T17:10:00Z">
        <w:r w:rsidR="00907F15">
          <w:t>ere</w:t>
        </w:r>
      </w:ins>
      <w:del w:id="42" w:author="Alan Tepley" w:date="2019-11-10T17:10:00Z">
        <w:r w:rsidDel="00907F15">
          <w:delText>as</w:delText>
        </w:r>
      </w:del>
      <w:r>
        <w:t xml:space="preserve"> consolidated to represent the mean values per sensor height per day.</w:t>
      </w:r>
    </w:p>
    <w:p w14:paraId="198DDE36" w14:textId="77777777" w:rsidR="00363137" w:rsidRDefault="00C61EC2">
      <w:pPr>
        <w:pStyle w:val="BodyText"/>
      </w:pPr>
      <w:r>
        <w:rPr>
          <w:i/>
        </w:rPr>
        <w:t>Identification of drought years</w:t>
      </w:r>
    </w:p>
    <w:p w14:paraId="72928F83" w14:textId="77777777" w:rsidR="00363137" w:rsidRDefault="00C61EC2">
      <w:pPr>
        <w:pStyle w:val="BodyText"/>
      </w:pPr>
      <w:r>
        <w:t>We identified droughts within the time period 1950-2009, defining drought [@slette_how_2019] as events with widespread reductions in tree growth and anomalously dry peak growing season climatic conditions. Specifically, candidate drought years were defined as those where &gt;25% of the cored trees experienced &gt;30% reduction in basal area increment (BAI) relative to the previous 5 years, following the drought resistance (</w:t>
      </w:r>
      <m:oMath>
        <m:r>
          <w:rPr>
            <w:rFonts w:ascii="Cambria Math" w:hAnsi="Cambria Math"/>
          </w:rPr>
          <m:t>R</m:t>
        </m:r>
      </m:oMath>
      <w:r>
        <w:t>) metric of [@lloret_components_2011], and identified using the pointRes package [@R-pointRes] in R (version 3.5.3). Separately, we identified the years with driest conditions during May-August, which stood out in the analysis of [@helcoski_growing_2019] as the current-year months to which annual growth was most sensitive for trees at this site. We considered two metrics of moisture deficit: NOAA Divisional Data’s Palmer Drought Severity Index (PDSI) and the difference between monthly potential evapotranspiration (PET) and precipitation (PRE). These data were obtained from the ForestGEO Climate Data Portal (</w:t>
      </w:r>
      <w:hyperlink r:id="rId15">
        <w:r>
          <w:rPr>
            <w:rStyle w:val="Hyperlink"/>
          </w:rPr>
          <w:t>https://github.com/forestgeo/Climate</w:t>
        </w:r>
      </w:hyperlink>
      <w:r>
        <w:t>) in August 2018, with monthly PET and PRE sourced from Climatic Research Unit high-resolution gridded dataset (CRU TS v.4.01; @harris_updated_2014). The driest years were identified through simply ranking mean May-August PDSI or [PET-PRE] for the time period from driest to wettest.</w:t>
      </w:r>
    </w:p>
    <w:p w14:paraId="7B989140" w14:textId="77777777" w:rsidR="00363137" w:rsidRDefault="00C61EC2">
      <w:pPr>
        <w:pStyle w:val="BodyText"/>
      </w:pPr>
      <w:r>
        <w:rPr>
          <w:i/>
        </w:rPr>
        <w:lastRenderedPageBreak/>
        <w:t>Analysis</w:t>
      </w:r>
    </w:p>
    <w:p w14:paraId="27092FA0" w14:textId="29E6CF4D" w:rsidR="00363137" w:rsidRDefault="00C61EC2">
      <w:pPr>
        <w:pStyle w:val="BodyText"/>
      </w:pPr>
      <w:r>
        <w:t>For each drought period, we calculated drought resistance (</w:t>
      </w:r>
      <m:oMath>
        <m:r>
          <w:rPr>
            <w:rFonts w:ascii="Cambria Math" w:hAnsi="Cambria Math"/>
          </w:rPr>
          <m:t>R</m:t>
        </m:r>
      </m:oMath>
      <w:r>
        <w:t xml:space="preserve">) as the ratio of BAI during drought to </w:t>
      </w:r>
      <w:ins w:id="43" w:author="Alan Tepley" w:date="2019-11-10T17:14:00Z">
        <w:r w:rsidR="00A43633">
          <w:t xml:space="preserve">the mean BAI over </w:t>
        </w:r>
      </w:ins>
      <w:del w:id="44" w:author="Alan Tepley" w:date="2019-11-10T17:14:00Z">
        <w:r w:rsidDel="00A43633">
          <w:delText xml:space="preserve">that of </w:delText>
        </w:r>
      </w:del>
      <w:r>
        <w:t xml:space="preserve">the five </w:t>
      </w:r>
      <w:del w:id="45" w:author="Alan Tepley" w:date="2019-11-10T17:14:00Z">
        <w:r w:rsidDel="00A43633">
          <w:delText xml:space="preserve">previous </w:delText>
        </w:r>
      </w:del>
      <w:r>
        <w:t>years</w:t>
      </w:r>
      <w:ins w:id="46" w:author="Alan Tepley" w:date="2019-11-10T17:14:00Z">
        <w:r w:rsidR="00A43633">
          <w:t xml:space="preserve"> preceding the drought</w:t>
        </w:r>
      </w:ins>
      <w:r>
        <w:t xml:space="preserve"> [@lloret_components_2011]. Analyses focused on testing the predictions presented in Table 1, most of which consider </w:t>
      </w:r>
      <m:oMath>
        <m:r>
          <w:rPr>
            <w:rFonts w:ascii="Cambria Math" w:hAnsi="Cambria Math"/>
          </w:rPr>
          <m:t>R</m:t>
        </m:r>
      </m:oMath>
      <w:r>
        <w:t xml:space="preserve"> as the response variable. The general statistical model for hypothesis testing was a mixed effects model (lme4 package from @R-lme4) with </w:t>
      </w:r>
      <m:oMath>
        <m:r>
          <w:rPr>
            <w:rFonts w:ascii="Cambria Math" w:hAnsi="Cambria Math"/>
          </w:rPr>
          <m:t>R</m:t>
        </m:r>
      </m:oMath>
      <w:r>
        <w:t xml:space="preserve"> as the response variable, tree nested within species as a random effect, and one or more independent variables as fixed effects. We used AICc (AICcmodavg package from @R-AICcmodavg) to assess model fit. Models were run for all drought years combined (with year as a fixed effect) and for each drought year independently. We first tested the predictor variables independently, counting a variable as useful for predicting </w:t>
      </w:r>
      <m:oMath>
        <m:r>
          <w:rPr>
            <w:rFonts w:ascii="Cambria Math" w:hAnsi="Cambria Math"/>
          </w:rPr>
          <m:t>R</m:t>
        </m:r>
      </m:oMath>
      <w:r>
        <w:t xml:space="preserve"> when AICc was reduced by </w:t>
      </w:r>
      <m:oMath>
        <m:r>
          <w:rPr>
            <w:rFonts w:ascii="Cambria Math" w:hAnsi="Cambria Math"/>
          </w:rPr>
          <m:t>≥</m:t>
        </m:r>
      </m:oMath>
      <w:r>
        <w:t xml:space="preserve"> 2 relative to the appropriate null model lacking that variable (Table 4). Because height had a substantial influence on </w:t>
      </w:r>
      <m:oMath>
        <m:r>
          <w:rPr>
            <w:rFonts w:ascii="Cambria Math" w:hAnsi="Cambria Math"/>
          </w:rPr>
          <m:t>R</m:t>
        </m:r>
      </m:oMath>
      <w:r>
        <w:t>, we included it in the null model for testing other variables (Table 4).</w:t>
      </w:r>
    </w:p>
    <w:p w14:paraId="2674CBD8" w14:textId="77777777" w:rsidR="00363137" w:rsidRDefault="00C61EC2">
      <w:pPr>
        <w:pStyle w:val="BodyText"/>
      </w:pPr>
      <w:r>
        <w:t xml:space="preserve">Second, for each drought year and for all years combined, we determined the best multivariate models for predicting </w:t>
      </w:r>
      <m:oMath>
        <m:r>
          <w:rPr>
            <w:rFonts w:ascii="Cambria Math" w:hAnsi="Cambria Math"/>
          </w:rPr>
          <m:t>R</m:t>
        </m:r>
      </m:oMath>
      <w:r>
        <w:t>. All variables with dAICc &gt; 1.0 in any model (drought years combined or any individual drought) were used as candidate variables for each scenario’s best model. We compared models with all possible combinations of candidate variables and identified the full set of models within dAICc=2 of the top model (that with lowest AICc). These were counted as the “top multivariate models”. When a variable appeared in all of these top models and the sign of the coefficient was consistent across models, this was counted as support for/ rejection of the associated prediction by the multivariate models. If the variable appeared in only some of the models, we considered this partial support.</w:t>
      </w:r>
    </w:p>
    <w:p w14:paraId="69BCD237" w14:textId="77777777" w:rsidR="00363137" w:rsidRDefault="00C61EC2">
      <w:pPr>
        <w:pStyle w:val="Heading3"/>
      </w:pPr>
      <w:bookmarkStart w:id="47" w:name="results"/>
      <w:bookmarkEnd w:id="47"/>
      <w:r>
        <w:t>Results</w:t>
      </w:r>
    </w:p>
    <w:p w14:paraId="0BD98364" w14:textId="77777777" w:rsidR="00363137" w:rsidRDefault="00C61EC2">
      <w:pPr>
        <w:pStyle w:val="FirstParagraph"/>
      </w:pPr>
      <w:r>
        <w:rPr>
          <w:i/>
        </w:rPr>
        <w:t>Focal droughts and their characteristics</w:t>
      </w:r>
    </w:p>
    <w:p w14:paraId="32924D06" w14:textId="2053F0C9" w:rsidR="00363137" w:rsidRDefault="00C61EC2">
      <w:pPr>
        <w:pStyle w:val="BodyText"/>
      </w:pPr>
      <w:r>
        <w:t>In the 60-year period between 1950 and 2009, there were three droughts that met our criteria of anomalously dry climatic conditions coupled with substantial reductions in tree growth for at least some portions of the community: 1966, 1977, and 1999 (Figs. 1, S2). We excluded one year (1991) meeting the growth reduction criteria (26.5% of trees experienced &gt;30% growth reduction, mean resistance= -13.8%) because this year was not among the driest in terms of May-August [PET-PRE] or PDSI (Table S3). Rather, the severity of growth reduction may be explained</w:t>
      </w:r>
      <w:ins w:id="48" w:author="Alan Tepley" w:date="2019-11-11T17:34:00Z">
        <w:r w:rsidR="00EE5F67">
          <w:t>, in part,</w:t>
        </w:r>
      </w:ins>
      <w:r>
        <w:t xml:space="preserve"> by defoliation by gypsy moths (</w:t>
      </w:r>
      <w:r>
        <w:rPr>
          <w:i/>
        </w:rPr>
        <w:t>Lymantria dispar</w:t>
      </w:r>
      <w:r>
        <w:t xml:space="preserve"> L.) from approximately 1988-1995, which most stronly impacted </w:t>
      </w:r>
      <w:r>
        <w:rPr>
          <w:i/>
        </w:rPr>
        <w:t>Quercus</w:t>
      </w:r>
      <w:r>
        <w:t xml:space="preserve"> spp. (</w:t>
      </w:r>
      <w:r>
        <w:rPr>
          <w:i/>
        </w:rPr>
        <w:t>Cite Shenandoah paper, if accepted</w:t>
      </w:r>
      <w:r>
        <w:t xml:space="preserve">). </w:t>
      </w:r>
      <w:commentRangeStart w:id="49"/>
      <w:r>
        <w:t>Climatically</w:t>
      </w:r>
      <w:commentRangeEnd w:id="49"/>
      <w:r w:rsidR="00EE5F67">
        <w:rPr>
          <w:rStyle w:val="CommentReference"/>
        </w:rPr>
        <w:commentReference w:id="49"/>
      </w:r>
      <w:r>
        <w:t xml:space="preserve">, </w:t>
      </w:r>
      <w:del w:id="50" w:author="Alan Tepley" w:date="2019-11-11T17:34:00Z">
        <w:r w:rsidDel="00EE5F67">
          <w:delText xml:space="preserve">these </w:delText>
        </w:r>
      </w:del>
      <w:ins w:id="51" w:author="Alan Tepley" w:date="2019-11-11T17:34:00Z">
        <w:r w:rsidR="00EE5F67">
          <w:t xml:space="preserve">the three </w:t>
        </w:r>
      </w:ins>
      <w:r>
        <w:t>drought</w:t>
      </w:r>
      <w:del w:id="52" w:author="Alan Tepley" w:date="2019-11-11T17:35:00Z">
        <w:r w:rsidDel="00EE5F67">
          <w:delText>s</w:delText>
        </w:r>
      </w:del>
      <w:r>
        <w:t xml:space="preserve"> </w:t>
      </w:r>
      <w:ins w:id="53" w:author="Alan Tepley" w:date="2019-11-11T17:35:00Z">
        <w:r w:rsidR="00EE5F67">
          <w:t xml:space="preserve"> years </w:t>
        </w:r>
      </w:ins>
      <w:r>
        <w:t xml:space="preserve">included three of the five years between 1950 and 2009 with greatest moisture deficit (PET-PRE) during the peak growing season months of May-August, which are the months to which annual tree growth at this site is most sensitive [@helcoski_growing_2019]. Specifically, 1966, 1977, and 1999 had mean MJJA PET-PRE of 83.37, 86.97, and 80 mm mo-1, respectively. The years 1964 and 2007 also ranked in the top five driest (PET-PRE =83.87 and 82.13 mm mo-1), but were not </w:t>
      </w:r>
      <w:ins w:id="54" w:author="Alan Tepley" w:date="2019-11-11T17:39:00Z">
        <w:r w:rsidR="00EE5F67">
          <w:t xml:space="preserve">ranked </w:t>
        </w:r>
      </w:ins>
      <w:r>
        <w:t>among the lowest in terms of PDSI and were not identified as a pointer yeasr (Table S3)</w:t>
      </w:r>
      <w:ins w:id="55" w:author="Alan Tepley" w:date="2019-11-11T17:39:00Z">
        <w:r w:rsidR="00EE5F67">
          <w:t>.</w:t>
        </w:r>
      </w:ins>
    </w:p>
    <w:p w14:paraId="31A1B3C6" w14:textId="634DF946" w:rsidR="00363137" w:rsidRDefault="00C61EC2">
      <w:pPr>
        <w:pStyle w:val="BodyText"/>
      </w:pPr>
      <w:r>
        <w:lastRenderedPageBreak/>
        <w:t xml:space="preserve">The droughts differed in intensity and prior onset (Table S3, Fig. S2). In terms of intensity during the peak </w:t>
      </w:r>
      <w:ins w:id="56" w:author="Alan Tepley" w:date="2019-11-11T17:37:00Z">
        <w:r w:rsidR="00EE5F67">
          <w:t xml:space="preserve">of the </w:t>
        </w:r>
      </w:ins>
      <w:ins w:id="57" w:author="Alan Tepley" w:date="2019-11-11T17:38:00Z">
        <w:r w:rsidR="00EE5F67">
          <w:t xml:space="preserve">focal </w:t>
        </w:r>
      </w:ins>
      <w:r>
        <w:t>growing season</w:t>
      </w:r>
      <w:del w:id="58" w:author="Alan Tepley" w:date="2019-11-11T17:38:00Z">
        <w:r w:rsidDel="00EE5F67">
          <w:delText xml:space="preserve"> of the focal year</w:delText>
        </w:r>
      </w:del>
      <w:r>
        <w:t xml:space="preserve">, the 1999 drought was the most intense (lowest PDSI) during May-July. It was surpassed in intensity in August by the 1966 drought, which was otherwise the second most intense during the peak growing season. The 1977 </w:t>
      </w:r>
      <w:ins w:id="59" w:author="Alan Tepley" w:date="2019-11-11T17:39:00Z">
        <w:r w:rsidR="0033677C">
          <w:t>droug</w:t>
        </w:r>
      </w:ins>
      <w:ins w:id="60" w:author="Alan Tepley" w:date="2019-11-11T17:40:00Z">
        <w:r w:rsidR="0033677C">
          <w:t xml:space="preserve">ht </w:t>
        </w:r>
      </w:ins>
      <w:r>
        <w:t>was the least intense throughout the growing season. All droughts increased in intensity from May through August, but differed in the months previous. The 1966 drought was preceded by two years of moderate drought during the growing season and severe to extreme drought starting the previous fall. Similarly, the 1999 drought was preceded by severe to extreme drought starting the previous fall, but before that</w:t>
      </w:r>
      <w:ins w:id="61" w:author="Alan Tepley" w:date="2019-11-11T17:40:00Z">
        <w:r w:rsidR="0033677C">
          <w:t>,</w:t>
        </w:r>
      </w:ins>
      <w:r>
        <w:t xml:space="preserve"> conditions were wetter than average until the previous June. The 1977 drought was preceded by 2.5 years of near-normal conditions, and was therefore the mildest of the three droughts by any measure.</w:t>
      </w:r>
    </w:p>
    <w:p w14:paraId="237A8F8B" w14:textId="77777777" w:rsidR="00363137" w:rsidRDefault="00C61EC2">
      <w:pPr>
        <w:pStyle w:val="BodyText"/>
      </w:pPr>
      <w:r>
        <w:t xml:space="preserve">Community-level tree growth responses to these droughts were modest, with mean resistance values of 0.86, 0.84, and 0.86 for 1966, 1977, and 1999, respectively (Fig. 1b). In each drought, roughly 30% of the cored trees suffered </w:t>
      </w:r>
      <m:oMath>
        <m:r>
          <w:rPr>
            <w:rFonts w:ascii="Cambria Math" w:hAnsi="Cambria Math"/>
          </w:rPr>
          <m:t>≥</m:t>
        </m:r>
      </m:oMath>
      <w:r>
        <w:t xml:space="preserve"> 30% growth reductions (</w:t>
      </w:r>
      <w:commentRangeStart w:id="62"/>
      <m:oMath>
        <m:r>
          <w:rPr>
            <w:rFonts w:ascii="Cambria Math" w:hAnsi="Cambria Math"/>
          </w:rPr>
          <m:t>R</m:t>
        </m:r>
        <w:commentRangeEnd w:id="62"/>
        <m:r>
          <m:rPr>
            <m:sty m:val="p"/>
          </m:rPr>
          <w:rPr>
            <w:rStyle w:val="CommentReference"/>
          </w:rPr>
          <w:commentReference w:id="62"/>
        </m:r>
      </m:oMath>
      <w:r>
        <w:t xml:space="preserve"> </w:t>
      </w:r>
      <m:oMath>
        <m:r>
          <w:rPr>
            <w:rFonts w:ascii="Cambria Math" w:hAnsi="Cambria Math"/>
          </w:rPr>
          <m:t>≤</m:t>
        </m:r>
      </m:oMath>
      <w:r>
        <w:t xml:space="preserve"> 0.7): 29.43% in 1966, 31.86% in 1977, and 26.81% in 1999. Some trees exhibited increased growth: (</w:t>
      </w:r>
      <m:oMath>
        <m:r>
          <w:rPr>
            <w:rFonts w:ascii="Cambria Math" w:hAnsi="Cambria Math"/>
          </w:rPr>
          <m:t>R</m:t>
        </m:r>
      </m:oMath>
      <w:r>
        <w:t xml:space="preserve"> &gt; 1.0): 26.31% in 1966, 21.92% in 1977, and 25.57% in 1999.</w:t>
      </w:r>
    </w:p>
    <w:p w14:paraId="2FE18E74" w14:textId="77777777" w:rsidR="00363137" w:rsidRDefault="00C61EC2">
      <w:pPr>
        <w:pStyle w:val="BodyText"/>
      </w:pPr>
      <w:r>
        <w:rPr>
          <w:i/>
        </w:rPr>
        <w:t>Tree size and drought resistance</w:t>
      </w:r>
    </w:p>
    <w:p w14:paraId="7B22D280" w14:textId="77777777" w:rsidR="00363137" w:rsidRDefault="00C61EC2">
      <w:pPr>
        <w:pStyle w:val="BodyText"/>
      </w:pPr>
      <w:r>
        <w:t>Overall, our analysis confirmed the tendency for larger-diameter trees to show greater reductions in growth during drought [@bennett_larger_2015] (</w:t>
      </w:r>
      <w:r>
        <w:rPr>
          <w:i/>
        </w:rPr>
        <w:t>H1.0</w:t>
      </w:r>
      <w:r>
        <w:t xml:space="preserve">), although there was no signficant effect for 1977 or 1999 individually (Tables 1, 4). The same held true for </w:t>
      </w:r>
      <m:oMath>
        <m:r>
          <w:rPr>
            <w:rFonts w:ascii="Cambria Math" w:hAnsi="Cambria Math"/>
          </w:rPr>
          <m:t>ln[H]</m:t>
        </m:r>
      </m:oMath>
      <w:r>
        <w:t xml:space="preserve"> as a univariate predictor (</w:t>
      </w:r>
      <w:r>
        <w:rPr>
          <w:i/>
        </w:rPr>
        <w:t>H1.1</w:t>
      </w:r>
      <w:r>
        <w:t xml:space="preserve">; Tables 1, 4). When combined with other predictor variariables in our multivariate models, the top models usually included an effect of </w:t>
      </w:r>
      <m:oMath>
        <m:r>
          <w:rPr>
            <w:rFonts w:ascii="Cambria Math" w:hAnsi="Cambria Math"/>
          </w:rPr>
          <m:t>ln[H]</m:t>
        </m:r>
      </m:oMath>
      <w:r>
        <w:t xml:space="preserve">, and its coefficient was consistently negative, as predicted (Tables 1, 5). We note that a non-signficant positive correlation between </w:t>
      </w:r>
      <m:oMath>
        <m:r>
          <w:rPr>
            <w:rFonts w:ascii="Cambria Math" w:hAnsi="Cambria Math"/>
          </w:rPr>
          <m:t>ln[H]</m:t>
        </m:r>
      </m:oMath>
      <w:r>
        <w:t xml:space="preserve"> and </w:t>
      </w:r>
      <m:oMath>
        <m:r>
          <w:rPr>
            <w:rFonts w:ascii="Cambria Math" w:hAnsi="Cambria Math"/>
          </w:rPr>
          <m:t>R</m:t>
        </m:r>
      </m:oMath>
      <w:r>
        <w:t xml:space="preserve"> for 1999 became negative in the context of the multivariate models, again supporting </w:t>
      </w:r>
      <w:r>
        <w:rPr>
          <w:i/>
        </w:rPr>
        <w:t>H1.1</w:t>
      </w:r>
      <w:r>
        <w:t xml:space="preserve"> (Table 1).</w:t>
      </w:r>
    </w:p>
    <w:p w14:paraId="01F27AF4" w14:textId="6C9130FD" w:rsidR="00363137" w:rsidRDefault="00C61EC2">
      <w:pPr>
        <w:pStyle w:val="BodyText"/>
      </w:pPr>
      <w:r>
        <w:t xml:space="preserve">Crown position </w:t>
      </w:r>
      <w:ins w:id="63" w:author="Alan Tepley" w:date="2019-11-11T17:44:00Z">
        <w:r w:rsidR="0033677C">
          <w:t>(</w:t>
        </w:r>
        <w:r w:rsidR="0033677C" w:rsidRPr="0033677C">
          <w:rPr>
            <w:i/>
            <w:iCs/>
            <w:rPrChange w:id="64" w:author="Alan Tepley" w:date="2019-11-11T17:44:00Z">
              <w:rPr/>
            </w:rPrChange>
          </w:rPr>
          <w:t>CP</w:t>
        </w:r>
        <w:r w:rsidR="0033677C">
          <w:t xml:space="preserve">) </w:t>
        </w:r>
      </w:ins>
      <w:r>
        <w:t xml:space="preserve">was generally correlated with </w:t>
      </w:r>
      <m:oMath>
        <m:r>
          <w:rPr>
            <w:rFonts w:ascii="Cambria Math" w:hAnsi="Cambria Math"/>
          </w:rPr>
          <m:t>H</m:t>
        </m:r>
      </m:oMath>
      <w:r>
        <w:t xml:space="preserve">, but with substantial variation (Fig. 2d). Crown position was a much poorer predictor of </w:t>
      </w:r>
      <m:oMath>
        <m:r>
          <w:rPr>
            <w:rFonts w:ascii="Cambria Math" w:hAnsi="Cambria Math"/>
          </w:rPr>
          <m:t>R</m:t>
        </m:r>
      </m:oMath>
      <w:r>
        <w:t xml:space="preserve"> than was </w:t>
      </w:r>
      <m:oMath>
        <m:r>
          <w:rPr>
            <w:rFonts w:ascii="Cambria Math" w:hAnsi="Cambria Math"/>
          </w:rPr>
          <m:t>H</m:t>
        </m:r>
      </m:oMath>
      <w:r>
        <w:t xml:space="preserve"> (Table 4), lending little overall support to </w:t>
      </w:r>
      <w:r>
        <w:rPr>
          <w:i/>
        </w:rPr>
        <w:t>H1.2</w:t>
      </w:r>
      <w:r>
        <w:t xml:space="preserve"> (Table 1). When considered alone, </w:t>
      </w:r>
      <m:oMath>
        <m:r>
          <w:rPr>
            <w:rFonts w:ascii="Cambria Math" w:hAnsi="Cambria Math"/>
          </w:rPr>
          <m:t>CP</m:t>
        </m:r>
      </m:oMath>
      <w:r>
        <w:t xml:space="preserve"> had a significant influence only in the 1966 drought, during which trees with dominant </w:t>
      </w:r>
      <m:oMath>
        <m:r>
          <w:rPr>
            <w:rFonts w:ascii="Cambria Math" w:hAnsi="Cambria Math"/>
          </w:rPr>
          <m:t>CP</m:t>
        </m:r>
      </m:oMath>
      <w:r>
        <w:t xml:space="preserve"> had the lowest </w:t>
      </w:r>
      <m:oMath>
        <m:r>
          <w:rPr>
            <w:rFonts w:ascii="Cambria Math" w:hAnsi="Cambria Math"/>
          </w:rPr>
          <m:t>R</m:t>
        </m:r>
      </m:oMath>
      <w:r>
        <w:t xml:space="preserve">. When considered in conjunction with </w:t>
      </w:r>
      <m:oMath>
        <m:r>
          <w:rPr>
            <w:rFonts w:ascii="Cambria Math" w:hAnsi="Cambria Math"/>
          </w:rPr>
          <m:t>H</m:t>
        </m:r>
      </m:oMath>
      <w:r>
        <w:t xml:space="preserve">, </w:t>
      </w:r>
      <m:oMath>
        <m:r>
          <w:rPr>
            <w:rFonts w:ascii="Cambria Math" w:hAnsi="Cambria Math"/>
          </w:rPr>
          <m:t>CP</m:t>
        </m:r>
      </m:oMath>
      <w:r>
        <w:t xml:space="preserve"> came out as a significant predictor only for the 1999 drought, during which suppressed and then intermediate trees had the lowest </w:t>
      </w:r>
      <m:oMath>
        <m:r>
          <w:rPr>
            <w:rFonts w:ascii="Cambria Math" w:hAnsi="Cambria Math"/>
          </w:rPr>
          <m:t>R</m:t>
        </m:r>
      </m:oMath>
      <w:r>
        <w:t xml:space="preserve">. Crown position was included in almost half of the top models, with mixed results as to how </w:t>
      </w:r>
      <m:oMath>
        <m:r>
          <w:rPr>
            <w:rFonts w:ascii="Cambria Math" w:hAnsi="Cambria Math"/>
          </w:rPr>
          <m:t>R</m:t>
        </m:r>
      </m:oMath>
      <w:r>
        <w:t xml:space="preserve"> varied with </w:t>
      </w:r>
      <m:oMath>
        <m:r>
          <w:rPr>
            <w:rFonts w:ascii="Cambria Math" w:hAnsi="Cambria Math"/>
          </w:rPr>
          <m:t>CP</m:t>
        </m:r>
      </m:oMath>
      <w:r>
        <w:t xml:space="preserve"> (Table 5). Most commonly in these multivariate models, as in the univariate models (Table 4), the resistance of dominant trees was less than that of co-dominant trees but higher that of suppressed trees. Thus, </w:t>
      </w:r>
      <m:oMath>
        <m:r>
          <w:rPr>
            <w:rFonts w:ascii="Cambria Math" w:hAnsi="Cambria Math"/>
          </w:rPr>
          <m:t>CP</m:t>
        </m:r>
      </m:oMath>
      <w:r>
        <w:t xml:space="preserve"> was sometimes a useful predictor of </w:t>
      </w:r>
      <m:oMath>
        <m:r>
          <w:rPr>
            <w:rFonts w:ascii="Cambria Math" w:hAnsi="Cambria Math"/>
          </w:rPr>
          <m:t>R</m:t>
        </m:r>
      </m:oMath>
      <w:r>
        <w:t xml:space="preserve">, but overall had a weak effect relative to that of </w:t>
      </w:r>
      <m:oMath>
        <m:r>
          <w:rPr>
            <w:rFonts w:ascii="Cambria Math" w:hAnsi="Cambria Math"/>
          </w:rPr>
          <m:t>H</m:t>
        </m:r>
      </m:oMath>
      <w:r>
        <w:t>.</w:t>
      </w:r>
    </w:p>
    <w:p w14:paraId="4E639F42" w14:textId="49C5051D" w:rsidR="00363137" w:rsidRDefault="00C61EC2">
      <w:pPr>
        <w:pStyle w:val="BodyText"/>
      </w:pPr>
      <w:r>
        <w:t xml:space="preserve">In the non-drought years for which we have vertical profiles in climate data (2016-2018), taller trees–or those in dominant crown positions– were generally exposed to higher evaporative demand during the peak growing season months (May-August; Fig. 2). Specifically, maximum daily wind speeds were signficantly higher above the top of the canopy (40-50m) than within and below (10-30m) (Fig. 2a). Relative humidity was also </w:t>
      </w:r>
      <w:r>
        <w:lastRenderedPageBreak/>
        <w:t>somewhat lower during June-August, ranging from ~50-80</w:t>
      </w:r>
      <w:ins w:id="65" w:author="Alan Tepley" w:date="2019-11-11T18:16:00Z">
        <w:r w:rsidR="00B52582">
          <w:t>%</w:t>
        </w:r>
      </w:ins>
      <w:r>
        <w:t xml:space="preserve"> above the canopy and ~60-90% in the understory (Fig. 2b). Air temperature did not vary across the vertical profile (Fig. 2c).</w:t>
      </w:r>
    </w:p>
    <w:p w14:paraId="5EE17ECB" w14:textId="77777777" w:rsidR="00363137" w:rsidRDefault="00C61EC2">
      <w:pPr>
        <w:pStyle w:val="BodyText"/>
      </w:pPr>
      <w:r>
        <w:t xml:space="preserve">Resistance was negatively correlated with </w:t>
      </w:r>
      <m:oMath>
        <m:r>
          <w:rPr>
            <w:rFonts w:ascii="Cambria Math" w:hAnsi="Cambria Math"/>
          </w:rPr>
          <m:t>ln[TWI]</m:t>
        </m:r>
      </m:oMath>
      <w:r>
        <w:t xml:space="preserve"> (Tables 4-5), negating the idea that trees in moist microsites would suffer less during drought. Nevertheless, we tested for a negative </w:t>
      </w:r>
      <m:oMath>
        <m:r>
          <w:rPr>
            <w:rFonts w:ascii="Cambria Math" w:hAnsi="Cambria Math"/>
          </w:rPr>
          <m:t>ln[H]*ln[TWI]</m:t>
        </m:r>
      </m:oMath>
      <w:r>
        <w:t xml:space="preserve"> interaction (</w:t>
      </w:r>
      <w:r>
        <w:rPr>
          <w:i/>
        </w:rPr>
        <w:t>H1.3</w:t>
      </w:r>
      <w:r>
        <w:t xml:space="preserve">), which could indicate that smaller trees (with smaller rooting volume) have a greater tendency to suffer more in drier microenvironments with greater depth to the water table. </w:t>
      </w:r>
      <w:r>
        <w:rPr>
          <w:i/>
        </w:rPr>
        <w:t>H1.3</w:t>
      </w:r>
      <w:r>
        <w:t xml:space="preserve"> was rejected; the </w:t>
      </w:r>
      <m:oMath>
        <m:r>
          <w:rPr>
            <w:rFonts w:ascii="Cambria Math" w:hAnsi="Cambria Math"/>
          </w:rPr>
          <m:t>ln[H]*ln[TWI]</m:t>
        </m:r>
      </m:oMath>
      <w:r>
        <w:t xml:space="preserve"> interaction was never signficant and had a consistently positive coefficient (Table 4).</w:t>
      </w:r>
    </w:p>
    <w:p w14:paraId="0BCA1E19" w14:textId="77777777" w:rsidR="00363137" w:rsidRDefault="00C61EC2">
      <w:pPr>
        <w:pStyle w:val="BodyText"/>
      </w:pPr>
      <w:r>
        <w:rPr>
          <w:i/>
        </w:rPr>
        <w:t>Species’ traits, height, and drought resistance</w:t>
      </w:r>
    </w:p>
    <w:p w14:paraId="63F14B38" w14:textId="77777777" w:rsidR="00363137" w:rsidRDefault="00C61EC2">
      <w:pPr>
        <w:pStyle w:val="BodyText"/>
      </w:pPr>
      <w:r>
        <w:t xml:space="preserve">We partially support </w:t>
      </w:r>
      <w:r>
        <w:rPr>
          <w:i/>
        </w:rPr>
        <w:t>H2.1</w:t>
      </w:r>
      <w:r>
        <w:t>: Species’ hydraulic traits –</w:t>
      </w:r>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–were sometimes useful in explaining variation in drought responses, whereas </w:t>
      </w:r>
      <m:oMath>
        <m:r>
          <w:rPr>
            <w:rFonts w:ascii="Cambria Math" w:hAnsi="Cambria Math"/>
          </w:rPr>
          <m:t>LMA</m:t>
        </m:r>
      </m:oMath>
      <w:r>
        <w:t xml:space="preserve"> and </w:t>
      </w:r>
      <m:oMath>
        <m:r>
          <w:rPr>
            <w:rFonts w:ascii="Cambria Math" w:hAnsi="Cambria Math"/>
          </w:rPr>
          <m:t>WD</m:t>
        </m:r>
      </m:oMath>
      <w:r>
        <w:t xml:space="preserve"> were not (Tables 1,4,5). Specifically, </w:t>
      </w:r>
      <m:oMath>
        <m:r>
          <w:rPr>
            <w:rFonts w:ascii="Cambria Math" w:hAnsi="Cambria Math"/>
          </w:rPr>
          <m:t>LMA</m:t>
        </m:r>
      </m:oMath>
      <w:r>
        <w:t xml:space="preserve"> and </w:t>
      </w:r>
      <m:oMath>
        <m:r>
          <w:rPr>
            <w:rFonts w:ascii="Cambria Math" w:hAnsi="Cambria Math"/>
          </w:rPr>
          <m:t>WD</m:t>
        </m:r>
      </m:oMath>
      <w:r>
        <w:t xml:space="preserve"> never significantly associated with </w:t>
      </w:r>
      <m:oMath>
        <m:r>
          <w:rPr>
            <w:rFonts w:ascii="Cambria Math" w:hAnsi="Cambria Math"/>
          </w:rPr>
          <m:t>R</m:t>
        </m:r>
      </m:oMath>
      <w:r>
        <w:t xml:space="preserve"> in the univariate models (all dAIC </w:t>
      </w:r>
      <m:oMath>
        <m:r>
          <w:rPr>
            <w:rFonts w:ascii="Cambria Math" w:hAnsi="Cambria Math"/>
          </w:rPr>
          <m:t>≤</m:t>
        </m:r>
      </m:oMath>
      <w:r>
        <w:t xml:space="preserve"> 0.22; Table 4), and therefore these were excluded as candidate variables for the full multivariate models. In contrast, </w:t>
      </w:r>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all explained at least modest amounts of variation (dAIC &gt; 1.0) in at least one drought (Table 4). Of these,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a strong predictor for the 1966 drought and overall, with consistently negative coefficients across all droughts.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never came out as significant (dAIC </w:t>
      </w:r>
      <m:oMath>
        <m:r>
          <w:rPr>
            <w:rFonts w:ascii="Cambria Math" w:hAnsi="Cambria Math"/>
          </w:rPr>
          <m:t>≤</m:t>
        </m:r>
      </m:oMath>
      <w:r>
        <w:t xml:space="preserve"> 2) in the univariate models but had a consistently negative coefficient (Table 4). Whereas ring-porous species had highest </w:t>
      </w:r>
      <m:oMath>
        <m:r>
          <w:rPr>
            <w:rFonts w:ascii="Cambria Math" w:hAnsi="Cambria Math"/>
          </w:rPr>
          <m:t>R</m:t>
        </m:r>
      </m:oMath>
      <w:r>
        <w:t xml:space="preserve"> overall and in the 1966 and 1999 droughts, they had lower </w:t>
      </w:r>
      <m:oMath>
        <m:r>
          <w:rPr>
            <w:rFonts w:ascii="Cambria Math" w:hAnsi="Cambria Math"/>
          </w:rPr>
          <m:t>R</m:t>
        </m:r>
      </m:oMath>
      <w:r>
        <w:t xml:space="preserve"> in 1977. Results were similar in the context of multivariate models (Table 5), except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had a small positive coefficient in the one 1999 model in which it was included.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were each included in the top overall model and in the top model for two of the three individual droughts (Table 5).</w:t>
      </w:r>
    </w:p>
    <w:p w14:paraId="3ADF8EA4" w14:textId="77777777" w:rsidR="00363137" w:rsidRDefault="00C61EC2">
      <w:pPr>
        <w:pStyle w:val="BodyText"/>
      </w:pPr>
      <w:r>
        <w:t xml:space="preserve">We reject </w:t>
      </w:r>
      <w:r>
        <w:rPr>
          <w:i/>
        </w:rPr>
        <w:t>H2.2</w:t>
      </w:r>
      <w:r>
        <w:t>, finding no evidence that taller trees tend to have traits associated with greater drought resistance. In part because of the large sample size (</w:t>
      </w:r>
      <w:r>
        <w:rPr>
          <w:b/>
        </w:rPr>
        <w:t>n=#</w:t>
      </w:r>
      <w:r>
        <w:t xml:space="preserve"> trees–all individuals of our 12 focal species </w:t>
      </w:r>
      <m:oMath>
        <m:r>
          <w:rPr>
            <w:rFonts w:ascii="Cambria Math" w:hAnsi="Cambria Math"/>
          </w:rPr>
          <m:t>≥</m:t>
        </m:r>
      </m:oMath>
      <w:r>
        <w:t xml:space="preserve"> 10 cm in 25.6 ha), there were very significant (p&lt;0.0001) correlations of </w:t>
      </w:r>
      <m:oMath>
        <m:r>
          <w:rPr>
            <w:rFonts w:ascii="Cambria Math" w:hAnsi="Cambria Math"/>
          </w:rPr>
          <m:t>H</m:t>
        </m:r>
      </m:oMath>
      <w:r>
        <w:t xml:space="preserve"> with all species’ traits (see Table S4). However, the correlation only matched the predicted direction (</w:t>
      </w:r>
      <w:r>
        <w:rPr>
          <w:i/>
        </w:rPr>
        <w:t>i.e.</w:t>
      </w:r>
      <w:r>
        <w:t xml:space="preserve">, more drought-resistant traits associated to taller trees) in the cases of </w:t>
      </w:r>
      <m:oMath>
        <m:r>
          <w:rPr>
            <w:rFonts w:ascii="Cambria Math" w:hAnsi="Cambria Math"/>
          </w:rPr>
          <m:t>WD</m:t>
        </m:r>
      </m:oMath>
      <w:r>
        <w:t xml:space="preserve"> and </w:t>
      </w:r>
      <m:oMath>
        <m:r>
          <w:rPr>
            <w:rFonts w:ascii="Cambria Math" w:hAnsi="Cambria Math"/>
          </w:rPr>
          <m:t>LMA</m:t>
        </m:r>
      </m:oMath>
      <w:r>
        <w:t xml:space="preserve">, which were not useful predictors of </w:t>
      </w:r>
      <m:oMath>
        <m:r>
          <w:rPr>
            <w:rFonts w:ascii="Cambria Math" w:hAnsi="Cambria Math"/>
          </w:rPr>
          <m:t>R</m:t>
        </m:r>
      </m:oMath>
      <w:r>
        <w:t>. Furthermore, although correlations were statistically signifcant, trait variation within each height class overwhelmed any vertical trends (Fig. 2e-f).</w:t>
      </w:r>
    </w:p>
    <w:p w14:paraId="2D70079D" w14:textId="77777777" w:rsidR="00363137" w:rsidRDefault="00C61EC2">
      <w:pPr>
        <w:pStyle w:val="BodyText"/>
      </w:pPr>
      <w:r>
        <w:t>We support the hypothesis (</w:t>
      </w:r>
      <w:r>
        <w:rPr>
          <w:i/>
        </w:rPr>
        <w:t>H2.3</w:t>
      </w:r>
      <w:r>
        <w:t xml:space="preserve">) that the observed tendency for larger trees to have greater growth reductions during drought (lower </w:t>
      </w:r>
      <m:oMath>
        <m:r>
          <w:rPr>
            <w:rFonts w:ascii="Cambria Math" w:hAnsi="Cambria Math"/>
          </w:rPr>
          <m:t>R</m:t>
        </m:r>
      </m:oMath>
      <w:r>
        <w:t xml:space="preserve">) is driven by height itself, as opposed to more drought-sensitive traits in larger trees (Tables 1,5). As discussed above, there was little meaningful variation in traits with height at the community level. When </w:t>
      </w:r>
      <m:oMath>
        <m:r>
          <w:rPr>
            <w:rFonts w:ascii="Cambria Math" w:hAnsi="Cambria Math"/>
          </w:rPr>
          <m:t>ln[H]</m:t>
        </m:r>
      </m:oMath>
      <w:r>
        <w:t xml:space="preserve"> and hydraulic traits were considered together in multivariate models, the effect of </w:t>
      </w:r>
      <m:oMath>
        <m:r>
          <w:rPr>
            <w:rFonts w:ascii="Cambria Math" w:hAnsi="Cambria Math"/>
          </w:rPr>
          <m:t>ln[H]</m:t>
        </m:r>
      </m:oMath>
      <w:r>
        <w:t xml:space="preserve"> on </w:t>
      </w:r>
      <m:oMath>
        <m:r>
          <w:rPr>
            <w:rFonts w:ascii="Cambria Math" w:hAnsi="Cambria Math"/>
          </w:rPr>
          <m:t>R</m:t>
        </m:r>
      </m:oMath>
      <w:r>
        <w:t xml:space="preserve"> was consistently negative (Table 5)–reversing a non-signficant positive </w:t>
      </w:r>
      <m:oMath>
        <m:r>
          <w:rPr>
            <w:rFonts w:ascii="Cambria Math" w:hAnsi="Cambria Math"/>
          </w:rPr>
          <m:t>ln[H]</m:t>
        </m:r>
      </m:oMath>
      <w:r>
        <w:t>-</w:t>
      </w:r>
      <m:oMath>
        <m:r>
          <w:rPr>
            <w:rFonts w:ascii="Cambria Math" w:hAnsi="Cambria Math"/>
          </w:rPr>
          <m:t>R</m:t>
        </m:r>
      </m:oMath>
      <w:r>
        <w:t xml:space="preserve"> correlation in the univariate model for the 1999 drought (Table 4).</w:t>
      </w:r>
    </w:p>
    <w:p w14:paraId="3DE0EA4D" w14:textId="77777777" w:rsidR="00363137" w:rsidRDefault="00C61EC2">
      <w:pPr>
        <w:pStyle w:val="BodyText"/>
      </w:pPr>
      <w:r>
        <w:rPr>
          <w:i/>
        </w:rPr>
        <w:t>Responses across droughts</w:t>
      </w:r>
    </w:p>
    <w:p w14:paraId="788964C2" w14:textId="77777777" w:rsidR="00363137" w:rsidRDefault="00C61EC2">
      <w:pPr>
        <w:pStyle w:val="BodyText"/>
      </w:pPr>
      <w:r>
        <w:lastRenderedPageBreak/>
        <w:t>We reject the hypothesis (</w:t>
      </w:r>
      <w:r>
        <w:rPr>
          <w:i/>
        </w:rPr>
        <w:t>H3.1</w:t>
      </w:r>
      <w:r>
        <w:t xml:space="preserve">) that overall community responses varied across droughts. Within the context of mixed effects models, there were no significant differences in </w:t>
      </w:r>
      <m:oMath>
        <m:r>
          <w:rPr>
            <w:rFonts w:ascii="Cambria Math" w:hAnsi="Cambria Math"/>
          </w:rPr>
          <m:t>R</m:t>
        </m:r>
      </m:oMath>
      <w:r>
        <w:t xml:space="preserve"> across drought years (Table 4). This is consistent with the observation that the distribution of </w:t>
      </w:r>
      <m:oMath>
        <m:r>
          <w:rPr>
            <w:rFonts w:ascii="Cambria Math" w:hAnsi="Cambria Math"/>
          </w:rPr>
          <m:t>R</m:t>
        </m:r>
      </m:oMath>
      <w:r>
        <w:t xml:space="preserve"> values was similar across droughts (Fig. 1b).</w:t>
      </w:r>
    </w:p>
    <w:p w14:paraId="49EB700B" w14:textId="77777777" w:rsidR="00363137" w:rsidRDefault="00C61EC2">
      <w:pPr>
        <w:pStyle w:val="BodyText"/>
      </w:pPr>
      <w:r>
        <w:t>We mostly reject the hyopthesis (</w:t>
      </w:r>
      <w:r>
        <w:rPr>
          <w:i/>
        </w:rPr>
        <w:t>H3.2</w:t>
      </w:r>
      <w:r>
        <w:t>) that directions of responses varied across droughts. In the majority of cases, response directions were consistent across droughts in both univariate and multivariate models (Tables 1,4,5). However, there were a few exceptions–most commonly in the categorical variables (</w:t>
      </w:r>
      <m:oMath>
        <m:r>
          <w:rPr>
            <w:rFonts w:ascii="Cambria Math" w:hAnsi="Cambria Math"/>
          </w:rPr>
          <m:t>CP</m:t>
        </m:r>
      </m:oMath>
      <w:r>
        <w:t xml:space="preserve"> and </w:t>
      </w:r>
      <m:oMath>
        <m:r>
          <w:rPr>
            <w:rFonts w:ascii="Cambria Math" w:hAnsi="Cambria Math"/>
          </w:rPr>
          <m:t>XP</m:t>
        </m:r>
      </m:oMath>
      <w:r>
        <w:t xml:space="preserve">) but also for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in one multivariate model for the 1999 drought (Tables 4, 5). These differences may very well be </w:t>
      </w:r>
      <w:commentRangeStart w:id="66"/>
      <w:r>
        <w:t>random</w:t>
      </w:r>
      <w:commentRangeEnd w:id="66"/>
      <w:r w:rsidR="00CD1521">
        <w:rPr>
          <w:rStyle w:val="CommentReference"/>
        </w:rPr>
        <w:commentReference w:id="66"/>
      </w:r>
      <w:r>
        <w:t xml:space="preserve">, as opposed to statistically meaningful. Among the univariate models, there was no instance where predictor variables signficantly improved the models of two different droughts (dAIC </w:t>
      </w:r>
      <m:oMath>
        <m:r>
          <w:rPr>
            <w:rFonts w:ascii="Cambria Math" w:hAnsi="Cambria Math"/>
          </w:rPr>
          <m:t>≥</m:t>
        </m:r>
      </m:oMath>
      <w:r>
        <w:t xml:space="preserve"> 2), but with contrasting coefficients (Table 4). Among the multivariate models, </w:t>
      </w:r>
      <m:oMath>
        <m:r>
          <w:rPr>
            <w:rFonts w:ascii="Cambria Math" w:hAnsi="Cambria Math"/>
          </w:rPr>
          <m:t>CP</m:t>
        </m:r>
      </m:oMath>
      <w:r>
        <w:t xml:space="preserve"> was not consistently in the top models for any drought (Table 5),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only appeared with a positive coefficient in the weakest of six models for the 1999 drought (contrasting with a negative coefficient in the univariate model; Table 4). The difference most likely to be real is that ring-porous species had lower </w:t>
      </w:r>
      <m:oMath>
        <m:r>
          <w:rPr>
            <w:rFonts w:ascii="Cambria Math" w:hAnsi="Cambria Math"/>
          </w:rPr>
          <m:t>R</m:t>
        </m:r>
      </m:oMath>
      <w:r>
        <w:t xml:space="preserve"> than diffuse- and semi-ring- porous species in the 1977 drought, contrasting with higher resistance in 1966 and 1999 (Tables 4,5), but note that </w:t>
      </w:r>
      <m:oMath>
        <m:r>
          <w:rPr>
            <w:rFonts w:ascii="Cambria Math" w:hAnsi="Cambria Math"/>
          </w:rPr>
          <m:t>XP</m:t>
        </m:r>
      </m:oMath>
      <w:r>
        <w:t xml:space="preserve"> was not a signficant predictor on its own for the 1977 drought.</w:t>
      </w:r>
    </w:p>
    <w:p w14:paraId="683642B7" w14:textId="77777777" w:rsidR="00363137" w:rsidRDefault="00C61EC2">
      <w:pPr>
        <w:pStyle w:val="BodyText"/>
      </w:pPr>
      <w:r>
        <w:t>We support the hypothesis (</w:t>
      </w:r>
      <w:r>
        <w:rPr>
          <w:i/>
        </w:rPr>
        <w:t>H3.3</w:t>
      </w:r>
      <w:r>
        <w:t xml:space="preserve">) that the strength of predictor variables was different across the droughts (Tables 1,4,5). For instance, </w:t>
      </w:r>
      <m:oMath>
        <m:r>
          <w:rPr>
            <w:rFonts w:ascii="Cambria Math" w:hAnsi="Cambria Math"/>
          </w:rPr>
          <m:t>ln[H]</m:t>
        </m:r>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had much stronger negative effects in 1966 than in the other two years, </w:t>
      </w:r>
      <m:oMath>
        <m:r>
          <w:rPr>
            <w:rFonts w:ascii="Cambria Math" w:hAnsi="Cambria Math"/>
          </w:rPr>
          <m:t>ln[TWI]</m:t>
        </m:r>
      </m:oMath>
      <w:r>
        <w:t xml:space="preserve"> had the strongest negative effect in 1977, and </w:t>
      </w:r>
      <m:oMath>
        <m:r>
          <w:rPr>
            <w:rFonts w:ascii="Cambria Math" w:hAnsi="Cambria Math"/>
          </w:rPr>
          <m:t>XP</m:t>
        </m:r>
      </m:oMath>
      <w:r>
        <w:t xml:space="preserve"> (higher </w:t>
      </w:r>
      <m:oMath>
        <m:r>
          <w:rPr>
            <w:rFonts w:ascii="Cambria Math" w:hAnsi="Cambria Math"/>
          </w:rPr>
          <m:t>R</m:t>
        </m:r>
      </m:oMath>
      <w:r>
        <w:t xml:space="preserve"> among ring-porous trees) was strongest in 1999 (Tables 4,5).</w:t>
      </w:r>
    </w:p>
    <w:p w14:paraId="04AA55D4" w14:textId="77777777" w:rsidR="00363137" w:rsidRDefault="00C61EC2">
      <w:pPr>
        <w:pStyle w:val="Heading3"/>
      </w:pPr>
      <w:bookmarkStart w:id="67" w:name="discussion"/>
      <w:bookmarkEnd w:id="67"/>
      <w:r>
        <w:t>Discussion</w:t>
      </w:r>
    </w:p>
    <w:p w14:paraId="15AB5659" w14:textId="3FC8D3A6" w:rsidR="00363137" w:rsidRDefault="00C61EC2">
      <w:pPr>
        <w:pStyle w:val="FirstParagraph"/>
      </w:pPr>
      <w:r>
        <w:t xml:space="preserve">Our results reveal how tree size, microhabitat, and hydraulic traits shaped tree growth responses across three droughts in a temperate deciduous forest (Table 1). The tendencey for larger trees to suffer more, observed here as in forests around the world [@bennett_larger_2015], was driven primarily by their </w:t>
      </w:r>
      <w:commentRangeStart w:id="68"/>
      <w:r>
        <w:t>height</w:t>
      </w:r>
      <w:commentRangeEnd w:id="68"/>
      <w:r w:rsidR="001D4D14">
        <w:rPr>
          <w:rStyle w:val="CommentReference"/>
        </w:rPr>
        <w:commentReference w:id="68"/>
      </w:r>
      <w:r>
        <w:t xml:space="preserve">. There was a marginal additional effect of crown exposure, with the most exposed and the most suppressed trees suffering most–consistent with observations of both </w:t>
      </w:r>
      <w:del w:id="69" w:author="Alan Tepley" w:date="2019-11-11T18:30:00Z">
        <w:r w:rsidDel="001D4DB9">
          <w:delText xml:space="preserve">greater </w:delText>
        </w:r>
      </w:del>
      <w:ins w:id="70" w:author="Alan Tepley" w:date="2019-11-11T18:30:00Z">
        <w:r w:rsidR="001D4DB9">
          <w:t xml:space="preserve">high </w:t>
        </w:r>
      </w:ins>
      <w:r>
        <w:t xml:space="preserve">drought sensitivity of exposed trees (e.g., [@suarez_factors_2004]; [@scharnweber_confessions_2019]) and </w:t>
      </w:r>
      <w:del w:id="71" w:author="Alan Tepley" w:date="2019-11-11T18:30:00Z">
        <w:r w:rsidDel="001D4DB9">
          <w:delText xml:space="preserve">greater </w:delText>
        </w:r>
      </w:del>
      <w:ins w:id="72" w:author="Alan Tepley" w:date="2019-11-11T18:30:00Z">
        <w:r w:rsidR="001D4DB9">
          <w:t xml:space="preserve">high </w:t>
        </w:r>
      </w:ins>
      <w:r>
        <w:t>sensitivity of suppressed and crowded individuals (</w:t>
      </w:r>
      <w:r>
        <w:rPr>
          <w:b/>
        </w:rPr>
        <w:t>REFS</w:t>
      </w:r>
      <w:r>
        <w:t xml:space="preserve">). There was no evidence that root water access increased drougth resistance; in contrast, trees in wetter topographic positions suffered more (consistent with [@zuleta_drought-induced_2017]), </w:t>
      </w:r>
      <w:commentRangeStart w:id="73"/>
      <w:r>
        <w:t xml:space="preserve">and larger rooting volume </w:t>
      </w:r>
      <w:commentRangeEnd w:id="73"/>
      <w:r w:rsidR="001D4DB9">
        <w:rPr>
          <w:rStyle w:val="CommentReference"/>
        </w:rPr>
        <w:commentReference w:id="73"/>
      </w:r>
      <w:r>
        <w:t xml:space="preserve">provided no advantage in the drier microenvironments. The lower drought resistance of larger trees was not driven by any tendency for the canopy to be dominated by more drought-sensitive species. Drought sensitivity was not consistently linked to species’ </w:t>
      </w:r>
      <m:oMath>
        <m:r>
          <w:rPr>
            <w:rFonts w:ascii="Cambria Math" w:hAnsi="Cambria Math"/>
          </w:rPr>
          <m:t>LMA</m:t>
        </m:r>
      </m:oMath>
      <w:r>
        <w:t xml:space="preserve">, </w:t>
      </w:r>
      <m:oMath>
        <m:r>
          <w:rPr>
            <w:rFonts w:ascii="Cambria Math" w:hAnsi="Cambria Math"/>
          </w:rPr>
          <m:t>WD</m:t>
        </m:r>
      </m:oMath>
      <w:r>
        <w:t>, or xylem architecture. However, drought resistance was negatively correlated with the leaf hydraulic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in the top overall model and the top models for two of the three individual droughts, which is physiologically logical ([@scoffoni_leaf_2014];[@bartlett_correlations_2016]; [@medeiros_extensive_2019]) but </w:t>
      </w:r>
      <w:r>
        <w:lastRenderedPageBreak/>
        <w:t xml:space="preserve">scientifically novel in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have not previously been linked to drought growth responses. The direction of responses was mostly consistent across droughts, </w:t>
      </w:r>
      <w:del w:id="74" w:author="Alan Tepley" w:date="2019-11-11T18:34:00Z">
        <w:r w:rsidDel="003914AC">
          <w:delText xml:space="preserve">indicating </w:delText>
        </w:r>
      </w:del>
      <w:ins w:id="75" w:author="Alan Tepley" w:date="2019-11-11T18:34:00Z">
        <w:r w:rsidR="003914AC">
          <w:t xml:space="preserve">supporting </w:t>
        </w:r>
      </w:ins>
      <w:r>
        <w:t>that they were driven by fundamental physiological mechanisms; however, the strengths of each predictor varied across droughts, indicating that specific drought characteristics interact with tree size, microenvironment, and traits to shape which individuals suffer most. These findings significantly advance our knowledge of the factors that confer vulnerability or resistance on trees during drought.</w:t>
      </w:r>
    </w:p>
    <w:p w14:paraId="691C4DE0" w14:textId="509DFFB1" w:rsidR="00363137" w:rsidRDefault="00C61EC2">
      <w:pPr>
        <w:pStyle w:val="BodyText"/>
      </w:pPr>
      <w:r>
        <w:t xml:space="preserve">The droughts considered </w:t>
      </w:r>
      <w:commentRangeStart w:id="76"/>
      <w:r>
        <w:t xml:space="preserve">here were of similar severity </w:t>
      </w:r>
      <w:commentRangeEnd w:id="76"/>
      <w:r w:rsidR="00AE6DF1">
        <w:rPr>
          <w:rStyle w:val="CommentReference"/>
        </w:rPr>
        <w:commentReference w:id="76"/>
      </w:r>
      <w:r>
        <w:t>(Fig. 1b) and fairly moderate; droughts of this magnitude have occurred with an average frequency of approximately one per 10-15 years (Fig. 1a, @helcoski_growing_2019). Therefore, we ex</w:t>
      </w:r>
      <w:del w:id="77" w:author="Pederson, Neil" w:date="2019-11-15T15:44:00Z">
        <w:r w:rsidDel="002104B2">
          <w:delText>c</w:delText>
        </w:r>
      </w:del>
      <w:r>
        <w:t xml:space="preserve">pect that most species are adapted, and individual trees acclimatized, to </w:t>
      </w:r>
      <w:commentRangeStart w:id="78"/>
      <w:r>
        <w:t xml:space="preserve">survive droughts of this </w:t>
      </w:r>
      <w:commentRangeStart w:id="79"/>
      <w:r>
        <w:t>nature</w:t>
      </w:r>
      <w:commentRangeEnd w:id="78"/>
      <w:commentRangeEnd w:id="79"/>
      <w:r w:rsidR="00BB64CA">
        <w:rPr>
          <w:rStyle w:val="CommentReference"/>
        </w:rPr>
        <w:commentReference w:id="79"/>
      </w:r>
      <w:r w:rsidR="0079575C">
        <w:rPr>
          <w:rStyle w:val="CommentReference"/>
        </w:rPr>
        <w:commentReference w:id="78"/>
      </w:r>
      <w:r>
        <w:t xml:space="preserve">. </w:t>
      </w:r>
      <w:commentRangeStart w:id="80"/>
      <w:r>
        <w:t xml:space="preserve">While the majority of trees experienced reduced growth, a substantial </w:t>
      </w:r>
      <w:commentRangeStart w:id="81"/>
      <w:r>
        <w:t xml:space="preserve">portion had increased growth </w:t>
      </w:r>
      <w:commentRangeEnd w:id="80"/>
      <w:r w:rsidR="00BB64CA">
        <w:rPr>
          <w:rStyle w:val="CommentReference"/>
        </w:rPr>
        <w:commentReference w:id="80"/>
      </w:r>
      <w:commentRangeEnd w:id="81"/>
      <w:r w:rsidR="002104B2">
        <w:rPr>
          <w:rStyle w:val="CommentReference"/>
        </w:rPr>
        <w:commentReference w:id="81"/>
      </w:r>
      <w:r>
        <w:t xml:space="preserve">(Fig. 1b), underlining the fact that these droughts did not induce extreme stress on the entire forest. It is likely for this reason, combined with the fact that many factors other than climate affect tree growth in closed-canopy forests, that our best models characterize only a modest amount of variation: 11-13% for all droughts combined, and 21-26% for each individual drought (Table 5). Methodologically, the moderate nature of these droughts is an advantage because our analysis considers only trees that survived all of these droughts, and we lack information on the </w:t>
      </w:r>
      <w:commentRangeStart w:id="82"/>
      <w:r>
        <w:t>trees that were killed</w:t>
      </w:r>
      <w:commentRangeEnd w:id="82"/>
      <w:r w:rsidR="0079575C">
        <w:rPr>
          <w:rStyle w:val="CommentReference"/>
        </w:rPr>
        <w:commentReference w:id="82"/>
      </w:r>
      <w:r>
        <w:t>. These are likely to be relatively modest in number, and local forest monitoring data stretching back to the late 1980s confirms th</w:t>
      </w:r>
      <w:commentRangeStart w:id="83"/>
      <w:r>
        <w:t>at the 1999 drought did not trigger major declines in tree abundance or biomass</w:t>
      </w:r>
      <w:commentRangeEnd w:id="83"/>
      <w:r w:rsidR="00DC47E7">
        <w:rPr>
          <w:rStyle w:val="CommentReference"/>
        </w:rPr>
        <w:commentReference w:id="83"/>
      </w:r>
      <w:r>
        <w:t xml:space="preserve"> (</w:t>
      </w:r>
      <w:r>
        <w:rPr>
          <w:i/>
        </w:rPr>
        <w:t>Anderson-Teixeira et al., in revision</w:t>
      </w:r>
      <w:r>
        <w:t xml:space="preserve">). Thus, the droughts considered here are </w:t>
      </w:r>
      <w:commentRangeStart w:id="84"/>
      <w:r>
        <w:t xml:space="preserve">substantially weaker than </w:t>
      </w:r>
      <w:commentRangeEnd w:id="84"/>
      <w:r w:rsidR="000953DC">
        <w:rPr>
          <w:rStyle w:val="CommentReference"/>
        </w:rPr>
        <w:commentReference w:id="84"/>
      </w:r>
      <w:r>
        <w:t>those that have triggered massive tree die-off</w:t>
      </w:r>
      <w:ins w:id="85" w:author="Alan Tepley" w:date="2019-11-11T18:45:00Z">
        <w:r w:rsidR="0079575C">
          <w:t xml:space="preserve"> in other regions</w:t>
        </w:r>
      </w:ins>
      <w:r>
        <w:t xml:space="preserve"> (e.g., [@allen_global_2010]), many of which have shaped our understanding about the role of tree size [@bennett_larger_2015; @stovall_tree_2019] and–to some extent–traits underlying drought response mechanisms (@greenwood_tree_2017; @anderegg_meta-analysis_2016). Nevertheless, our results are consistent with findings from more extreme </w:t>
      </w:r>
      <w:commentRangeStart w:id="86"/>
      <w:r>
        <w:t>droughts</w:t>
      </w:r>
      <w:commentRangeEnd w:id="86"/>
      <w:r w:rsidR="0079575C">
        <w:rPr>
          <w:rStyle w:val="CommentReference"/>
        </w:rPr>
        <w:commentReference w:id="86"/>
      </w:r>
      <w:r>
        <w:t>.</w:t>
      </w:r>
    </w:p>
    <w:p w14:paraId="7DE47764" w14:textId="5E05C0D0" w:rsidR="00363137" w:rsidRDefault="00C61EC2">
      <w:pPr>
        <w:pStyle w:val="BodyText"/>
      </w:pPr>
      <w:r>
        <w:t xml:space="preserve">Our analysis indicates that height–as opposed to canopy position or root water access–is the primary factor through which tree size mediates drought response. Taller trees face inherent biophysical </w:t>
      </w:r>
      <w:commentRangeStart w:id="87"/>
      <w:r>
        <w:t xml:space="preserve">challenges in lifting water a greater distance </w:t>
      </w:r>
      <w:commentRangeEnd w:id="87"/>
      <w:r w:rsidR="0079575C">
        <w:rPr>
          <w:rStyle w:val="CommentReference"/>
        </w:rPr>
        <w:commentReference w:id="87"/>
      </w:r>
      <w:r>
        <w:t xml:space="preserve">against the effects of gravity and friction [@ryan_hydraulic_2006; @mcdowell_darcys_2015; @mcdowell_relationships_2011; @couvreur_water_2018]. Vertical gradients in stem and leaf traits–including smaller and thicker (higher LMA) leaves, more negative </w:t>
      </w:r>
      <m:oMath>
        <m:r>
          <w:rPr>
            <w:rFonts w:ascii="Cambria Math" w:hAnsi="Cambria Math"/>
          </w:rPr>
          <m:t>P50</m:t>
        </m:r>
      </m:oMath>
      <w:r>
        <w:t>, and lower hydraulic conductivity at greater heights [@couvreur_water_2018; @koike_leaf_2001; @mcdowell_relationships_2011]–make it biophysically possible for trees to become tall [@couvreur_water_2018], yet height becomes a liability when drought incurs additional hydraulic challenges. Taller trees also face different microenvironments (Fig. 2a-b), in part because they are more likely to be in dominant canopy positions (Fig. 2d). Even under non-drought conditions, evaporative demand increases with tree height</w:t>
      </w:r>
      <w:ins w:id="88" w:author="Alan Tepley" w:date="2019-11-11T18:50:00Z">
        <w:r w:rsidR="0079575C">
          <w:t xml:space="preserve">, </w:t>
        </w:r>
        <w:commentRangeStart w:id="89"/>
        <w:r w:rsidR="0079575C">
          <w:t>and</w:t>
        </w:r>
      </w:ins>
      <w:r>
        <w:t xml:space="preserve"> </w:t>
      </w:r>
      <w:del w:id="90" w:author="Alan Tepley" w:date="2019-11-11T18:50:00Z">
        <w:r w:rsidDel="0079575C">
          <w:delText xml:space="preserve">in </w:delText>
        </w:r>
      </w:del>
      <w:commentRangeEnd w:id="89"/>
      <w:r w:rsidR="0079575C">
        <w:rPr>
          <w:rStyle w:val="CommentReference"/>
        </w:rPr>
        <w:commentReference w:id="89"/>
      </w:r>
      <w:r>
        <w:t>taller trees are more closely coupled to the atmosphere (</w:t>
      </w:r>
      <w:r>
        <w:rPr>
          <w:b/>
        </w:rPr>
        <w:t>REFS- Jarvis 1984?</w:t>
      </w:r>
      <w:r>
        <w:t>; [@bretfeld_plant_2018]). Exposed canopy leaves reach higher temperatures (</w:t>
      </w:r>
      <w:hyperlink r:id="rId16">
        <w:r>
          <w:rPr>
            <w:rStyle w:val="Hyperlink"/>
            <w:i/>
          </w:rPr>
          <w:t>Smith &amp; Nobel 1977</w:t>
        </w:r>
      </w:hyperlink>
      <w:r>
        <w:t xml:space="preserve">), particularly during drought when solar radiation tends to be higher and less water is available for evaporative cooling of the leaves. Furthermore, daytime CO_2_ concentrations </w:t>
      </w:r>
      <w:r>
        <w:lastRenderedPageBreak/>
        <w:t xml:space="preserve">tend to decrease with height [@koike_leaf_2001], implying that water costs of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uptake increase with height. Correlation between height and canopy position (Fig. 2d) makes it challenging to disentangle the relative importance of height </w:t>
      </w:r>
      <w:r>
        <w:rPr>
          <w:i/>
        </w:rPr>
        <w:t>per se</w:t>
      </w:r>
      <w:r>
        <w:t xml:space="preserve"> from microenvironment. However, signficant decoupling between height and canopy position can be introduced by the configuration of neighboring trees (Fig. 2d) [@muller-landau_testing_2006], and we show that height </w:t>
      </w:r>
      <w:del w:id="91" w:author="Alan Tepley" w:date="2019-11-11T18:52:00Z">
        <w:r w:rsidDel="0079575C">
          <w:delText>i</w:delText>
        </w:r>
      </w:del>
      <w:ins w:id="92" w:author="Alan Tepley" w:date="2019-11-11T18:52:00Z">
        <w:r w:rsidR="0079575C">
          <w:t>wa</w:t>
        </w:r>
      </w:ins>
      <w:r>
        <w:t>s a far stronger predictor of drought response than crown position</w:t>
      </w:r>
      <w:ins w:id="93" w:author="Alan Tepley" w:date="2019-11-11T18:52:00Z">
        <w:r w:rsidR="0079575C">
          <w:t>, at least for the three droughts evaluated in our study area</w:t>
        </w:r>
      </w:ins>
      <w:r>
        <w:t xml:space="preserve"> (Tables 1,4,5). </w:t>
      </w:r>
      <w:commentRangeStart w:id="94"/>
      <w:r>
        <w:t>Our analysis</w:t>
      </w:r>
      <w:commentRangeEnd w:id="94"/>
      <w:r w:rsidR="00FB3979">
        <w:rPr>
          <w:rStyle w:val="CommentReference"/>
        </w:rPr>
        <w:commentReference w:id="94"/>
      </w:r>
      <w:r>
        <w:t xml:space="preserve"> does have the limitation that canopy positions were recored in 2018 and undoubtedly changed for some trees since the 1960s, and we note that </w:t>
      </w:r>
      <m:oMath>
        <m:r>
          <w:rPr>
            <w:rFonts w:ascii="Cambria Math" w:hAnsi="Cambria Math"/>
          </w:rPr>
          <m:t>CP</m:t>
        </m:r>
      </m:oMath>
      <w:r>
        <w:t xml:space="preserve"> became an increasingly poor predictor moving from 1999 back to 1966 (Table 4). However, because trees would generally advance towards more dominant positions as they grow and as neighbors die, changing canopy positions would bias against the acceptance of </w:t>
      </w:r>
      <w:r>
        <w:rPr>
          <w:i/>
        </w:rPr>
        <w:t>H1.2</w:t>
      </w:r>
      <w:r>
        <w:t xml:space="preserve">. The implication is that dominant crown positions did have a marginally negative influence on </w:t>
      </w:r>
      <m:oMath>
        <m:r>
          <w:rPr>
            <w:rFonts w:ascii="Cambria Math" w:hAnsi="Cambria Math"/>
          </w:rPr>
          <m:t>R</m:t>
        </m:r>
      </m:oMath>
      <w:r>
        <w:t xml:space="preserve">, which makes sense in light of the vertical enviromnental gradients described above and agrees with previous studies showing greater drought sensitivity in more exposed trees ([@suarez_factors_2004]; [@scharnweber_confessions_2019]). </w:t>
      </w:r>
      <w:commentRangeStart w:id="95"/>
      <w:r>
        <w:t>It is safe to assume that currently suppressed trees have always been suppressed</w:t>
      </w:r>
      <w:commentRangeEnd w:id="95"/>
      <w:r w:rsidR="00FB3979">
        <w:rPr>
          <w:rStyle w:val="CommentReference"/>
        </w:rPr>
        <w:commentReference w:id="95"/>
      </w:r>
      <w:r>
        <w:t xml:space="preserve">, and their relatively low </w:t>
      </w:r>
      <m:oMath>
        <m:r>
          <w:rPr>
            <w:rFonts w:ascii="Cambria Math" w:hAnsi="Cambria Math"/>
          </w:rPr>
          <m:t>R</m:t>
        </m:r>
      </m:oMath>
      <w:r>
        <w:t xml:space="preserve"> (after correcting for height effects) is real, which is consistent with </w:t>
      </w:r>
      <w:commentRangeStart w:id="96"/>
      <w:commentRangeStart w:id="97"/>
      <w:r>
        <w:t xml:space="preserve">analyses showing that suppressed–and particularly crowded–trees can suffer disproportionately during drought </w:t>
      </w:r>
      <w:commentRangeEnd w:id="96"/>
      <w:r w:rsidR="00FB3979">
        <w:rPr>
          <w:rStyle w:val="CommentReference"/>
        </w:rPr>
        <w:commentReference w:id="96"/>
      </w:r>
      <w:commentRangeEnd w:id="97"/>
      <w:r w:rsidR="003B0171">
        <w:rPr>
          <w:rStyle w:val="CommentReference"/>
        </w:rPr>
        <w:commentReference w:id="97"/>
      </w:r>
      <w:r>
        <w:t>(</w:t>
      </w:r>
      <w:r>
        <w:rPr>
          <w:b/>
        </w:rPr>
        <w:t>REFS- Alan?</w:t>
      </w:r>
      <w:r>
        <w:t xml:space="preserve">). The observed height-sensitivity of </w:t>
      </w:r>
      <m:oMath>
        <m:r>
          <w:rPr>
            <w:rFonts w:ascii="Cambria Math" w:hAnsi="Cambria Math"/>
          </w:rPr>
          <m:t>R</m:t>
        </m:r>
      </m:oMath>
      <w:r>
        <w:t>, together with the apparent lack of importance of root water access (</w:t>
      </w:r>
      <w:r>
        <w:rPr>
          <w:i/>
        </w:rPr>
        <w:t>H1.3</w:t>
      </w:r>
      <w:r>
        <w:t>), agrees with the concept that physiological limitations to transpiration under drought shift from root water access to the plant-atmosphere intreface as forests age [@bretfeld_plant_2018], such that tall trees–particularly the very tallest–are the most sensitive in mature forests. Additional research comparing drought responses of young and old forest stands, along with short and tall isolated trees, would be valuable for more clearly disentanging the roles of tree height and crown exposure.</w:t>
      </w:r>
    </w:p>
    <w:p w14:paraId="40C5428C" w14:textId="77777777" w:rsidR="00363137" w:rsidRDefault="00C61EC2">
      <w:pPr>
        <w:pStyle w:val="BodyText"/>
      </w:pPr>
      <w:r>
        <w:t xml:space="preserve">The development of tree-ring chronologies for all dominant tree species at our site [@helcoski_growing_2019] made it possible to compare historical drought responses across 12 species and </w:t>
      </w:r>
      <w:commentRangeStart w:id="98"/>
      <w:r>
        <w:t xml:space="preserve">their associated traits at a single site for the first time </w:t>
      </w:r>
      <w:commentRangeEnd w:id="98"/>
      <w:r w:rsidR="00F0706E">
        <w:rPr>
          <w:rStyle w:val="CommentReference"/>
        </w:rPr>
        <w:commentReference w:id="98"/>
      </w:r>
      <w:r>
        <w:t>(</w:t>
      </w:r>
      <w:r>
        <w:rPr>
          <w:b/>
        </w:rPr>
        <w:t xml:space="preserve">verify- Neil, </w:t>
      </w:r>
      <w:commentRangeStart w:id="99"/>
      <w:r>
        <w:rPr>
          <w:b/>
        </w:rPr>
        <w:t>Alan</w:t>
      </w:r>
      <w:commentRangeEnd w:id="99"/>
      <w:r w:rsidR="00DF4381">
        <w:rPr>
          <w:rStyle w:val="CommentReference"/>
        </w:rPr>
        <w:commentReference w:id="99"/>
      </w:r>
      <w:r>
        <w:t xml:space="preserve">). Concerted measurement of leaf hydraulic traits of emerging importance [@scoffoni_leaf_2014;@bartlett_correlations_2016; @medeiros_extensive_2019] allowed novel insights into the role of hydraulic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responses–with both appearing in the top overall model and two of the three top models for each drought (Table 5)–is consistent with studies demonstrating that these are physiolgoically meaningful traits linked to species distribution along moisture gradients [@medeiros_extensive_2019] (</w:t>
      </w:r>
      <w:commentRangeStart w:id="100"/>
      <w:r>
        <w:rPr>
          <w:b/>
        </w:rPr>
        <w:t>MORE REFS</w:t>
      </w:r>
      <w:commentRangeEnd w:id="100"/>
      <w:r w:rsidR="00DF4381">
        <w:rPr>
          <w:rStyle w:val="CommentReference"/>
        </w:rPr>
        <w:commentReference w:id="100"/>
      </w:r>
      <w:r>
        <w:rPr>
          <w:b/>
        </w:rPr>
        <w:t>–KAT/NOBBY/LAWREN</w:t>
      </w:r>
      <w:r>
        <w:t xml:space="preserve">). It is scientifically exciting in that this finding indicates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which can be measured relatively easily [@bartlett_rapid_2012; @scoffoni_leaf_2014], hold promise for predicting drought growth responses across species. The importance of linking species’ traits to drought responses increases with tree species diversity; whereas it is feasible to study drought responses for all dominant species in most boreal and temperate forests (e.g., this study), this becomes difficult to impossible for </w:t>
      </w:r>
      <w:commentRangeStart w:id="101"/>
      <w:commentRangeStart w:id="102"/>
      <w:r>
        <w:t>diverse tropical forests</w:t>
      </w:r>
      <w:commentRangeEnd w:id="101"/>
      <w:r w:rsidR="00CA39FD">
        <w:rPr>
          <w:rStyle w:val="CommentReference"/>
        </w:rPr>
        <w:commentReference w:id="101"/>
      </w:r>
      <w:commentRangeEnd w:id="102"/>
      <w:r w:rsidR="00F0706E">
        <w:rPr>
          <w:rStyle w:val="CommentReference"/>
        </w:rPr>
        <w:commentReference w:id="102"/>
      </w:r>
      <w:r>
        <w:t xml:space="preserve">, where linking hydraulic traits to drought responses would be </w:t>
      </w:r>
      <w:r>
        <w:lastRenderedPageBreak/>
        <w:t>invaluable for forecasting how little-known species and whole forests will respond to future droughts (</w:t>
      </w:r>
      <w:r>
        <w:rPr>
          <w:b/>
        </w:rPr>
        <w:t>REFS?–KAT/NOBBY/LAWREN</w:t>
      </w:r>
      <w:r>
        <w:t>).</w:t>
      </w:r>
    </w:p>
    <w:p w14:paraId="6A96BB37" w14:textId="12C53F9B" w:rsidR="00363137" w:rsidRDefault="00C61EC2">
      <w:pPr>
        <w:pStyle w:val="BodyText"/>
      </w:pPr>
      <w:r>
        <w:t xml:space="preserve">Our analysis of hydraulic traits focused on species-level comparisons and did not characterize the role of variation </w:t>
      </w:r>
      <w:ins w:id="103" w:author="Alan Tepley" w:date="2019-11-11T20:11:00Z">
        <w:r w:rsidR="00C015F0">
          <w:t xml:space="preserve">in those traits </w:t>
        </w:r>
      </w:ins>
      <w:r>
        <w:t xml:space="preserve">with </w:t>
      </w:r>
      <w:ins w:id="104" w:author="Alan Tepley" w:date="2019-11-15T09:27:00Z">
        <w:r w:rsidR="00A51C72">
          <w:t xml:space="preserve">tree </w:t>
        </w:r>
      </w:ins>
      <w:r>
        <w:t xml:space="preserve">height. As noted above, leaves found higher on a tree tend to have more hydraulically conservative traits, and therefore we would expect that average leaf characteristics of an individual tree would scale with its crown height, with taller individuals having on average more drought-resistant traits. If vertical trends for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which have not been characterized (</w:t>
      </w:r>
      <w:r>
        <w:rPr>
          <w:b/>
          <w:i/>
        </w:rPr>
        <w:t>LAWREN, IS THIS TRUE?</w:t>
      </w:r>
      <w:r>
        <w:rPr>
          <w:i/>
        </w:rPr>
        <w:t xml:space="preserve">), follow the general pattern of increasing leaf drought resistance with height, our analysis would be biased in a conservative direction when assessing </w:t>
      </w:r>
      <w:r>
        <w:t>H2.3* (Table 1)–</w:t>
      </w:r>
      <w:r>
        <w:rPr>
          <w:i/>
        </w:rPr>
        <w:t>i.e.</w:t>
      </w:r>
      <w:r>
        <w:t xml:space="preserve">, accounting traits on an individual level should result in a stronger negative effect of </w:t>
      </w:r>
      <m:oMath>
        <m:r>
          <w:rPr>
            <w:rFonts w:ascii="Cambria Math" w:hAnsi="Cambria Math"/>
          </w:rPr>
          <m:t>ln[H]</m:t>
        </m:r>
      </m:oMath>
      <w:r>
        <w:t>. Further characterization of leaf hydraulic traits in relation to height and crown exposure would be valuable for enhancing our understanding of the interactive effects of tree height and traits on drought responses.</w:t>
      </w:r>
    </w:p>
    <w:p w14:paraId="33991C53" w14:textId="3161633A" w:rsidR="00363137" w:rsidRDefault="00C61EC2">
      <w:pPr>
        <w:pStyle w:val="BodyText"/>
      </w:pPr>
      <w:r>
        <w:t xml:space="preserve">Although the physiological mechanisms discussed above lead to generally consistent directions of growth responses to tree height and hydaulic traits across droughts, indicating the universality of the underlying mechanisms, the relative importantance of the drivers varied widely across droughts, indicating an interaction with drought characteristics (Tables 4-5). Although there were not signficant differences in </w:t>
      </w:r>
      <m:oMath>
        <m:r>
          <w:rPr>
            <w:rFonts w:ascii="Cambria Math" w:hAnsi="Cambria Math"/>
          </w:rPr>
          <m:t>R</m:t>
        </m:r>
      </m:oMath>
      <w:r>
        <w:t xml:space="preserve"> among the drought years, </w:t>
      </w:r>
      <m:oMath>
        <m:r>
          <w:rPr>
            <w:rFonts w:ascii="Cambria Math" w:hAnsi="Cambria Math"/>
          </w:rPr>
          <m:t>R</m:t>
        </m:r>
      </m:oMath>
      <w:r>
        <w:t xml:space="preserve"> tended to be somewhat lower in 1966 (Fig. 1, Table 4). Height and dominant canopy position had </w:t>
      </w:r>
      <w:del w:id="105" w:author="Alan Tepley" w:date="2019-11-11T20:14:00Z">
        <w:r w:rsidDel="00C015F0">
          <w:delText xml:space="preserve">the </w:delText>
        </w:r>
      </w:del>
      <w:r>
        <w:t xml:space="preserve">stronger negative effects in this drought than in the others (Tables 4-5), which could potentially be linked to the fact that this was the </w:t>
      </w:r>
      <w:commentRangeStart w:id="106"/>
      <w:r>
        <w:t>longest-lasting drought</w:t>
      </w:r>
      <w:commentRangeEnd w:id="106"/>
      <w:r w:rsidR="0045292B">
        <w:rPr>
          <w:rStyle w:val="CommentReference"/>
        </w:rPr>
        <w:commentReference w:id="106"/>
      </w:r>
      <w:r>
        <w:t xml:space="preserve"> and </w:t>
      </w:r>
      <w:del w:id="107" w:author="Pederson, Neil" w:date="2019-11-15T15:58:00Z">
        <w:r w:rsidDel="00977087">
          <w:delText xml:space="preserve">and </w:delText>
        </w:r>
      </w:del>
      <w:r>
        <w:t xml:space="preserve">that height becomes a stronger predictor of mortality as the severity of the drought increases [@stovall_tree_2019]. In 1977, which was the weakest drought in terms of PDSI (Fig. S2, Table S3), ring-porous species had lower </w:t>
      </w:r>
      <m:oMath>
        <m:r>
          <w:rPr>
            <w:rFonts w:ascii="Cambria Math" w:hAnsi="Cambria Math"/>
          </w:rPr>
          <m:t>R</m:t>
        </m:r>
      </m:oMath>
      <w:r>
        <w:t xml:space="preserve">, contrasting with their higher </w:t>
      </w:r>
      <m:oMath>
        <m:r>
          <w:rPr>
            <w:rFonts w:ascii="Cambria Math" w:hAnsi="Cambria Math"/>
          </w:rPr>
          <m:t>R</m:t>
        </m:r>
      </m:oMath>
      <w:r>
        <w:t xml:space="preserve"> in the other two droughts and perhaps indicating that ring-porosity provides less of an advantage in terms of drought adaptation under less extreme droughts, consistent with @elliott_forest_2015. In the 1999 drought, which was the most intense in terms of growing season PDSI and the second-longest in duration, </w:t>
      </w:r>
      <w:commentRangeStart w:id="108"/>
      <w:r>
        <w:t xml:space="preserve">xylem architecture </w:t>
      </w:r>
      <w:commentRangeEnd w:id="108"/>
      <w:r w:rsidR="00C015F0">
        <w:rPr>
          <w:rStyle w:val="CommentReference"/>
        </w:rPr>
        <w:commentReference w:id="108"/>
      </w:r>
      <w:r>
        <w:t xml:space="preserve">was the most useful predictor, with diffuse-porous species suffering </w:t>
      </w:r>
      <w:commentRangeStart w:id="109"/>
      <w:r>
        <w:t>most</w:t>
      </w:r>
      <w:commentRangeEnd w:id="109"/>
      <w:r w:rsidR="00977087">
        <w:rPr>
          <w:rStyle w:val="CommentReference"/>
        </w:rPr>
        <w:commentReference w:id="109"/>
      </w:r>
      <w:r>
        <w:t xml:space="preserve">. Thus, responses differed with the nature of each </w:t>
      </w:r>
      <w:commentRangeStart w:id="110"/>
      <w:r>
        <w:t>drought</w:t>
      </w:r>
      <w:commentRangeEnd w:id="110"/>
      <w:r w:rsidR="0021778C">
        <w:rPr>
          <w:rStyle w:val="CommentReference"/>
        </w:rPr>
        <w:commentReference w:id="110"/>
      </w:r>
      <w:r>
        <w:t>. Of course, site characteristics also define the nature of droughts, and comparisons of size and trait effects across sites–and across more droughts at a single site–would be of great value to elucidating the mechanisms through which drought characteristics interact with driver variables to shape tree growth responses.</w:t>
      </w:r>
    </w:p>
    <w:p w14:paraId="13E072D9" w14:textId="77D19897" w:rsidR="00363137" w:rsidRDefault="00C61EC2">
      <w:pPr>
        <w:pStyle w:val="BodyText"/>
      </w:pPr>
      <w:r>
        <w:t xml:space="preserve">As climate change drives increasing drought in many of the world’s forests [@trenberth_global_2014; @intergovernmental_panel_on_climate_change_climate_2015], the fate of forests and their climate feedbacks will be shaped by the biophysical and physiological drivers observed here. Large trees have been suffering disrpoportionately in forests around the world [@bennett_larger_2015; @stovall_tree_2019], and we here show that this is primarily driven by their height, </w:t>
      </w:r>
      <w:commentRangeStart w:id="111"/>
      <w:commentRangeStart w:id="112"/>
      <w:ins w:id="113" w:author="Alan Tepley" w:date="2019-11-11T20:18:00Z">
        <w:r w:rsidR="00C015F0">
          <w:t>at least in thi</w:t>
        </w:r>
      </w:ins>
      <w:ins w:id="114" w:author="Alan Tepley" w:date="2019-11-11T20:19:00Z">
        <w:r w:rsidR="00C015F0">
          <w:t>s study area</w:t>
        </w:r>
        <w:commentRangeEnd w:id="111"/>
        <w:r w:rsidR="00C015F0">
          <w:rPr>
            <w:rStyle w:val="CommentReference"/>
          </w:rPr>
          <w:commentReference w:id="111"/>
        </w:r>
      </w:ins>
      <w:commentRangeEnd w:id="112"/>
      <w:r w:rsidR="00FC47E4">
        <w:rPr>
          <w:rStyle w:val="CommentReference"/>
        </w:rPr>
        <w:commentReference w:id="112"/>
      </w:r>
      <w:ins w:id="115" w:author="Alan Tepley" w:date="2019-11-11T20:19:00Z">
        <w:r w:rsidR="00C015F0">
          <w:t xml:space="preserve">, </w:t>
        </w:r>
      </w:ins>
      <w:r>
        <w:t xml:space="preserve">with some contributions from canopy position. The distinction is important because it suggests that height </w:t>
      </w:r>
      <w:r>
        <w:rPr>
          <w:i/>
        </w:rPr>
        <w:t>per se</w:t>
      </w:r>
      <w:r>
        <w:t xml:space="preserve"> makes trees vulnerable, even if their crowns are somewhat protected by neighbors, whereas solitary trees or the dominant trees in young regrowth forests should be less vulnerable. Considering just height and crown position, this would suggest that </w:t>
      </w:r>
      <w:r>
        <w:lastRenderedPageBreak/>
        <w:t xml:space="preserve">mature forests would be </w:t>
      </w:r>
      <w:commentRangeStart w:id="116"/>
      <w:r>
        <w:t xml:space="preserve">more vulnerable to drought than young forests </w:t>
      </w:r>
      <w:commentRangeEnd w:id="116"/>
      <w:r w:rsidR="00B470A9">
        <w:rPr>
          <w:rStyle w:val="CommentReference"/>
        </w:rPr>
        <w:commentReference w:id="116"/>
      </w:r>
      <w:r>
        <w:t>with short trees; however, root water access may limit the young forests [@bretfeld_plant_2018], and species traits often shift as forests age. Pioneer species at our site (</w:t>
      </w:r>
      <w:r>
        <w:rPr>
          <w:i/>
        </w:rPr>
        <w:t>Liriodendron tulipifera</w:t>
      </w:r>
      <w:r>
        <w:t xml:space="preserve">, </w:t>
      </w:r>
      <w:r>
        <w:rPr>
          <w:i/>
        </w:rPr>
        <w:t>Quercus spp.</w:t>
      </w:r>
      <w:r>
        <w:t xml:space="preserve">, </w:t>
      </w:r>
      <w:r>
        <w:rPr>
          <w:i/>
        </w:rPr>
        <w:t>Fraxinus americana</w:t>
      </w:r>
      <w:r>
        <w:t xml:space="preserve">) have a mix of traits conferring drought tolerance and resistance (Table 3), and further research on how hydraulic traits and drought vulnerability change over the course of succession would be valuable for getting at the very signficant question of whether and how drought tolerance changes as forests age. In the meantime, the results of this study advance our knowledge of the factors conferring drought vulnerability and resistance in a mature forest, opening the door for more accurate forecasting of forest responses to future </w:t>
      </w:r>
      <w:commentRangeStart w:id="117"/>
      <w:r>
        <w:t>drought</w:t>
      </w:r>
      <w:commentRangeEnd w:id="117"/>
      <w:r w:rsidR="007C4071">
        <w:rPr>
          <w:rStyle w:val="CommentReference"/>
        </w:rPr>
        <w:commentReference w:id="117"/>
      </w:r>
      <w:r>
        <w:t>.</w:t>
      </w:r>
    </w:p>
    <w:p w14:paraId="24A2A861" w14:textId="77777777" w:rsidR="00363137" w:rsidRDefault="00C61EC2">
      <w:pPr>
        <w:pStyle w:val="Heading3"/>
      </w:pPr>
      <w:bookmarkStart w:id="119" w:name="acknowledgements"/>
      <w:bookmarkEnd w:id="119"/>
      <w:r>
        <w:t>Acknowledgements</w:t>
      </w:r>
    </w:p>
    <w:p w14:paraId="0F2257E6" w14:textId="77777777" w:rsidR="00363137" w:rsidRDefault="00C61EC2">
      <w:pPr>
        <w:pStyle w:val="FirstParagraph"/>
      </w:pPr>
      <w:r>
        <w:t xml:space="preserve">Thanks to all researchers who helped to collect the data used here, in particular Jennifer C. McGarvey, Jonathan R. Thomspon, and Victoria Meakem for original collection and processing of cores. Thanks also to Camila Medeiros for guidance on hydraulic and functional trait measurements and to Edward Brzostek’s lab for collaboration on leaf sampling. ** others??** This study was funded by the Smithsonian’s Forest Global Earth Observatory (ForestGEO), a Virginia Native Plant Society grant to KAT and AJT, </w:t>
      </w:r>
      <w:r>
        <w:rPr>
          <w:i/>
        </w:rPr>
        <w:t>and support from the Harvard Forest and National Science Foundation which supports the PalEON project (NSF EF-1241930) for NP.</w:t>
      </w:r>
      <w:r>
        <w:t xml:space="preserve"> (</w:t>
      </w:r>
      <w:r>
        <w:rPr>
          <w:b/>
        </w:rPr>
        <w:t>Neil, this is copied from Ryan’s paper. accurate here?</w:t>
      </w:r>
      <w:r>
        <w:t xml:space="preserve"> </w:t>
      </w:r>
      <w:r>
        <w:rPr>
          <w:b/>
        </w:rPr>
        <w:t>coauthors, other funding?</w:t>
      </w:r>
      <w:r>
        <w:t>)</w:t>
      </w:r>
    </w:p>
    <w:p w14:paraId="3392D10C" w14:textId="77777777" w:rsidR="00363137" w:rsidRDefault="00C61EC2">
      <w:pPr>
        <w:pStyle w:val="Heading3"/>
      </w:pPr>
      <w:bookmarkStart w:id="120" w:name="author-contribution"/>
      <w:bookmarkEnd w:id="120"/>
      <w:r>
        <w:t>Author Contribution</w:t>
      </w:r>
    </w:p>
    <w:p w14:paraId="226A7F92" w14:textId="77777777" w:rsidR="00363137" w:rsidRDefault="00C61EC2">
      <w:pPr>
        <w:pStyle w:val="FirstParagraph"/>
      </w:pPr>
      <w:r>
        <w:t xml:space="preserve">KAT, IM, and AT designed the research. Tree-ring chronologies were developed by RH under guidance of AT and NP. Trait data was collected by IM, JZ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 </w:t>
      </w:r>
      <w:r>
        <w:rPr>
          <w:b/>
        </w:rPr>
        <w:t>coauthors, please check/edit</w:t>
      </w:r>
    </w:p>
    <w:sectPr w:rsidR="0036313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an Tepley" w:date="2019-11-13T22:12:00Z" w:initials="AJT">
    <w:p w14:paraId="0DCD5061" w14:textId="733E5320" w:rsidR="005D7049" w:rsidRDefault="005D7049">
      <w:pPr>
        <w:pStyle w:val="CommentText"/>
      </w:pPr>
      <w:r>
        <w:rPr>
          <w:rStyle w:val="CommentReference"/>
        </w:rPr>
        <w:annotationRef/>
      </w:r>
      <w:r>
        <w:t>Canadian Forest Service, Northern Forestry Centre, Edmonton, Alberta, Canada</w:t>
      </w:r>
    </w:p>
  </w:comment>
  <w:comment w:id="2" w:author="Alan Tepley" w:date="2019-11-07T22:15:00Z" w:initials="AJT">
    <w:p w14:paraId="1C30DE79" w14:textId="77777777" w:rsidR="006E3F0C" w:rsidRDefault="006E3F0C">
      <w:pPr>
        <w:pStyle w:val="CommentText"/>
      </w:pPr>
      <w:r>
        <w:rPr>
          <w:rStyle w:val="CommentReference"/>
        </w:rPr>
        <w:annotationRef/>
      </w:r>
      <w:r>
        <w:t>A couple things to consider:</w:t>
      </w:r>
    </w:p>
    <w:p w14:paraId="30507EA3" w14:textId="4B125D5D" w:rsidR="006E3F0C" w:rsidRDefault="006E3F0C" w:rsidP="006E3F0C">
      <w:pPr>
        <w:pStyle w:val="CommentText"/>
        <w:numPr>
          <w:ilvl w:val="0"/>
          <w:numId w:val="5"/>
        </w:numPr>
      </w:pPr>
      <w:r>
        <w:t xml:space="preserve"> Did you look at growth rate (raw growth rate or BAI, not standardized RWI) prior to the drought? The pre-drought growth rate might be a better predictor of drought response than height or </w:t>
      </w:r>
      <w:r w:rsidR="002D0CDD">
        <w:t xml:space="preserve">leaf-level physiological traits. I would expect pre-drought growth rate to integrate some of the other characteristics. </w:t>
      </w:r>
    </w:p>
    <w:p w14:paraId="6521441E" w14:textId="3D799055" w:rsidR="00372A2D" w:rsidRDefault="00372A2D" w:rsidP="006E3F0C">
      <w:pPr>
        <w:pStyle w:val="CommentText"/>
        <w:numPr>
          <w:ilvl w:val="0"/>
          <w:numId w:val="5"/>
        </w:numPr>
      </w:pPr>
      <w:r>
        <w:t xml:space="preserve"> Is there an easy way to look at local neighborhood competition</w:t>
      </w:r>
      <w:r w:rsidR="00E21718">
        <w:t xml:space="preserve"> since </w:t>
      </w:r>
      <w:r>
        <w:t xml:space="preserve">the trees are mapped? </w:t>
      </w:r>
      <w:r w:rsidR="00BF0B57">
        <w:t>I would expect local competition and pre-drought growth rate to be important drivers of drought response, but maybe not for trees that are already taller than most/all of the competing trees.</w:t>
      </w:r>
    </w:p>
  </w:comment>
  <w:comment w:id="3" w:author="Alan Tepley" w:date="2019-11-07T22:21:00Z" w:initials="AJT">
    <w:p w14:paraId="483F16ED" w14:textId="77777777" w:rsidR="002D0CDD" w:rsidRDefault="002D0CDD">
      <w:pPr>
        <w:pStyle w:val="CommentText"/>
      </w:pPr>
      <w:r>
        <w:rPr>
          <w:rStyle w:val="CommentReference"/>
        </w:rPr>
        <w:annotationRef/>
      </w:r>
      <w:r>
        <w:t>Height was recorded at the individual level, but leaf-level traits were recorded at the species level. Is it safe to assume that the leaf-level traits were consistent among individuals within a species (i.e., they did not vary with height within a species)?</w:t>
      </w:r>
    </w:p>
  </w:comment>
  <w:comment w:id="5" w:author="Pederson, Neil" w:date="2019-11-15T14:25:00Z" w:initials="PN">
    <w:p w14:paraId="0315EF94" w14:textId="77777777" w:rsidR="006A3A16" w:rsidRDefault="006A3A16">
      <w:pPr>
        <w:pStyle w:val="CommentText"/>
      </w:pPr>
      <w:r>
        <w:rPr>
          <w:rStyle w:val="CommentReference"/>
        </w:rPr>
        <w:annotationRef/>
      </w:r>
      <w:r>
        <w:t xml:space="preserve">See series of Benjamin Cook papers, </w:t>
      </w:r>
    </w:p>
    <w:p w14:paraId="14E74846" w14:textId="77777777" w:rsidR="006A3A16" w:rsidRDefault="006A3A16">
      <w:pPr>
        <w:pStyle w:val="CommentText"/>
      </w:pPr>
    </w:p>
    <w:p w14:paraId="07CC7455" w14:textId="00F2E259" w:rsidR="006A3A16" w:rsidRDefault="006A3A16" w:rsidP="006A3A16">
      <w:pPr>
        <w:pStyle w:val="EndNoteBibliography"/>
        <w:ind w:left="720" w:hanging="720"/>
        <w:rPr>
          <w:noProof/>
        </w:rPr>
      </w:pPr>
      <w:r>
        <w:fldChar w:fldCharType="begin"/>
      </w:r>
      <w:r>
        <w:instrText xml:space="preserve"> ADDIN EN.REFLIST </w:instrText>
      </w:r>
      <w:r>
        <w:fldChar w:fldCharType="separate"/>
      </w:r>
      <w:r w:rsidRPr="00402C9C">
        <w:rPr>
          <w:noProof/>
        </w:rPr>
        <w:t xml:space="preserve">Cook, B. I., T. R. Ault, and J. E. Smerdon. 2015. Unprecedented 21st century drought risk in the American Southwest and Central Plains. Science advances </w:t>
      </w:r>
      <w:r w:rsidRPr="00402C9C">
        <w:rPr>
          <w:b/>
          <w:noProof/>
        </w:rPr>
        <w:t>1</w:t>
      </w:r>
      <w:r w:rsidRPr="00402C9C">
        <w:rPr>
          <w:noProof/>
        </w:rPr>
        <w:t>:e1400082.</w:t>
      </w:r>
    </w:p>
    <w:p w14:paraId="00E22529" w14:textId="77777777" w:rsidR="006A3A16" w:rsidRPr="00402C9C" w:rsidRDefault="006A3A16" w:rsidP="006A3A16">
      <w:pPr>
        <w:pStyle w:val="EndNoteBibliography"/>
        <w:ind w:left="720" w:hanging="720"/>
        <w:rPr>
          <w:noProof/>
        </w:rPr>
      </w:pPr>
    </w:p>
    <w:p w14:paraId="49979E9F" w14:textId="77777777" w:rsidR="006A3A16" w:rsidRPr="00402C9C" w:rsidRDefault="006A3A16" w:rsidP="006A3A16">
      <w:pPr>
        <w:pStyle w:val="EndNoteBibliography"/>
        <w:ind w:left="720" w:hanging="720"/>
        <w:rPr>
          <w:noProof/>
        </w:rPr>
      </w:pPr>
      <w:r w:rsidRPr="00402C9C">
        <w:rPr>
          <w:noProof/>
        </w:rPr>
        <w:t xml:space="preserve">Cook, B. I., J. E. Smerdon, R. Seager, and S. Coats. 2014. Global warming and 21st century drying. Climate Dynamics </w:t>
      </w:r>
      <w:r w:rsidRPr="00402C9C">
        <w:rPr>
          <w:b/>
          <w:noProof/>
        </w:rPr>
        <w:t>43</w:t>
      </w:r>
      <w:r w:rsidRPr="00402C9C">
        <w:rPr>
          <w:noProof/>
        </w:rPr>
        <w:t>:2607.</w:t>
      </w:r>
    </w:p>
    <w:p w14:paraId="5CE2550E" w14:textId="77777777" w:rsidR="006A3A16" w:rsidRDefault="006A3A16" w:rsidP="006A3A16">
      <w:pPr>
        <w:pStyle w:val="CommentText"/>
      </w:pPr>
      <w:r>
        <w:fldChar w:fldCharType="end"/>
      </w:r>
    </w:p>
    <w:p w14:paraId="34B5BEF7" w14:textId="77777777" w:rsidR="009334B8" w:rsidRPr="009334B8" w:rsidRDefault="009334B8" w:rsidP="009334B8">
      <w:pPr>
        <w:spacing w:after="0"/>
        <w:rPr>
          <w:rFonts w:ascii="Times New Roman" w:eastAsia="Times New Roman" w:hAnsi="Times New Roman" w:cs="Times New Roman"/>
        </w:rPr>
      </w:pPr>
      <w:r w:rsidRPr="009334B8">
        <w:rPr>
          <w:rFonts w:ascii="Arial" w:eastAsia="Times New Roman" w:hAnsi="Arial" w:cs="Arial"/>
          <w:color w:val="222222"/>
          <w:sz w:val="20"/>
          <w:szCs w:val="20"/>
          <w:shd w:val="clear" w:color="auto" w:fill="FFFFFF"/>
        </w:rPr>
        <w:t>Mankin, J.S., Seager, R., Smerdon, J.E., Cook, B.I. and Williams, A.P., 2019. Mid-latitude freshwater availability reduced by projected vegetation responses to climate change. </w:t>
      </w:r>
      <w:r w:rsidRPr="009334B8">
        <w:rPr>
          <w:rFonts w:ascii="Arial" w:eastAsia="Times New Roman" w:hAnsi="Arial" w:cs="Arial"/>
          <w:i/>
          <w:iCs/>
          <w:color w:val="222222"/>
          <w:sz w:val="20"/>
          <w:szCs w:val="20"/>
        </w:rPr>
        <w:t>Nature Geoscience</w:t>
      </w:r>
      <w:r w:rsidRPr="009334B8">
        <w:rPr>
          <w:rFonts w:ascii="Arial" w:eastAsia="Times New Roman" w:hAnsi="Arial" w:cs="Arial"/>
          <w:color w:val="222222"/>
          <w:sz w:val="20"/>
          <w:szCs w:val="20"/>
          <w:shd w:val="clear" w:color="auto" w:fill="FFFFFF"/>
        </w:rPr>
        <w:t>, pp.1-6.</w:t>
      </w:r>
    </w:p>
    <w:p w14:paraId="3A22D1BA" w14:textId="46DE6555" w:rsidR="009334B8" w:rsidRDefault="009334B8" w:rsidP="006A3A16">
      <w:pPr>
        <w:pStyle w:val="CommentText"/>
      </w:pPr>
    </w:p>
  </w:comment>
  <w:comment w:id="6" w:author="Alan Tepley" w:date="2019-11-10T16:01:00Z" w:initials="AJT">
    <w:p w14:paraId="7BA2CEE3" w14:textId="441E94C1" w:rsidR="00E21718" w:rsidRDefault="00E21718">
      <w:pPr>
        <w:pStyle w:val="CommentText"/>
      </w:pPr>
      <w:r>
        <w:rPr>
          <w:rStyle w:val="CommentReference"/>
        </w:rPr>
        <w:annotationRef/>
      </w:r>
      <w:r>
        <w:t xml:space="preserve">I would avoid citing Allen et al. 2010 two </w:t>
      </w:r>
      <w:r w:rsidR="00E3331A">
        <w:t xml:space="preserve">sentences </w:t>
      </w:r>
      <w:r>
        <w:t>in a row. Maybe cite papers by Anderegg et al. (2013; Nature Climate Change)</w:t>
      </w:r>
      <w:r w:rsidR="00E3331A">
        <w:t>,</w:t>
      </w:r>
      <w:r>
        <w:t xml:space="preserve"> Adams et al. (2009; PNAS), Bréda et al. (2009; Annals of Forest Science), </w:t>
      </w:r>
      <w:r w:rsidR="00B05F8B">
        <w:t xml:space="preserve">Hartmann et al. (2018; New Phytologist), </w:t>
      </w:r>
      <w:r>
        <w:t>or Allen et al. (2015; Ecosphere)</w:t>
      </w:r>
    </w:p>
  </w:comment>
  <w:comment w:id="7" w:author="Alan Tepley" w:date="2019-11-07T22:29:00Z" w:initials="AJT">
    <w:p w14:paraId="6C2316EA" w14:textId="0A5E745F" w:rsidR="00280582" w:rsidRDefault="00280582">
      <w:pPr>
        <w:pStyle w:val="CommentText"/>
      </w:pPr>
      <w:r>
        <w:rPr>
          <w:rStyle w:val="CommentReference"/>
        </w:rPr>
        <w:annotationRef/>
      </w:r>
      <w:r w:rsidR="00E3331A">
        <w:t>For another mechanism, s</w:t>
      </w:r>
      <w:r>
        <w:t xml:space="preserve">ee Roskilly et al. 2019 PNAS. </w:t>
      </w:r>
      <w:r w:rsidR="00372A2D">
        <w:t xml:space="preserve">They evaluated xylem pit structure in fast- and slow-growing ponderosa pine. They identified a tradeoff where fast-growing trees were more efficient at water transport but had xylem pit structure that was more vulnerable to embolism. Slow-growing trees had less efficient water transport, but they had xylem pit structure that enabled them to repair or re-route water around embolisms. This made slower-growing (smaller for a given age) trees more resistant/resilient to drought. </w:t>
      </w:r>
    </w:p>
  </w:comment>
  <w:comment w:id="14" w:author="Alan Tepley" w:date="2019-11-07T22:33:00Z" w:initials="AJT">
    <w:p w14:paraId="7208A5C1" w14:textId="2E885772" w:rsidR="00372A2D" w:rsidRDefault="00372A2D">
      <w:pPr>
        <w:pStyle w:val="CommentText"/>
      </w:pPr>
      <w:r>
        <w:rPr>
          <w:rStyle w:val="CommentReference"/>
        </w:rPr>
        <w:annotationRef/>
      </w:r>
      <w:r>
        <w:t xml:space="preserve">Is it </w:t>
      </w:r>
      <w:r w:rsidR="00E3331A">
        <w:t>safe</w:t>
      </w:r>
      <w:r>
        <w:t xml:space="preserve"> to assume that larger trees have larger root systems when making comparisons across</w:t>
      </w:r>
      <w:r w:rsidR="00072839">
        <w:t xml:space="preserve"> </w:t>
      </w:r>
      <w:r>
        <w:t xml:space="preserve">species? </w:t>
      </w:r>
      <w:r w:rsidR="005D7049">
        <w:t>If a tuliptree is larger than an oak, does that mean the tuliptree has a larger root system, or do different species have different allocation priorities for above vs. belowground growth? Also, s</w:t>
      </w:r>
      <w:r>
        <w:t xml:space="preserve">ome species have a lot of plasticity in root architecture, depending on local environment (e.g., soil depth, depth to water table), and other species have little variation in root form regardless of local conditions. </w:t>
      </w:r>
    </w:p>
  </w:comment>
  <w:comment w:id="15" w:author="Alan Tepley" w:date="2019-11-07T22:37:00Z" w:initials="AJT">
    <w:p w14:paraId="4A6F1B3A" w14:textId="54854FA9" w:rsidR="00372A2D" w:rsidRDefault="00372A2D">
      <w:pPr>
        <w:pStyle w:val="CommentText"/>
      </w:pPr>
      <w:r>
        <w:rPr>
          <w:rStyle w:val="CommentReference"/>
        </w:rPr>
        <w:annotationRef/>
      </w:r>
      <w:r>
        <w:t xml:space="preserve">This is the first time you mention avoidance or resilience. Maybe it would be useful to clarify what </w:t>
      </w:r>
      <w:r w:rsidR="00E3331A">
        <w:t>these terms</w:t>
      </w:r>
      <w:r>
        <w:t xml:space="preserve"> mean or how they differ from resistance. </w:t>
      </w:r>
    </w:p>
  </w:comment>
  <w:comment w:id="16" w:author="Pederson, Neil" w:date="2019-11-15T14:36:00Z" w:initials="PN">
    <w:p w14:paraId="42BADDBD" w14:textId="77777777" w:rsidR="00856F9B" w:rsidRDefault="00856F9B">
      <w:pPr>
        <w:pStyle w:val="CommentText"/>
      </w:pPr>
      <w:r>
        <w:rPr>
          <w:rStyle w:val="CommentReference"/>
        </w:rPr>
        <w:annotationRef/>
      </w:r>
      <w:r>
        <w:t>See these two references as tests of ring structure and climatic response, especially to drought in the case of Ellioitt:</w:t>
      </w:r>
    </w:p>
    <w:p w14:paraId="51BFC9B5" w14:textId="77777777" w:rsidR="00856F9B" w:rsidRDefault="00856F9B">
      <w:pPr>
        <w:pStyle w:val="CommentText"/>
      </w:pPr>
    </w:p>
    <w:tbl>
      <w:tblPr>
        <w:tblW w:w="6570" w:type="dxa"/>
        <w:tblCellMar>
          <w:left w:w="0" w:type="dxa"/>
          <w:right w:w="0" w:type="dxa"/>
        </w:tblCellMar>
        <w:tblLook w:val="04A0" w:firstRow="1" w:lastRow="0" w:firstColumn="1" w:lastColumn="0" w:noHBand="0" w:noVBand="1"/>
      </w:tblPr>
      <w:tblGrid>
        <w:gridCol w:w="6564"/>
        <w:gridCol w:w="6"/>
      </w:tblGrid>
      <w:tr w:rsidR="00856F9B" w:rsidRPr="00856F9B" w14:paraId="5B9A28CF" w14:textId="77777777">
        <w:trPr>
          <w:gridAfter w:val="1"/>
        </w:trPr>
        <w:tc>
          <w:tcPr>
            <w:tcW w:w="0" w:type="auto"/>
            <w:vAlign w:val="center"/>
            <w:hideMark/>
          </w:tcPr>
          <w:p w14:paraId="73ECB9A0" w14:textId="77777777" w:rsidR="00856F9B" w:rsidRPr="00856F9B" w:rsidRDefault="00856F9B" w:rsidP="00856F9B">
            <w:pPr>
              <w:spacing w:after="0"/>
              <w:rPr>
                <w:rFonts w:ascii="Times New Roman" w:eastAsia="Times New Roman" w:hAnsi="Times New Roman" w:cs="Times New Roman"/>
              </w:rPr>
            </w:pPr>
          </w:p>
        </w:tc>
      </w:tr>
      <w:tr w:rsidR="00856F9B" w:rsidRPr="00856F9B" w14:paraId="1092BD58" w14:textId="77777777">
        <w:trPr>
          <w:gridAfter w:val="1"/>
        </w:trPr>
        <w:tc>
          <w:tcPr>
            <w:tcW w:w="0" w:type="auto"/>
            <w:tcMar>
              <w:top w:w="120" w:type="dxa"/>
              <w:left w:w="0" w:type="dxa"/>
              <w:bottom w:w="120" w:type="dxa"/>
              <w:right w:w="0" w:type="dxa"/>
            </w:tcMar>
            <w:hideMark/>
          </w:tcPr>
          <w:p w14:paraId="441C6670" w14:textId="77777777" w:rsidR="00856F9B" w:rsidRPr="00856F9B" w:rsidRDefault="00856F9B" w:rsidP="00856F9B">
            <w:pPr>
              <w:spacing w:after="0"/>
              <w:rPr>
                <w:rFonts w:ascii="Arial" w:eastAsia="Times New Roman" w:hAnsi="Arial" w:cs="Arial"/>
                <w:color w:val="222222"/>
                <w:sz w:val="20"/>
                <w:szCs w:val="20"/>
              </w:rPr>
            </w:pPr>
            <w:r w:rsidRPr="00856F9B">
              <w:rPr>
                <w:rFonts w:ascii="Arial" w:eastAsia="Times New Roman" w:hAnsi="Arial" w:cs="Arial"/>
                <w:color w:val="222222"/>
                <w:sz w:val="20"/>
                <w:szCs w:val="20"/>
              </w:rPr>
              <w:t>Elliott, K.J., Miniat, C.F., Pederson, N. and Laseter, S.H., 2015. Forest tree growth response to hydroclimate variability in the southern Appalachians. </w:t>
            </w:r>
            <w:r w:rsidRPr="00856F9B">
              <w:rPr>
                <w:rFonts w:ascii="Arial" w:eastAsia="Times New Roman" w:hAnsi="Arial" w:cs="Arial"/>
                <w:i/>
                <w:iCs/>
                <w:color w:val="222222"/>
                <w:sz w:val="20"/>
                <w:szCs w:val="20"/>
              </w:rPr>
              <w:t>Global Change Biology</w:t>
            </w:r>
            <w:r w:rsidRPr="00856F9B">
              <w:rPr>
                <w:rFonts w:ascii="Arial" w:eastAsia="Times New Roman" w:hAnsi="Arial" w:cs="Arial"/>
                <w:color w:val="222222"/>
                <w:sz w:val="20"/>
                <w:szCs w:val="20"/>
              </w:rPr>
              <w:t>, </w:t>
            </w:r>
            <w:r w:rsidRPr="00856F9B">
              <w:rPr>
                <w:rFonts w:ascii="Arial" w:eastAsia="Times New Roman" w:hAnsi="Arial" w:cs="Arial"/>
                <w:i/>
                <w:iCs/>
                <w:color w:val="222222"/>
                <w:sz w:val="20"/>
                <w:szCs w:val="20"/>
              </w:rPr>
              <w:t>21</w:t>
            </w:r>
            <w:r w:rsidRPr="00856F9B">
              <w:rPr>
                <w:rFonts w:ascii="Arial" w:eastAsia="Times New Roman" w:hAnsi="Arial" w:cs="Arial"/>
                <w:color w:val="222222"/>
                <w:sz w:val="20"/>
                <w:szCs w:val="20"/>
              </w:rPr>
              <w:t>(12), pp.4627-4641.</w:t>
            </w:r>
          </w:p>
        </w:tc>
      </w:tr>
      <w:tr w:rsidR="00856F9B" w:rsidRPr="00856F9B" w14:paraId="4A32B8E9" w14:textId="77777777">
        <w:tc>
          <w:tcPr>
            <w:tcW w:w="0" w:type="auto"/>
            <w:noWrap/>
            <w:tcMar>
              <w:top w:w="120" w:type="dxa"/>
              <w:left w:w="0" w:type="dxa"/>
              <w:bottom w:w="120" w:type="dxa"/>
              <w:right w:w="240" w:type="dxa"/>
            </w:tcMar>
            <w:hideMark/>
          </w:tcPr>
          <w:p w14:paraId="68768699" w14:textId="77777777" w:rsidR="00856F9B" w:rsidRPr="00856F9B" w:rsidRDefault="00856F9B" w:rsidP="00856F9B">
            <w:pPr>
              <w:spacing w:after="0"/>
              <w:jc w:val="right"/>
              <w:rPr>
                <w:rFonts w:ascii="Arial" w:eastAsia="Times New Roman" w:hAnsi="Arial" w:cs="Arial"/>
                <w:color w:val="777777"/>
                <w:sz w:val="20"/>
                <w:szCs w:val="20"/>
              </w:rPr>
            </w:pPr>
            <w:r w:rsidRPr="00856F9B">
              <w:rPr>
                <w:rFonts w:ascii="Arial" w:eastAsia="Times New Roman" w:hAnsi="Arial" w:cs="Arial"/>
                <w:color w:val="777777"/>
                <w:sz w:val="20"/>
                <w:szCs w:val="20"/>
              </w:rPr>
              <w:t>Vancouver</w:t>
            </w:r>
          </w:p>
        </w:tc>
        <w:tc>
          <w:tcPr>
            <w:tcW w:w="0" w:type="auto"/>
            <w:tcMar>
              <w:top w:w="120" w:type="dxa"/>
              <w:left w:w="0" w:type="dxa"/>
              <w:bottom w:w="120" w:type="dxa"/>
              <w:right w:w="0" w:type="dxa"/>
            </w:tcMar>
            <w:hideMark/>
          </w:tcPr>
          <w:p w14:paraId="26168D2D" w14:textId="77777777" w:rsidR="00856F9B" w:rsidRPr="00856F9B" w:rsidRDefault="00856F9B" w:rsidP="00856F9B">
            <w:pPr>
              <w:spacing w:after="0"/>
              <w:jc w:val="right"/>
              <w:rPr>
                <w:rFonts w:ascii="Arial" w:eastAsia="Times New Roman" w:hAnsi="Arial" w:cs="Arial"/>
                <w:color w:val="777777"/>
                <w:sz w:val="20"/>
                <w:szCs w:val="20"/>
              </w:rPr>
            </w:pPr>
          </w:p>
        </w:tc>
      </w:tr>
    </w:tbl>
    <w:p w14:paraId="16EC9A04" w14:textId="77777777" w:rsidR="00856F9B" w:rsidRPr="00856F9B" w:rsidRDefault="00856F9B" w:rsidP="00856F9B">
      <w:pPr>
        <w:spacing w:after="0"/>
        <w:rPr>
          <w:rFonts w:ascii="Times New Roman" w:eastAsia="Times New Roman" w:hAnsi="Times New Roman" w:cs="Times New Roman"/>
        </w:rPr>
      </w:pPr>
    </w:p>
    <w:p w14:paraId="57FAF801" w14:textId="77777777" w:rsidR="00856F9B" w:rsidRDefault="00856F9B">
      <w:pPr>
        <w:pStyle w:val="CommentText"/>
        <w:rPr>
          <w:noProof/>
        </w:rPr>
      </w:pPr>
    </w:p>
    <w:p w14:paraId="375ECD92" w14:textId="77777777" w:rsidR="003B028E" w:rsidRPr="003B028E" w:rsidRDefault="003B028E" w:rsidP="003B028E">
      <w:pPr>
        <w:spacing w:after="0"/>
        <w:rPr>
          <w:rFonts w:ascii="Times New Roman" w:eastAsia="Times New Roman" w:hAnsi="Times New Roman" w:cs="Times New Roman"/>
        </w:rPr>
      </w:pPr>
      <w:r w:rsidRPr="003B028E">
        <w:rPr>
          <w:rFonts w:ascii="Arial" w:eastAsia="Times New Roman" w:hAnsi="Arial" w:cs="Arial"/>
          <w:color w:val="222222"/>
          <w:sz w:val="20"/>
          <w:szCs w:val="20"/>
          <w:shd w:val="clear" w:color="auto" w:fill="FFFFFF"/>
        </w:rPr>
        <w:t>Martin</w:t>
      </w:r>
      <w:r w:rsidRPr="003B028E">
        <w:rPr>
          <w:rFonts w:ascii="Cambria Math" w:eastAsia="Times New Roman" w:hAnsi="Cambria Math" w:cs="Cambria Math"/>
          <w:color w:val="222222"/>
          <w:sz w:val="20"/>
          <w:szCs w:val="20"/>
          <w:shd w:val="clear" w:color="auto" w:fill="FFFFFF"/>
        </w:rPr>
        <w:t>‐</w:t>
      </w:r>
      <w:r w:rsidRPr="003B028E">
        <w:rPr>
          <w:rFonts w:ascii="Arial" w:eastAsia="Times New Roman" w:hAnsi="Arial" w:cs="Arial"/>
          <w:color w:val="222222"/>
          <w:sz w:val="20"/>
          <w:szCs w:val="20"/>
          <w:shd w:val="clear" w:color="auto" w:fill="FFFFFF"/>
        </w:rPr>
        <w:t>Benito, D. and Pederson, N., 2015. Convergence in drought stress, but a divergence of climatic drivers across a latitudinal gradient in a temperate broadleaf forest. </w:t>
      </w:r>
      <w:r w:rsidRPr="003B028E">
        <w:rPr>
          <w:rFonts w:ascii="Arial" w:eastAsia="Times New Roman" w:hAnsi="Arial" w:cs="Arial"/>
          <w:i/>
          <w:iCs/>
          <w:color w:val="222222"/>
          <w:sz w:val="20"/>
          <w:szCs w:val="20"/>
        </w:rPr>
        <w:t>Journal of Biogeography</w:t>
      </w:r>
      <w:r w:rsidRPr="003B028E">
        <w:rPr>
          <w:rFonts w:ascii="Arial" w:eastAsia="Times New Roman" w:hAnsi="Arial" w:cs="Arial"/>
          <w:color w:val="222222"/>
          <w:sz w:val="20"/>
          <w:szCs w:val="20"/>
          <w:shd w:val="clear" w:color="auto" w:fill="FFFFFF"/>
        </w:rPr>
        <w:t>, </w:t>
      </w:r>
      <w:r w:rsidRPr="003B028E">
        <w:rPr>
          <w:rFonts w:ascii="Arial" w:eastAsia="Times New Roman" w:hAnsi="Arial" w:cs="Arial"/>
          <w:i/>
          <w:iCs/>
          <w:color w:val="222222"/>
          <w:sz w:val="20"/>
          <w:szCs w:val="20"/>
        </w:rPr>
        <w:t>42</w:t>
      </w:r>
      <w:r w:rsidRPr="003B028E">
        <w:rPr>
          <w:rFonts w:ascii="Arial" w:eastAsia="Times New Roman" w:hAnsi="Arial" w:cs="Arial"/>
          <w:color w:val="222222"/>
          <w:sz w:val="20"/>
          <w:szCs w:val="20"/>
          <w:shd w:val="clear" w:color="auto" w:fill="FFFFFF"/>
        </w:rPr>
        <w:t>(5), pp.925-937.</w:t>
      </w:r>
    </w:p>
    <w:p w14:paraId="4D327C43" w14:textId="3E4E2C01" w:rsidR="00856F9B" w:rsidRDefault="00856F9B">
      <w:pPr>
        <w:pStyle w:val="CommentText"/>
      </w:pPr>
    </w:p>
  </w:comment>
  <w:comment w:id="17" w:author="Alan Tepley" w:date="2019-11-10T16:15:00Z" w:initials="AJT">
    <w:p w14:paraId="194DDA04" w14:textId="72479E11" w:rsidR="00E3331A" w:rsidRDefault="00E3331A">
      <w:pPr>
        <w:pStyle w:val="CommentText"/>
      </w:pPr>
      <w:r>
        <w:rPr>
          <w:rStyle w:val="CommentReference"/>
        </w:rPr>
        <w:annotationRef/>
      </w:r>
      <w:r w:rsidR="00051CDF">
        <w:t xml:space="preserve">Separating species into ring- and diffuse-porous groups </w:t>
      </w:r>
      <w:r w:rsidR="00B52582">
        <w:t>does no</w:t>
      </w:r>
      <w:r w:rsidR="006414B2">
        <w:t>t</w:t>
      </w:r>
      <w:r w:rsidR="00B52582">
        <w:t xml:space="preserve"> </w:t>
      </w:r>
      <w:r w:rsidR="00051CDF">
        <w:t>provide insight beyond broad classes, but t</w:t>
      </w:r>
      <w:r>
        <w:t xml:space="preserve">here is </w:t>
      </w:r>
      <w:r w:rsidR="00051CDF">
        <w:t xml:space="preserve">much </w:t>
      </w:r>
      <w:r>
        <w:t xml:space="preserve">more to xylem architecture than </w:t>
      </w:r>
      <w:r w:rsidR="00711780">
        <w:t xml:space="preserve">ring porosity </w:t>
      </w:r>
      <w:r>
        <w:t xml:space="preserve">(see Roskilly et al. 2019, PNAS). </w:t>
      </w:r>
      <w:r w:rsidR="00051CDF">
        <w:t xml:space="preserve">Maybe revise this sentence to “Separating species </w:t>
      </w:r>
      <w:r w:rsidR="006414B2">
        <w:t>by ring porosity</w:t>
      </w:r>
      <w:r w:rsidR="00051CDF">
        <w:t xml:space="preserve"> provides a first step toward identifying sensitivity, with diffuse-porous species tending to be more sensitive than ring-porous species, but additional insight is needed to better predict sensitivity at species or individual levels.”</w:t>
      </w:r>
    </w:p>
  </w:comment>
  <w:comment w:id="18" w:author="Alan Tepley" w:date="2019-11-10T16:28:00Z" w:initials="AJT">
    <w:p w14:paraId="333C606D" w14:textId="3755B509" w:rsidR="006A632B" w:rsidRDefault="006A632B">
      <w:pPr>
        <w:pStyle w:val="CommentText"/>
      </w:pPr>
      <w:r>
        <w:rPr>
          <w:rStyle w:val="CommentReference"/>
        </w:rPr>
        <w:annotationRef/>
      </w:r>
      <w:r>
        <w:t xml:space="preserve">Percent loss of conductivity (PLC), or the fraction of conductivity lost to embolism, is another relevant metric. </w:t>
      </w:r>
    </w:p>
  </w:comment>
  <w:comment w:id="19" w:author="Alan Tepley" w:date="2019-11-10T16:31:00Z" w:initials="AJT">
    <w:p w14:paraId="2ECB53D1" w14:textId="471F42AF" w:rsidR="00B05F8B" w:rsidRDefault="00B05F8B">
      <w:pPr>
        <w:pStyle w:val="CommentText"/>
      </w:pPr>
      <w:r>
        <w:rPr>
          <w:rStyle w:val="CommentReference"/>
        </w:rPr>
        <w:annotationRef/>
      </w:r>
      <w:r>
        <w:t xml:space="preserve">Maybe clarify that you are referring to field-based studies here. </w:t>
      </w:r>
      <w:r w:rsidR="00D75480">
        <w:t>G</w:t>
      </w:r>
      <w:r>
        <w:t xml:space="preserve">reenhouse studies </w:t>
      </w:r>
      <w:r w:rsidR="00D75480">
        <w:t xml:space="preserve">have </w:t>
      </w:r>
      <w:r>
        <w:t>alter</w:t>
      </w:r>
      <w:r w:rsidR="00D75480">
        <w:t>ed</w:t>
      </w:r>
      <w:r>
        <w:t xml:space="preserve"> different components of droughts (e.g., drought duration</w:t>
      </w:r>
      <w:r w:rsidR="00B52582">
        <w:t xml:space="preserve"> in</w:t>
      </w:r>
      <w:r>
        <w:t xml:space="preserve"> Sapes et al. 2019</w:t>
      </w:r>
      <w:r w:rsidR="0098301A">
        <w:t>,</w:t>
      </w:r>
      <w:r>
        <w:t xml:space="preserve"> Tree Physiology</w:t>
      </w:r>
      <w:r w:rsidR="0098301A">
        <w:t xml:space="preserve">; </w:t>
      </w:r>
      <w:r w:rsidR="00B52582">
        <w:t xml:space="preserve">and </w:t>
      </w:r>
      <w:r w:rsidR="0098301A">
        <w:t>Hammond et al. 2019, New Phytologist), but greenhouse studies usually only use seedlings.</w:t>
      </w:r>
    </w:p>
  </w:comment>
  <w:comment w:id="20" w:author="Alan Tepley" w:date="2019-11-10T16:41:00Z" w:initials="AJT">
    <w:p w14:paraId="55D50766" w14:textId="210279EB" w:rsidR="0098301A" w:rsidRDefault="0098301A">
      <w:pPr>
        <w:pStyle w:val="CommentText"/>
      </w:pPr>
      <w:r>
        <w:rPr>
          <w:rStyle w:val="CommentReference"/>
        </w:rPr>
        <w:annotationRef/>
      </w:r>
      <w:r>
        <w:t>Years to decades?</w:t>
      </w:r>
      <w:r w:rsidR="005D7049">
        <w:t xml:space="preserve"> The intervals between the droughts evaluated here are 11 and 22 years. </w:t>
      </w:r>
    </w:p>
  </w:comment>
  <w:comment w:id="21" w:author="Alan Tepley" w:date="2019-11-10T16:45:00Z" w:initials="AJT">
    <w:p w14:paraId="456594BA" w14:textId="7FE9F0E6" w:rsidR="0098301A" w:rsidRDefault="0098301A">
      <w:pPr>
        <w:pStyle w:val="CommentText"/>
      </w:pPr>
      <w:r>
        <w:rPr>
          <w:rStyle w:val="CommentReference"/>
        </w:rPr>
        <w:annotationRef/>
      </w:r>
      <w:r>
        <w:t xml:space="preserve">Maybe replace “root water access” with “soil-water availability” throughout. The topographic wetness index represents topographically-mediated soil-water availability. Root water access would be a combination </w:t>
      </w:r>
      <w:r w:rsidR="006414B2">
        <w:t>of</w:t>
      </w:r>
      <w:r>
        <w:t xml:space="preserve"> soil-water availability and root structure, but we don’t really know much about root structure </w:t>
      </w:r>
      <w:r w:rsidR="005D7049">
        <w:t>at species or individual levels.</w:t>
      </w:r>
    </w:p>
  </w:comment>
  <w:comment w:id="23" w:author="Alan Tepley" w:date="2019-11-10T16:51:00Z" w:initials="AJT">
    <w:p w14:paraId="224141C3" w14:textId="33C5149A" w:rsidR="00DC2D61" w:rsidRDefault="00DC2D61">
      <w:pPr>
        <w:pStyle w:val="CommentText"/>
      </w:pPr>
      <w:r>
        <w:rPr>
          <w:rStyle w:val="CommentReference"/>
        </w:rPr>
        <w:annotationRef/>
      </w:r>
      <w:r>
        <w:t xml:space="preserve">Clarify that this is only for traits the require destructive sampling. </w:t>
      </w:r>
    </w:p>
  </w:comment>
  <w:comment w:id="24" w:author="Alan Tepley" w:date="2019-11-10T16:52:00Z" w:initials="AJT">
    <w:p w14:paraId="2AB42A4B" w14:textId="07D9EB62" w:rsidR="00DC2D61" w:rsidRDefault="00DC2D61">
      <w:pPr>
        <w:pStyle w:val="CommentText"/>
      </w:pPr>
      <w:r>
        <w:rPr>
          <w:rStyle w:val="CommentReference"/>
        </w:rPr>
        <w:annotationRef/>
      </w:r>
      <w:r>
        <w:t>Maybe it is better not to mention this until you explain how it is calculated.</w:t>
      </w:r>
    </w:p>
  </w:comment>
  <w:comment w:id="25" w:author="Pederson, Neil" w:date="2019-11-15T14:59:00Z" w:initials="PN">
    <w:p w14:paraId="696453DA" w14:textId="642F2D5C" w:rsidR="00627125" w:rsidRDefault="00627125">
      <w:pPr>
        <w:pStyle w:val="CommentText"/>
      </w:pPr>
      <w:r>
        <w:rPr>
          <w:rStyle w:val="CommentReference"/>
        </w:rPr>
        <w:annotationRef/>
      </w:r>
      <w:r>
        <w:t>Cambial growth increment?</w:t>
      </w:r>
    </w:p>
  </w:comment>
  <w:comment w:id="33" w:author="Alan Tepley" w:date="2019-11-10T17:00:00Z" w:initials="AJT">
    <w:p w14:paraId="69BAC895" w14:textId="76CCD8AB" w:rsidR="00E16C13" w:rsidRDefault="00E16C13">
      <w:pPr>
        <w:pStyle w:val="CommentText"/>
      </w:pPr>
      <w:r>
        <w:rPr>
          <w:rStyle w:val="CommentReference"/>
        </w:rPr>
        <w:annotationRef/>
      </w:r>
      <w:r w:rsidR="00B52582">
        <w:t>I assume this is</w:t>
      </w:r>
      <w:r>
        <w:t xml:space="preserve"> only for the cored trees</w:t>
      </w:r>
      <w:r w:rsidR="00B52582">
        <w:t>, not for each tree in the plot. Maybe this needs clarification.</w:t>
      </w:r>
    </w:p>
  </w:comment>
  <w:comment w:id="34" w:author="Alan Tepley" w:date="2019-11-10T16:57:00Z" w:initials="AJT">
    <w:p w14:paraId="4049E4C1" w14:textId="7CF9303E" w:rsidR="00DC2D61" w:rsidRDefault="00DC2D61">
      <w:pPr>
        <w:pStyle w:val="CommentText"/>
      </w:pPr>
      <w:r>
        <w:rPr>
          <w:rStyle w:val="CommentReference"/>
        </w:rPr>
        <w:annotationRef/>
      </w:r>
      <w:r>
        <w:t>“</w:t>
      </w:r>
      <w:r w:rsidR="00B52582">
        <w:t>D</w:t>
      </w:r>
      <w:r>
        <w:t xml:space="preserve">iameter inside bark” might be a more common term for this. </w:t>
      </w:r>
    </w:p>
  </w:comment>
  <w:comment w:id="35" w:author="Pederson, Neil" w:date="2019-11-15T15:00:00Z" w:initials="PN">
    <w:p w14:paraId="6B0B00BF" w14:textId="31B13DEF" w:rsidR="00627125" w:rsidRDefault="00627125">
      <w:pPr>
        <w:pStyle w:val="CommentText"/>
      </w:pPr>
      <w:r>
        <w:rPr>
          <w:rStyle w:val="CommentReference"/>
        </w:rPr>
        <w:annotationRef/>
      </w:r>
      <w:r>
        <w:t>Agree</w:t>
      </w:r>
    </w:p>
  </w:comment>
  <w:comment w:id="36" w:author="Alan Tepley" w:date="2019-11-10T17:03:00Z" w:initials="AJT">
    <w:p w14:paraId="5FC16477" w14:textId="25A4755A" w:rsidR="00E16C13" w:rsidRDefault="00E16C13">
      <w:pPr>
        <w:pStyle w:val="CommentText"/>
      </w:pPr>
      <w:r>
        <w:t>Ground-based/</w:t>
      </w:r>
      <w:r>
        <w:rPr>
          <w:rStyle w:val="CommentReference"/>
        </w:rPr>
        <w:annotationRef/>
      </w:r>
      <w:r>
        <w:t>terrestrial LiDAR?</w:t>
      </w:r>
    </w:p>
  </w:comment>
  <w:comment w:id="37" w:author="Alan Tepley" w:date="2019-11-10T17:04:00Z" w:initials="AJT">
    <w:p w14:paraId="3136BB4A" w14:textId="58B0159E" w:rsidR="00E16C13" w:rsidRDefault="00E16C13">
      <w:pPr>
        <w:pStyle w:val="CommentText"/>
      </w:pPr>
      <w:r>
        <w:rPr>
          <w:rStyle w:val="CommentReference"/>
        </w:rPr>
        <w:annotationRef/>
      </w:r>
      <w:r>
        <w:t xml:space="preserve">Crown position can also change </w:t>
      </w:r>
      <w:r w:rsidR="00B52582">
        <w:t xml:space="preserve">abruptly </w:t>
      </w:r>
      <w:r>
        <w:t xml:space="preserve">due to the death of a neighboring tree. </w:t>
      </w:r>
    </w:p>
  </w:comment>
  <w:comment w:id="38" w:author="Alan Tepley" w:date="2019-11-11T17:54:00Z" w:initials="AJT">
    <w:p w14:paraId="7DB57338" w14:textId="5A6E050F" w:rsidR="00136DB5" w:rsidRDefault="00136DB5">
      <w:pPr>
        <w:pStyle w:val="CommentText"/>
      </w:pPr>
      <w:r>
        <w:rPr>
          <w:rStyle w:val="CommentReference"/>
        </w:rPr>
        <w:annotationRef/>
      </w:r>
      <w:r>
        <w:t>Maybe this could use more explanation. Some of the species (e.g., oaks) have a lot of variation between highly dissected sun leaves and larger shade leaves. Does “sun-exposed branches” mean that only sun leaves were sampled? Was there effort to control for the type</w:t>
      </w:r>
      <w:r w:rsidR="00B52582">
        <w:t xml:space="preserve"> of shoot (determinate vs. indeterminate) or the position of the leaves within the shoot?</w:t>
      </w:r>
    </w:p>
  </w:comment>
  <w:comment w:id="39" w:author="Alan Tepley" w:date="2019-11-10T17:07:00Z" w:initials="AJT">
    <w:p w14:paraId="672E2B25" w14:textId="184DB3A3" w:rsidR="00E16C13" w:rsidRDefault="00E16C13">
      <w:pPr>
        <w:pStyle w:val="CommentText"/>
      </w:pPr>
      <w:r>
        <w:rPr>
          <w:rStyle w:val="CommentReference"/>
        </w:rPr>
        <w:annotationRef/>
      </w:r>
      <w:r>
        <w:t>Two nodes?</w:t>
      </w:r>
    </w:p>
  </w:comment>
  <w:comment w:id="40" w:author="Alan Tepley" w:date="2019-11-11T18:22:00Z" w:initials="AJT">
    <w:p w14:paraId="763A435C" w14:textId="54B124BC" w:rsidR="00B52582" w:rsidRDefault="00B52582">
      <w:pPr>
        <w:pStyle w:val="CommentText"/>
      </w:pPr>
      <w:r>
        <w:rPr>
          <w:rStyle w:val="CommentReference"/>
        </w:rPr>
        <w:annotationRef/>
      </w:r>
      <w:r>
        <w:t xml:space="preserve">I usually see </w:t>
      </w:r>
      <w:r w:rsidR="00BD1B5C">
        <w:t xml:space="preserve">water </w:t>
      </w:r>
      <w:r>
        <w:t>potentials indicated by Ψ</w:t>
      </w:r>
    </w:p>
  </w:comment>
  <w:comment w:id="49" w:author="Alan Tepley" w:date="2019-11-11T17:35:00Z" w:initials="AJT">
    <w:p w14:paraId="62997B0B" w14:textId="1551E21F" w:rsidR="00EE5F67" w:rsidRDefault="00EE5F67">
      <w:pPr>
        <w:pStyle w:val="CommentText"/>
      </w:pPr>
      <w:r>
        <w:rPr>
          <w:rStyle w:val="CommentReference"/>
        </w:rPr>
        <w:annotationRef/>
      </w:r>
      <w:r>
        <w:t>Maybe start a new paragraph here.</w:t>
      </w:r>
    </w:p>
  </w:comment>
  <w:comment w:id="62" w:author="Alan Tepley" w:date="2019-11-11T17:41:00Z" w:initials="AJT">
    <w:p w14:paraId="4160DCAE" w14:textId="61D5BE24" w:rsidR="0033677C" w:rsidRDefault="0033677C">
      <w:pPr>
        <w:pStyle w:val="CommentText"/>
      </w:pPr>
      <w:r>
        <w:rPr>
          <w:rStyle w:val="CommentReference"/>
        </w:rPr>
        <w:annotationRef/>
      </w:r>
      <w:r>
        <w:t xml:space="preserve">Maybe use Rt, as in Lloret et al., so readers don’t get the R confused with a coefficient of determination or a correlation coefficient. </w:t>
      </w:r>
    </w:p>
  </w:comment>
  <w:comment w:id="66" w:author="Alan Tepley" w:date="2019-11-11T18:26:00Z" w:initials="AJT">
    <w:p w14:paraId="3F05A6CA" w14:textId="159768BA" w:rsidR="00CD1521" w:rsidRDefault="00CD1521">
      <w:pPr>
        <w:pStyle w:val="CommentText"/>
      </w:pPr>
      <w:r>
        <w:rPr>
          <w:rStyle w:val="CommentReference"/>
        </w:rPr>
        <w:annotationRef/>
      </w:r>
      <w:r>
        <w:t>Spurious?</w:t>
      </w:r>
    </w:p>
  </w:comment>
  <w:comment w:id="68" w:author="Pederson, Neil" w:date="2019-11-15T15:13:00Z" w:initials="PN">
    <w:p w14:paraId="00F8FF8A" w14:textId="77777777" w:rsidR="00433A3A" w:rsidRPr="00433A3A" w:rsidRDefault="001D4D14" w:rsidP="00433A3A">
      <w:pPr>
        <w:rPr>
          <w:rFonts w:ascii="Times New Roman" w:eastAsia="Times New Roman" w:hAnsi="Times New Roman" w:cs="Times New Roman"/>
        </w:rPr>
      </w:pPr>
      <w:r>
        <w:rPr>
          <w:rStyle w:val="CommentReference"/>
        </w:rPr>
        <w:annotationRef/>
      </w:r>
      <w:r w:rsidR="00433A3A" w:rsidRPr="00433A3A">
        <w:rPr>
          <w:rFonts w:ascii="Arial" w:eastAsia="Times New Roman" w:hAnsi="Arial" w:cs="Arial"/>
          <w:color w:val="222222"/>
          <w:sz w:val="20"/>
          <w:szCs w:val="20"/>
          <w:shd w:val="clear" w:color="auto" w:fill="FFFFFF"/>
        </w:rPr>
        <w:t>Stovall, A.E., Shugart, H. and Yang, X., 2019. Tree height explains mortality risk during an intense drought. </w:t>
      </w:r>
      <w:r w:rsidR="00433A3A" w:rsidRPr="00433A3A">
        <w:rPr>
          <w:rFonts w:ascii="Arial" w:eastAsia="Times New Roman" w:hAnsi="Arial" w:cs="Arial"/>
          <w:i/>
          <w:iCs/>
          <w:color w:val="222222"/>
          <w:sz w:val="20"/>
          <w:szCs w:val="20"/>
        </w:rPr>
        <w:t>Nature communications</w:t>
      </w:r>
      <w:r w:rsidR="00433A3A" w:rsidRPr="00433A3A">
        <w:rPr>
          <w:rFonts w:ascii="Arial" w:eastAsia="Times New Roman" w:hAnsi="Arial" w:cs="Arial"/>
          <w:color w:val="222222"/>
          <w:sz w:val="20"/>
          <w:szCs w:val="20"/>
          <w:shd w:val="clear" w:color="auto" w:fill="FFFFFF"/>
        </w:rPr>
        <w:t>, </w:t>
      </w:r>
      <w:r w:rsidR="00433A3A" w:rsidRPr="00433A3A">
        <w:rPr>
          <w:rFonts w:ascii="Arial" w:eastAsia="Times New Roman" w:hAnsi="Arial" w:cs="Arial"/>
          <w:i/>
          <w:iCs/>
          <w:color w:val="222222"/>
          <w:sz w:val="20"/>
          <w:szCs w:val="20"/>
        </w:rPr>
        <w:t>10</w:t>
      </w:r>
      <w:r w:rsidR="00433A3A" w:rsidRPr="00433A3A">
        <w:rPr>
          <w:rFonts w:ascii="Arial" w:eastAsia="Times New Roman" w:hAnsi="Arial" w:cs="Arial"/>
          <w:color w:val="222222"/>
          <w:sz w:val="20"/>
          <w:szCs w:val="20"/>
          <w:shd w:val="clear" w:color="auto" w:fill="FFFFFF"/>
        </w:rPr>
        <w:t>(1), pp.1-6.</w:t>
      </w:r>
    </w:p>
    <w:p w14:paraId="4EF60C4E" w14:textId="6B700641" w:rsidR="00433A3A" w:rsidRDefault="00433A3A">
      <w:pPr>
        <w:pStyle w:val="CommentText"/>
      </w:pPr>
    </w:p>
    <w:p w14:paraId="340BE0EC" w14:textId="77777777" w:rsidR="00433A3A" w:rsidRDefault="00433A3A">
      <w:pPr>
        <w:pStyle w:val="CommentText"/>
      </w:pPr>
    </w:p>
    <w:p w14:paraId="367797B7" w14:textId="1AC9E253" w:rsidR="001D4D14" w:rsidRDefault="00433A3A">
      <w:pPr>
        <w:pStyle w:val="CommentText"/>
      </w:pPr>
      <w:r>
        <w:t>Follows</w:t>
      </w:r>
      <w:r w:rsidR="001D4D14">
        <w:t xml:space="preserve"> </w:t>
      </w:r>
      <w:r>
        <w:t>D’Arcy law, too…</w:t>
      </w:r>
      <w:r w:rsidR="00A74313">
        <w:t>oh, I see it down farther</w:t>
      </w:r>
    </w:p>
  </w:comment>
  <w:comment w:id="73" w:author="Alan Tepley" w:date="2019-11-11T18:32:00Z" w:initials="AJT">
    <w:p w14:paraId="36EDCBCB" w14:textId="4E16F146" w:rsidR="001D4DB9" w:rsidRDefault="001D4DB9">
      <w:pPr>
        <w:pStyle w:val="CommentText"/>
      </w:pPr>
      <w:r>
        <w:rPr>
          <w:rStyle w:val="CommentReference"/>
        </w:rPr>
        <w:annotationRef/>
      </w:r>
      <w:r>
        <w:t>Does this assume that trees in wetter microsites have a limited volume available for their roots due to a high water table? Does a lower water table in drier topographic positions necessarily mean that a tree’s roots will fill all of the volume available?</w:t>
      </w:r>
    </w:p>
  </w:comment>
  <w:comment w:id="76" w:author="Pederson, Neil" w:date="2019-11-15T15:24:00Z" w:initials="PN">
    <w:p w14:paraId="43F16DAA" w14:textId="77777777" w:rsidR="00AE6DF1" w:rsidRDefault="00AE6DF1">
      <w:pPr>
        <w:pStyle w:val="CommentText"/>
      </w:pPr>
      <w:r>
        <w:rPr>
          <w:rStyle w:val="CommentReference"/>
        </w:rPr>
        <w:annotationRef/>
      </w:r>
      <w:r>
        <w:t>The lead up to each drought would seem to matter…dry prior to 1966, wetter leading up to the latter droughts.</w:t>
      </w:r>
    </w:p>
    <w:p w14:paraId="07E085A3" w14:textId="26041807" w:rsidR="00AE6DF1" w:rsidRDefault="00AE6DF1">
      <w:pPr>
        <w:pStyle w:val="CommentText"/>
      </w:pPr>
    </w:p>
  </w:comment>
  <w:comment w:id="79" w:author="Pederson, Neil" w:date="2019-11-15T15:37:00Z" w:initials="PN">
    <w:p w14:paraId="0F2EFAFC" w14:textId="77777777" w:rsidR="00BB64CA" w:rsidRDefault="00BB64CA">
      <w:pPr>
        <w:pStyle w:val="CommentText"/>
      </w:pPr>
      <w:r>
        <w:rPr>
          <w:rStyle w:val="CommentReference"/>
        </w:rPr>
        <w:annotationRef/>
      </w:r>
      <w:r>
        <w:t xml:space="preserve">There might have been some selection, too, following the 1960s drought….maybe….don’t have a report from that region, but just north of there tree mortality with the 1960s drought. </w:t>
      </w:r>
    </w:p>
    <w:p w14:paraId="1DAEB841" w14:textId="43845A78" w:rsidR="00BB64CA" w:rsidRDefault="00BB64CA">
      <w:pPr>
        <w:pStyle w:val="CommentText"/>
      </w:pPr>
    </w:p>
    <w:p w14:paraId="66A462F4" w14:textId="77777777" w:rsidR="00BB64CA" w:rsidRPr="00BB64CA" w:rsidRDefault="00BB64CA" w:rsidP="00BB64CA">
      <w:pPr>
        <w:spacing w:after="0"/>
        <w:rPr>
          <w:rFonts w:ascii="Times New Roman" w:eastAsia="Times New Roman" w:hAnsi="Times New Roman" w:cs="Times New Roman"/>
        </w:rPr>
      </w:pPr>
      <w:r w:rsidRPr="00BB64CA">
        <w:rPr>
          <w:rFonts w:ascii="Arial" w:eastAsia="Times New Roman" w:hAnsi="Arial" w:cs="Arial"/>
          <w:color w:val="222222"/>
          <w:sz w:val="20"/>
          <w:szCs w:val="20"/>
          <w:shd w:val="clear" w:color="auto" w:fill="FFFFFF"/>
        </w:rPr>
        <w:t>Druckenbrod, D.L., Martin</w:t>
      </w:r>
      <w:r w:rsidRPr="00BB64CA">
        <w:rPr>
          <w:rFonts w:ascii="Cambria Math" w:eastAsia="Times New Roman" w:hAnsi="Cambria Math" w:cs="Cambria Math"/>
          <w:color w:val="222222"/>
          <w:sz w:val="20"/>
          <w:szCs w:val="20"/>
          <w:shd w:val="clear" w:color="auto" w:fill="FFFFFF"/>
        </w:rPr>
        <w:t>‐</w:t>
      </w:r>
      <w:r w:rsidRPr="00BB64CA">
        <w:rPr>
          <w:rFonts w:ascii="Arial" w:eastAsia="Times New Roman" w:hAnsi="Arial" w:cs="Arial"/>
          <w:color w:val="222222"/>
          <w:sz w:val="20"/>
          <w:szCs w:val="20"/>
          <w:shd w:val="clear" w:color="auto" w:fill="FFFFFF"/>
        </w:rPr>
        <w:t>Benito, D., Orwig, D.A., Pederson, N., Poulter, B., Renwick, K.M. and Shugart, H.H., 2019. Redefining temperate forest responses to climate and disturbance in the eastern United States: New insights at the mesoscale. </w:t>
      </w:r>
      <w:r w:rsidRPr="00BB64CA">
        <w:rPr>
          <w:rFonts w:ascii="Arial" w:eastAsia="Times New Roman" w:hAnsi="Arial" w:cs="Arial"/>
          <w:i/>
          <w:iCs/>
          <w:color w:val="222222"/>
          <w:sz w:val="20"/>
          <w:szCs w:val="20"/>
        </w:rPr>
        <w:t>Global Ecology and Biogeography</w:t>
      </w:r>
      <w:r w:rsidRPr="00BB64CA">
        <w:rPr>
          <w:rFonts w:ascii="Arial" w:eastAsia="Times New Roman" w:hAnsi="Arial" w:cs="Arial"/>
          <w:color w:val="222222"/>
          <w:sz w:val="20"/>
          <w:szCs w:val="20"/>
          <w:shd w:val="clear" w:color="auto" w:fill="FFFFFF"/>
        </w:rPr>
        <w:t>, </w:t>
      </w:r>
      <w:r w:rsidRPr="00BB64CA">
        <w:rPr>
          <w:rFonts w:ascii="Arial" w:eastAsia="Times New Roman" w:hAnsi="Arial" w:cs="Arial"/>
          <w:i/>
          <w:iCs/>
          <w:color w:val="222222"/>
          <w:sz w:val="20"/>
          <w:szCs w:val="20"/>
        </w:rPr>
        <w:t>28</w:t>
      </w:r>
      <w:r w:rsidRPr="00BB64CA">
        <w:rPr>
          <w:rFonts w:ascii="Arial" w:eastAsia="Times New Roman" w:hAnsi="Arial" w:cs="Arial"/>
          <w:color w:val="222222"/>
          <w:sz w:val="20"/>
          <w:szCs w:val="20"/>
          <w:shd w:val="clear" w:color="auto" w:fill="FFFFFF"/>
        </w:rPr>
        <w:t>(5), pp.557-575.</w:t>
      </w:r>
    </w:p>
    <w:p w14:paraId="478F75C0" w14:textId="77777777" w:rsidR="00BB64CA" w:rsidRDefault="00BB64CA">
      <w:pPr>
        <w:pStyle w:val="CommentText"/>
      </w:pPr>
    </w:p>
    <w:p w14:paraId="70E68D4F" w14:textId="185F5E3B" w:rsidR="00BB64CA" w:rsidRDefault="00BB64CA">
      <w:pPr>
        <w:pStyle w:val="CommentText"/>
      </w:pPr>
      <w:r>
        <w:t>Maybe more adaptation leading up to the 1960s drought due to prolonged drought?</w:t>
      </w:r>
    </w:p>
  </w:comment>
  <w:comment w:id="78" w:author="Alan Tepley" w:date="2019-11-11T18:43:00Z" w:initials="AJT">
    <w:p w14:paraId="3BBC0495" w14:textId="2B9FA1B8" w:rsidR="0079575C" w:rsidRDefault="0079575C">
      <w:pPr>
        <w:pStyle w:val="CommentText"/>
      </w:pPr>
      <w:r>
        <w:rPr>
          <w:rStyle w:val="CommentReference"/>
        </w:rPr>
        <w:annotationRef/>
      </w:r>
      <w:r>
        <w:t>At least when not coupled with other disturbances.</w:t>
      </w:r>
    </w:p>
  </w:comment>
  <w:comment w:id="80" w:author="Pederson, Neil" w:date="2019-11-15T15:41:00Z" w:initials="PN">
    <w:p w14:paraId="5089019E" w14:textId="291B38E4" w:rsidR="00BB64CA" w:rsidRDefault="00BB64CA">
      <w:pPr>
        <w:pStyle w:val="CommentText"/>
      </w:pPr>
      <w:r>
        <w:rPr>
          <w:rStyle w:val="CommentReference"/>
        </w:rPr>
        <w:annotationRef/>
      </w:r>
      <w:r>
        <w:t>Changes in tree density around some trees due to mortality or big crown dieback?</w:t>
      </w:r>
    </w:p>
  </w:comment>
  <w:comment w:id="81" w:author="Pederson, Neil" w:date="2019-11-15T15:44:00Z" w:initials="PN">
    <w:p w14:paraId="14069C1C" w14:textId="77777777" w:rsidR="002104B2" w:rsidRDefault="002104B2">
      <w:pPr>
        <w:pStyle w:val="CommentText"/>
      </w:pPr>
      <w:r>
        <w:rPr>
          <w:rStyle w:val="CommentReference"/>
        </w:rPr>
        <w:annotationRef/>
      </w:r>
      <w:r>
        <w:t xml:space="preserve">From BAI? Jane Foster has a nice paper showing tree size is important in overall growth. The removing that trend, via standardization, might show a more consistent result. Doesn’t change what you say here, but gives more nuance. </w:t>
      </w:r>
    </w:p>
    <w:p w14:paraId="71FC4F74" w14:textId="77777777" w:rsidR="002104B2" w:rsidRDefault="002104B2">
      <w:pPr>
        <w:pStyle w:val="CommentText"/>
      </w:pPr>
    </w:p>
    <w:p w14:paraId="03818C43" w14:textId="3A2BCA8D" w:rsidR="002104B2" w:rsidRDefault="002104B2">
      <w:pPr>
        <w:pStyle w:val="CommentText"/>
      </w:pPr>
      <w:r>
        <w:t>I understand using BAI, but it might somewhat mask impact of growth annually and interannually.</w:t>
      </w:r>
    </w:p>
  </w:comment>
  <w:comment w:id="82" w:author="Alan Tepley" w:date="2019-11-11T18:44:00Z" w:initials="AJT">
    <w:p w14:paraId="260BE4BD" w14:textId="71049BDC" w:rsidR="0079575C" w:rsidRDefault="0079575C">
      <w:pPr>
        <w:pStyle w:val="CommentText"/>
      </w:pPr>
      <w:r>
        <w:rPr>
          <w:rStyle w:val="CommentReference"/>
        </w:rPr>
        <w:annotationRef/>
      </w:r>
      <w:r>
        <w:t>Prior to 2008</w:t>
      </w:r>
    </w:p>
  </w:comment>
  <w:comment w:id="83" w:author="Pederson, Neil" w:date="2019-11-15T15:42:00Z" w:initials="PN">
    <w:p w14:paraId="1F59BD1C" w14:textId="77777777" w:rsidR="00DC47E7" w:rsidRDefault="00DC47E7">
      <w:pPr>
        <w:pStyle w:val="CommentText"/>
      </w:pPr>
      <w:r>
        <w:rPr>
          <w:rStyle w:val="CommentReference"/>
        </w:rPr>
        <w:annotationRef/>
      </w:r>
      <w:r>
        <w:t xml:space="preserve"> multiannual drought events more likely to kill trees, </w:t>
      </w:r>
    </w:p>
    <w:p w14:paraId="560B4808" w14:textId="77777777" w:rsidR="00DC47E7" w:rsidRDefault="00DC47E7">
      <w:pPr>
        <w:pStyle w:val="CommentText"/>
      </w:pPr>
    </w:p>
    <w:p w14:paraId="799C14A6" w14:textId="77777777" w:rsidR="00DC47E7" w:rsidRDefault="00DC47E7">
      <w:pPr>
        <w:pStyle w:val="CommentText"/>
      </w:pPr>
      <w:r>
        <w:t>see Druckenbrod paper above, but also:</w:t>
      </w:r>
    </w:p>
    <w:p w14:paraId="6EA3CC46" w14:textId="77777777" w:rsidR="00DC47E7" w:rsidRDefault="00DC47E7">
      <w:pPr>
        <w:pStyle w:val="CommentText"/>
      </w:pPr>
    </w:p>
    <w:p w14:paraId="7622BDE2" w14:textId="77777777" w:rsidR="00DC47E7" w:rsidRPr="00DC47E7" w:rsidRDefault="00DC47E7" w:rsidP="00DC47E7">
      <w:pPr>
        <w:spacing w:after="0"/>
        <w:rPr>
          <w:rFonts w:ascii="Times New Roman" w:eastAsia="Times New Roman" w:hAnsi="Times New Roman" w:cs="Times New Roman"/>
        </w:rPr>
      </w:pPr>
      <w:r w:rsidRPr="00DC47E7">
        <w:rPr>
          <w:rFonts w:ascii="Arial" w:eastAsia="Times New Roman" w:hAnsi="Arial" w:cs="Arial"/>
          <w:color w:val="222222"/>
          <w:sz w:val="20"/>
          <w:szCs w:val="20"/>
          <w:shd w:val="clear" w:color="auto" w:fill="FFFFFF"/>
        </w:rPr>
        <w:t>Berdanier, A.B. and Clark, J.S., 2016. Multiyear drought</w:t>
      </w:r>
      <w:r w:rsidRPr="00DC47E7">
        <w:rPr>
          <w:rFonts w:ascii="Cambria Math" w:eastAsia="Times New Roman" w:hAnsi="Cambria Math" w:cs="Cambria Math"/>
          <w:color w:val="222222"/>
          <w:sz w:val="20"/>
          <w:szCs w:val="20"/>
          <w:shd w:val="clear" w:color="auto" w:fill="FFFFFF"/>
        </w:rPr>
        <w:t>‐</w:t>
      </w:r>
      <w:r w:rsidRPr="00DC47E7">
        <w:rPr>
          <w:rFonts w:ascii="Arial" w:eastAsia="Times New Roman" w:hAnsi="Arial" w:cs="Arial"/>
          <w:color w:val="222222"/>
          <w:sz w:val="20"/>
          <w:szCs w:val="20"/>
          <w:shd w:val="clear" w:color="auto" w:fill="FFFFFF"/>
        </w:rPr>
        <w:t>induced morbidity preceding tree death in southeastern US forests. </w:t>
      </w:r>
      <w:r w:rsidRPr="00DC47E7">
        <w:rPr>
          <w:rFonts w:ascii="Arial" w:eastAsia="Times New Roman" w:hAnsi="Arial" w:cs="Arial"/>
          <w:i/>
          <w:iCs/>
          <w:color w:val="222222"/>
          <w:sz w:val="20"/>
          <w:szCs w:val="20"/>
        </w:rPr>
        <w:t>Ecological Applications</w:t>
      </w:r>
      <w:r w:rsidRPr="00DC47E7">
        <w:rPr>
          <w:rFonts w:ascii="Arial" w:eastAsia="Times New Roman" w:hAnsi="Arial" w:cs="Arial"/>
          <w:color w:val="222222"/>
          <w:sz w:val="20"/>
          <w:szCs w:val="20"/>
          <w:shd w:val="clear" w:color="auto" w:fill="FFFFFF"/>
        </w:rPr>
        <w:t>, </w:t>
      </w:r>
      <w:r w:rsidRPr="00DC47E7">
        <w:rPr>
          <w:rFonts w:ascii="Arial" w:eastAsia="Times New Roman" w:hAnsi="Arial" w:cs="Arial"/>
          <w:i/>
          <w:iCs/>
          <w:color w:val="222222"/>
          <w:sz w:val="20"/>
          <w:szCs w:val="20"/>
        </w:rPr>
        <w:t>26</w:t>
      </w:r>
      <w:r w:rsidRPr="00DC47E7">
        <w:rPr>
          <w:rFonts w:ascii="Arial" w:eastAsia="Times New Roman" w:hAnsi="Arial" w:cs="Arial"/>
          <w:color w:val="222222"/>
          <w:sz w:val="20"/>
          <w:szCs w:val="20"/>
          <w:shd w:val="clear" w:color="auto" w:fill="FFFFFF"/>
        </w:rPr>
        <w:t>(1), pp.17-23.</w:t>
      </w:r>
    </w:p>
    <w:p w14:paraId="291F715B" w14:textId="5AC91126" w:rsidR="00DC47E7" w:rsidRDefault="00DC47E7">
      <w:pPr>
        <w:pStyle w:val="CommentText"/>
      </w:pPr>
    </w:p>
  </w:comment>
  <w:comment w:id="84" w:author="Pederson, Neil" w:date="2019-11-15T15:46:00Z" w:initials="PN">
    <w:p w14:paraId="0CF98A28" w14:textId="77777777" w:rsidR="000953DC" w:rsidRDefault="000953DC">
      <w:pPr>
        <w:pStyle w:val="CommentText"/>
      </w:pPr>
      <w:r>
        <w:rPr>
          <w:rStyle w:val="CommentReference"/>
        </w:rPr>
        <w:annotationRef/>
      </w:r>
      <w:r>
        <w:t>Only one multiannual, which seems to matter more in this region.</w:t>
      </w:r>
      <w:r w:rsidR="004B1F39">
        <w:t xml:space="preserve"> This is an important distinction.</w:t>
      </w:r>
    </w:p>
    <w:p w14:paraId="1B859AB3" w14:textId="77777777" w:rsidR="004B1F39" w:rsidRDefault="004B1F39">
      <w:pPr>
        <w:pStyle w:val="CommentText"/>
      </w:pPr>
    </w:p>
    <w:p w14:paraId="32BA2684" w14:textId="77777777" w:rsidR="004B1F39" w:rsidRDefault="004B1F39">
      <w:pPr>
        <w:pStyle w:val="CommentText"/>
      </w:pPr>
      <w:r>
        <w:t xml:space="preserve">Further, the drought killing trees in the western US is bordering on megadrought status – 10 years or so of drought, with increased max temps. </w:t>
      </w:r>
    </w:p>
    <w:p w14:paraId="682D66EB" w14:textId="77777777" w:rsidR="004B1F39" w:rsidRDefault="004B1F39">
      <w:pPr>
        <w:pStyle w:val="CommentText"/>
      </w:pPr>
    </w:p>
    <w:p w14:paraId="3BC5EAB3" w14:textId="77777777" w:rsidR="004B1F39" w:rsidRDefault="004B1F39">
      <w:pPr>
        <w:pStyle w:val="CommentText"/>
      </w:pPr>
      <w:r>
        <w:t>I’d write something more nuanced here. Other than the 1960s drought in the NE and maybe 1980s drought in deeper south, and more recent droughts in SW portion of the eastern US, and 2010s in the CT region (where trees died due to gypsy moth and, I’d say, prolonged, severe drought), severe multiannual droughts have been lacking. See Clark et al. 2016:</w:t>
      </w:r>
    </w:p>
    <w:p w14:paraId="7AAB95D5" w14:textId="77777777" w:rsidR="004B1F39" w:rsidRDefault="004B1F39">
      <w:pPr>
        <w:pStyle w:val="CommentText"/>
      </w:pPr>
    </w:p>
    <w:p w14:paraId="059F7EA9" w14:textId="77777777" w:rsidR="004B1F39" w:rsidRPr="004B1F39" w:rsidRDefault="004B1F39" w:rsidP="004B1F39">
      <w:pPr>
        <w:spacing w:after="0"/>
        <w:rPr>
          <w:rFonts w:ascii="Times New Roman" w:eastAsia="Times New Roman" w:hAnsi="Times New Roman" w:cs="Times New Roman"/>
        </w:rPr>
      </w:pPr>
      <w:r w:rsidRPr="004B1F39">
        <w:rPr>
          <w:rFonts w:ascii="Arial" w:eastAsia="Times New Roman" w:hAnsi="Arial" w:cs="Arial"/>
          <w:color w:val="222222"/>
          <w:sz w:val="20"/>
          <w:szCs w:val="20"/>
          <w:shd w:val="clear" w:color="auto" w:fill="FFFFFF"/>
        </w:rPr>
        <w:t>Clark, J.S., Iverson, L., Woodall, C.W., Allen, C.D., Bell, D.M., Bragg, D.C., D'Amato, A.W., Davis, F.W., Hersh, M.H., Ibanez, I. and Jackson, S.T., 2016. The impacts of increasing drought on forest dynamics, structure, and biodiversity in the United States. </w:t>
      </w:r>
      <w:r w:rsidRPr="004B1F39">
        <w:rPr>
          <w:rFonts w:ascii="Arial" w:eastAsia="Times New Roman" w:hAnsi="Arial" w:cs="Arial"/>
          <w:i/>
          <w:iCs/>
          <w:color w:val="222222"/>
          <w:sz w:val="20"/>
          <w:szCs w:val="20"/>
        </w:rPr>
        <w:t>Global Change Biology</w:t>
      </w:r>
      <w:r w:rsidRPr="004B1F39">
        <w:rPr>
          <w:rFonts w:ascii="Arial" w:eastAsia="Times New Roman" w:hAnsi="Arial" w:cs="Arial"/>
          <w:color w:val="222222"/>
          <w:sz w:val="20"/>
          <w:szCs w:val="20"/>
          <w:shd w:val="clear" w:color="auto" w:fill="FFFFFF"/>
        </w:rPr>
        <w:t>, </w:t>
      </w:r>
      <w:r w:rsidRPr="004B1F39">
        <w:rPr>
          <w:rFonts w:ascii="Arial" w:eastAsia="Times New Roman" w:hAnsi="Arial" w:cs="Arial"/>
          <w:i/>
          <w:iCs/>
          <w:color w:val="222222"/>
          <w:sz w:val="20"/>
          <w:szCs w:val="20"/>
        </w:rPr>
        <w:t>22</w:t>
      </w:r>
      <w:r w:rsidRPr="004B1F39">
        <w:rPr>
          <w:rFonts w:ascii="Arial" w:eastAsia="Times New Roman" w:hAnsi="Arial" w:cs="Arial"/>
          <w:color w:val="222222"/>
          <w:sz w:val="20"/>
          <w:szCs w:val="20"/>
          <w:shd w:val="clear" w:color="auto" w:fill="FFFFFF"/>
        </w:rPr>
        <w:t>(7), pp.2329-2352.</w:t>
      </w:r>
    </w:p>
    <w:p w14:paraId="0F45E666" w14:textId="77777777" w:rsidR="004B1F39" w:rsidRDefault="004B1F39">
      <w:pPr>
        <w:pStyle w:val="CommentText"/>
      </w:pPr>
    </w:p>
    <w:p w14:paraId="748381EB" w14:textId="536504C6" w:rsidR="004B1F39" w:rsidRDefault="004B1F39">
      <w:pPr>
        <w:pStyle w:val="CommentText"/>
      </w:pPr>
      <w:r>
        <w:t>I’d make it clear we’ve not yet seen these forests under the kind of droughts out west. We summarize that in the Clark paper.</w:t>
      </w:r>
    </w:p>
  </w:comment>
  <w:comment w:id="86" w:author="Alan Tepley" w:date="2019-11-11T18:46:00Z" w:initials="AJT">
    <w:p w14:paraId="58670383" w14:textId="535863DE" w:rsidR="0079575C" w:rsidRDefault="0079575C">
      <w:pPr>
        <w:pStyle w:val="CommentText"/>
      </w:pPr>
      <w:r>
        <w:rPr>
          <w:rStyle w:val="CommentReference"/>
        </w:rPr>
        <w:annotationRef/>
      </w:r>
      <w:r>
        <w:t xml:space="preserve">This could use a citation. Maybe Stovall et al. 2019. </w:t>
      </w:r>
    </w:p>
  </w:comment>
  <w:comment w:id="87" w:author="Alan Tepley" w:date="2019-11-11T18:48:00Z" w:initials="AJT">
    <w:p w14:paraId="00FC1232" w14:textId="517FEAB5" w:rsidR="0079575C" w:rsidRDefault="0079575C">
      <w:pPr>
        <w:pStyle w:val="CommentText"/>
      </w:pPr>
      <w:r>
        <w:rPr>
          <w:rStyle w:val="CommentReference"/>
        </w:rPr>
        <w:annotationRef/>
      </w:r>
      <w:r>
        <w:t xml:space="preserve">There may also be tradeoffs: traits conducive to efficient water transport may also lead to poor ability to recover from/re-route water around embolisms, at least in ponderosa pine (Roskilly et al. 2019). </w:t>
      </w:r>
    </w:p>
  </w:comment>
  <w:comment w:id="89" w:author="Alan Tepley" w:date="2019-11-11T18:51:00Z" w:initials="AJT">
    <w:p w14:paraId="3145A381" w14:textId="6E410F25" w:rsidR="0079575C" w:rsidRDefault="0079575C">
      <w:pPr>
        <w:pStyle w:val="CommentText"/>
      </w:pPr>
      <w:r>
        <w:rPr>
          <w:rStyle w:val="CommentReference"/>
        </w:rPr>
        <w:annotationRef/>
      </w:r>
      <w:r>
        <w:t>?</w:t>
      </w:r>
    </w:p>
  </w:comment>
  <w:comment w:id="94" w:author="Alan Tepley" w:date="2019-11-11T18:53:00Z" w:initials="AJT">
    <w:p w14:paraId="211E523D" w14:textId="5E824CCA" w:rsidR="00FB3979" w:rsidRDefault="00FB3979">
      <w:pPr>
        <w:pStyle w:val="CommentText"/>
      </w:pPr>
      <w:r>
        <w:rPr>
          <w:rStyle w:val="CommentReference"/>
        </w:rPr>
        <w:annotationRef/>
      </w:r>
      <w:r>
        <w:t xml:space="preserve">Start a new paragraph here. </w:t>
      </w:r>
    </w:p>
  </w:comment>
  <w:comment w:id="95" w:author="Alan Tepley" w:date="2019-11-11T18:55:00Z" w:initials="AJT">
    <w:p w14:paraId="47C8D380" w14:textId="27EF4DF7" w:rsidR="00FB3979" w:rsidRDefault="00FB3979">
      <w:pPr>
        <w:pStyle w:val="CommentText"/>
      </w:pPr>
      <w:r>
        <w:rPr>
          <w:rStyle w:val="CommentReference"/>
        </w:rPr>
        <w:annotationRef/>
      </w:r>
      <w:r>
        <w:t xml:space="preserve">I’m not sure if this is necessarily true for suppressed tuliptree, if there were any in the dataset. </w:t>
      </w:r>
      <w:r w:rsidR="00711780">
        <w:t xml:space="preserve">Maybe it would be worth taking a quick look at a plot of individual raw tree-ring series to see if there were trees that had fast growth when young but then slowed down and continued to maintain slow growth to present. </w:t>
      </w:r>
    </w:p>
  </w:comment>
  <w:comment w:id="96" w:author="Alan Tepley" w:date="2019-11-11T18:57:00Z" w:initials="AJT">
    <w:p w14:paraId="58C2BC53" w14:textId="77777777" w:rsidR="00FB3979" w:rsidRDefault="00FB3979">
      <w:pPr>
        <w:pStyle w:val="CommentText"/>
      </w:pPr>
      <w:r>
        <w:rPr>
          <w:rStyle w:val="CommentReference"/>
        </w:rPr>
        <w:annotationRef/>
      </w:r>
      <w:r>
        <w:t>If you want to revise the sentence to suggest that reductions/removal of competition can enhance resistance to drought, there are many references.</w:t>
      </w:r>
    </w:p>
    <w:p w14:paraId="70A48384" w14:textId="77777777" w:rsidR="00FB3979" w:rsidRDefault="00FB3979">
      <w:pPr>
        <w:pStyle w:val="CommentText"/>
      </w:pPr>
    </w:p>
    <w:p w14:paraId="334C2AC4" w14:textId="77777777" w:rsidR="00FB3979" w:rsidRDefault="00FB3979">
      <w:pPr>
        <w:pStyle w:val="CommentText"/>
      </w:pPr>
      <w:r>
        <w:t>Sohn, J. A., S. Somidh, and J. Bauhus. 2016. Potential of forest thinning to mitigate drought stress: A meta-analysis. Forest Ecology and Management 380:261-273.</w:t>
      </w:r>
    </w:p>
    <w:p w14:paraId="13A4BDF3" w14:textId="77777777" w:rsidR="00FB3979" w:rsidRDefault="00FB3979">
      <w:pPr>
        <w:pStyle w:val="CommentText"/>
      </w:pPr>
    </w:p>
    <w:p w14:paraId="41E36A9B" w14:textId="77777777" w:rsidR="00FB3979" w:rsidRDefault="00FB3979">
      <w:pPr>
        <w:pStyle w:val="CommentText"/>
      </w:pPr>
      <w:r>
        <w:t>Elkin, C. A. Giuggiola, A. Rigling, and H. Bugmann. 2015. Short- and long-term efficacy of forest thinning to mitigate drought impacts in mountain forests in the European Alps. Ecological Applications 25:1083-1098.</w:t>
      </w:r>
    </w:p>
    <w:p w14:paraId="0A9C8E78" w14:textId="77777777" w:rsidR="00FB3979" w:rsidRDefault="00FB3979">
      <w:pPr>
        <w:pStyle w:val="CommentText"/>
      </w:pPr>
    </w:p>
    <w:p w14:paraId="2E2726EA" w14:textId="77777777" w:rsidR="00FB3979" w:rsidRDefault="00FB3979">
      <w:pPr>
        <w:pStyle w:val="CommentText"/>
      </w:pPr>
      <w:r>
        <w:t xml:space="preserve">D’Amato, A. W., J. B, Bradford, S. Fraver, and B. J. Palik. 2013. Effects of thinning on drought vulnerability and climate response in north temperate forest ecosystems. Ecological Applications 23:1735-1742. </w:t>
      </w:r>
    </w:p>
    <w:p w14:paraId="1330D022" w14:textId="77777777" w:rsidR="00A04F3A" w:rsidRDefault="00A04F3A">
      <w:pPr>
        <w:pStyle w:val="CommentText"/>
      </w:pPr>
    </w:p>
    <w:p w14:paraId="081F1990" w14:textId="77777777" w:rsidR="00A04F3A" w:rsidRDefault="00A04F3A">
      <w:pPr>
        <w:pStyle w:val="CommentText"/>
      </w:pPr>
      <w:r>
        <w:t>Bottero, A., A. W. D’Amato, B. J Palik, J. B. Bradford, S. Fraver, M. A. Battaglia, and L. A. Asherin. 2017. Density-dependent vulnerability of forest ecosystems to drought. Journal of Applied Ecology 54:1605-1614.</w:t>
      </w:r>
    </w:p>
    <w:p w14:paraId="0C5E6829" w14:textId="77777777" w:rsidR="002D66DC" w:rsidRDefault="002D66DC">
      <w:pPr>
        <w:pStyle w:val="CommentText"/>
      </w:pPr>
    </w:p>
    <w:p w14:paraId="1EE148BF" w14:textId="02400A27" w:rsidR="002D66DC" w:rsidRDefault="002D66DC">
      <w:pPr>
        <w:pStyle w:val="CommentText"/>
      </w:pPr>
      <w:r>
        <w:t>Gleason, K. E., J. B. Bradford, A. Bottero, A. W. D’Amato, S. Fraver, B. J Palik, M. A. Battaglia, Louis Iverson, L. Kenefic, and C. C. Kern. 2017. Competition amplifies drought stress in forest across broad climatic and compositional gradients. Ecosphere 8:e01849.</w:t>
      </w:r>
    </w:p>
  </w:comment>
  <w:comment w:id="97" w:author="Pederson, Neil" w:date="2019-11-15T15:54:00Z" w:initials="PN">
    <w:p w14:paraId="5B5EA504" w14:textId="3E112D7A" w:rsidR="003B0171" w:rsidRDefault="003B0171">
      <w:pPr>
        <w:pStyle w:val="CommentText"/>
      </w:pPr>
      <w:r>
        <w:rPr>
          <w:rStyle w:val="CommentReference"/>
        </w:rPr>
        <w:annotationRef/>
      </w:r>
      <w:r>
        <w:t>Two earlier ones:</w:t>
      </w:r>
    </w:p>
    <w:p w14:paraId="453FB20F" w14:textId="77777777" w:rsidR="003B0171" w:rsidRDefault="003B0171">
      <w:pPr>
        <w:pStyle w:val="CommentText"/>
      </w:pPr>
    </w:p>
    <w:p w14:paraId="00BC339B" w14:textId="77777777" w:rsidR="003B0171" w:rsidRPr="003B0171" w:rsidRDefault="003B0171" w:rsidP="003B0171">
      <w:pPr>
        <w:spacing w:after="0"/>
        <w:rPr>
          <w:rFonts w:ascii="Times New Roman" w:eastAsia="Times New Roman" w:hAnsi="Times New Roman" w:cs="Times New Roman"/>
        </w:rPr>
      </w:pPr>
      <w:r w:rsidRPr="003B0171">
        <w:rPr>
          <w:rFonts w:ascii="Arial" w:eastAsia="Times New Roman" w:hAnsi="Arial" w:cs="Arial"/>
          <w:color w:val="222222"/>
          <w:sz w:val="20"/>
          <w:szCs w:val="20"/>
          <w:shd w:val="clear" w:color="auto" w:fill="FFFFFF"/>
        </w:rPr>
        <w:t>Martín-Benito, D., Del Río, M., Heinrich, I., Helle, G. and Canellas, I., 2010. Response of climate-growth relationships and water use efficiency to thinning in a Pinus nigra afforestation. </w:t>
      </w:r>
      <w:r w:rsidRPr="003B0171">
        <w:rPr>
          <w:rFonts w:ascii="Arial" w:eastAsia="Times New Roman" w:hAnsi="Arial" w:cs="Arial"/>
          <w:i/>
          <w:iCs/>
          <w:color w:val="222222"/>
          <w:sz w:val="20"/>
          <w:szCs w:val="20"/>
        </w:rPr>
        <w:t>Forest Ecology and Management</w:t>
      </w:r>
      <w:r w:rsidRPr="003B0171">
        <w:rPr>
          <w:rFonts w:ascii="Arial" w:eastAsia="Times New Roman" w:hAnsi="Arial" w:cs="Arial"/>
          <w:color w:val="222222"/>
          <w:sz w:val="20"/>
          <w:szCs w:val="20"/>
          <w:shd w:val="clear" w:color="auto" w:fill="FFFFFF"/>
        </w:rPr>
        <w:t>, </w:t>
      </w:r>
      <w:r w:rsidRPr="003B0171">
        <w:rPr>
          <w:rFonts w:ascii="Arial" w:eastAsia="Times New Roman" w:hAnsi="Arial" w:cs="Arial"/>
          <w:i/>
          <w:iCs/>
          <w:color w:val="222222"/>
          <w:sz w:val="20"/>
          <w:szCs w:val="20"/>
        </w:rPr>
        <w:t>259</w:t>
      </w:r>
      <w:r w:rsidRPr="003B0171">
        <w:rPr>
          <w:rFonts w:ascii="Arial" w:eastAsia="Times New Roman" w:hAnsi="Arial" w:cs="Arial"/>
          <w:color w:val="222222"/>
          <w:sz w:val="20"/>
          <w:szCs w:val="20"/>
          <w:shd w:val="clear" w:color="auto" w:fill="FFFFFF"/>
        </w:rPr>
        <w:t>(5), pp.967-975.</w:t>
      </w:r>
    </w:p>
    <w:p w14:paraId="619808FF" w14:textId="77777777" w:rsidR="003B0171" w:rsidRDefault="003B0171">
      <w:pPr>
        <w:pStyle w:val="CommentText"/>
      </w:pPr>
    </w:p>
    <w:p w14:paraId="53A84527" w14:textId="77777777" w:rsidR="003B0171" w:rsidRPr="003B0171" w:rsidRDefault="003B0171" w:rsidP="003B0171">
      <w:pPr>
        <w:spacing w:after="0"/>
        <w:rPr>
          <w:rFonts w:ascii="Times New Roman" w:eastAsia="Times New Roman" w:hAnsi="Times New Roman" w:cs="Times New Roman"/>
        </w:rPr>
      </w:pPr>
      <w:r w:rsidRPr="003B0171">
        <w:rPr>
          <w:rFonts w:ascii="Arial" w:eastAsia="Times New Roman" w:hAnsi="Arial" w:cs="Arial"/>
          <w:color w:val="222222"/>
          <w:sz w:val="20"/>
          <w:szCs w:val="20"/>
          <w:shd w:val="clear" w:color="auto" w:fill="FFFFFF"/>
        </w:rPr>
        <w:t>Martin-Benito, D., Kint, V., Del Rio, M., Muys, B. and Cañellas, I., 2011. Growth responses of West-Mediterranean Pinus nigra to climate change are modulated by competition and productivity: past trends and future perspectives. </w:t>
      </w:r>
      <w:r w:rsidRPr="003B0171">
        <w:rPr>
          <w:rFonts w:ascii="Arial" w:eastAsia="Times New Roman" w:hAnsi="Arial" w:cs="Arial"/>
          <w:i/>
          <w:iCs/>
          <w:color w:val="222222"/>
          <w:sz w:val="20"/>
          <w:szCs w:val="20"/>
        </w:rPr>
        <w:t>Forest Ecology and Management</w:t>
      </w:r>
      <w:r w:rsidRPr="003B0171">
        <w:rPr>
          <w:rFonts w:ascii="Arial" w:eastAsia="Times New Roman" w:hAnsi="Arial" w:cs="Arial"/>
          <w:color w:val="222222"/>
          <w:sz w:val="20"/>
          <w:szCs w:val="20"/>
          <w:shd w:val="clear" w:color="auto" w:fill="FFFFFF"/>
        </w:rPr>
        <w:t>, </w:t>
      </w:r>
      <w:r w:rsidRPr="003B0171">
        <w:rPr>
          <w:rFonts w:ascii="Arial" w:eastAsia="Times New Roman" w:hAnsi="Arial" w:cs="Arial"/>
          <w:i/>
          <w:iCs/>
          <w:color w:val="222222"/>
          <w:sz w:val="20"/>
          <w:szCs w:val="20"/>
        </w:rPr>
        <w:t>262</w:t>
      </w:r>
      <w:r w:rsidRPr="003B0171">
        <w:rPr>
          <w:rFonts w:ascii="Arial" w:eastAsia="Times New Roman" w:hAnsi="Arial" w:cs="Arial"/>
          <w:color w:val="222222"/>
          <w:sz w:val="20"/>
          <w:szCs w:val="20"/>
          <w:shd w:val="clear" w:color="auto" w:fill="FFFFFF"/>
        </w:rPr>
        <w:t>(6), pp.1030-1040.</w:t>
      </w:r>
    </w:p>
    <w:p w14:paraId="01182E3C" w14:textId="7F75B46F" w:rsidR="003B0171" w:rsidRDefault="003B0171">
      <w:pPr>
        <w:pStyle w:val="CommentText"/>
      </w:pPr>
    </w:p>
  </w:comment>
  <w:comment w:id="98" w:author="Pederson, Neil" w:date="2019-11-15T15:54:00Z" w:initials="PN">
    <w:p w14:paraId="5D95621C" w14:textId="77777777" w:rsidR="00F0706E" w:rsidRDefault="00F0706E">
      <w:pPr>
        <w:pStyle w:val="CommentText"/>
      </w:pPr>
      <w:r>
        <w:rPr>
          <w:rStyle w:val="CommentReference"/>
        </w:rPr>
        <w:annotationRef/>
      </w:r>
      <w:r>
        <w:t>Generally, yes. The Elliott paper above is species rich, but responses were condensed into ring structure. Would be nice to note that a bit.</w:t>
      </w:r>
    </w:p>
    <w:p w14:paraId="5DCC632B" w14:textId="77777777" w:rsidR="00F0706E" w:rsidRDefault="00F0706E">
      <w:pPr>
        <w:pStyle w:val="CommentText"/>
      </w:pPr>
    </w:p>
    <w:p w14:paraId="05C0C63B" w14:textId="194EA7D4" w:rsidR="00F0706E" w:rsidRDefault="00F0706E">
      <w:pPr>
        <w:pStyle w:val="CommentText"/>
      </w:pPr>
      <w:r>
        <w:t>Otherwise, yes – agree!</w:t>
      </w:r>
    </w:p>
  </w:comment>
  <w:comment w:id="99" w:author="Alan Tepley" w:date="2019-11-11T19:24:00Z" w:initials="AJT">
    <w:p w14:paraId="5BB36F36" w14:textId="4079CD94" w:rsidR="00DF4381" w:rsidRDefault="00DF4381">
      <w:pPr>
        <w:pStyle w:val="CommentText"/>
      </w:pPr>
      <w:r>
        <w:rPr>
          <w:rStyle w:val="CommentReference"/>
        </w:rPr>
        <w:annotationRef/>
      </w:r>
      <w:r>
        <w:t xml:space="preserve">I don’t know of other studies that have done this with 12 species at the same site. </w:t>
      </w:r>
    </w:p>
  </w:comment>
  <w:comment w:id="100" w:author="Alan Tepley" w:date="2019-11-11T19:26:00Z" w:initials="AJT">
    <w:p w14:paraId="2AA54C94" w14:textId="77777777" w:rsidR="00DF4381" w:rsidRDefault="00DF4381">
      <w:pPr>
        <w:pStyle w:val="CommentText"/>
      </w:pPr>
      <w:r>
        <w:rPr>
          <w:rStyle w:val="CommentReference"/>
        </w:rPr>
        <w:annotationRef/>
      </w:r>
      <w:r>
        <w:t>Simeone et al. (2018) used percent loss of conductivity (PLC), or the conductivity lost at embolism.</w:t>
      </w:r>
    </w:p>
    <w:p w14:paraId="5EF52F35" w14:textId="77777777" w:rsidR="00DF4381" w:rsidRDefault="00DF4381">
      <w:pPr>
        <w:pStyle w:val="CommentText"/>
      </w:pPr>
    </w:p>
    <w:p w14:paraId="1BD07046" w14:textId="0BD823E0" w:rsidR="00DF4381" w:rsidRDefault="00DF4381">
      <w:pPr>
        <w:pStyle w:val="CommentText"/>
      </w:pPr>
      <w:r>
        <w:t xml:space="preserve">Simeone, C., M. P. Maneta, Z. A. Holden, G. Sapes, A. Sala, and S. Z. Dobrowski. 2018. Coupled ecohydrology and plant hydraulics modeling predicts ponderosa pine seedling mortality and lower treeline in the US Northern Rocky Mountains. New Phytologist 21:1814:1830. </w:t>
      </w:r>
    </w:p>
  </w:comment>
  <w:comment w:id="101" w:author="Alan Tepley" w:date="2019-11-11T19:30:00Z" w:initials="AJT">
    <w:p w14:paraId="59221FC4" w14:textId="027F2EA4" w:rsidR="00CA39FD" w:rsidRDefault="00CA39FD">
      <w:pPr>
        <w:pStyle w:val="CommentText"/>
      </w:pPr>
      <w:r>
        <w:rPr>
          <w:rStyle w:val="CommentReference"/>
        </w:rPr>
        <w:annotationRef/>
      </w:r>
      <w:r>
        <w:t xml:space="preserve">And many species do not form annual rings, which limits the ability for retrospective analysis of responses to past droughts. </w:t>
      </w:r>
    </w:p>
  </w:comment>
  <w:comment w:id="102" w:author="Pederson, Neil" w:date="2019-11-15T15:56:00Z" w:initials="PN">
    <w:p w14:paraId="23795DA2" w14:textId="77777777" w:rsidR="00F0706E" w:rsidRDefault="00F0706E">
      <w:pPr>
        <w:pStyle w:val="CommentText"/>
      </w:pPr>
      <w:r>
        <w:rPr>
          <w:rStyle w:val="CommentReference"/>
        </w:rPr>
        <w:annotationRef/>
      </w:r>
      <w:r>
        <w:t>True, but incredible progress is being made:</w:t>
      </w:r>
    </w:p>
    <w:p w14:paraId="4E601F1D" w14:textId="77777777" w:rsidR="00F0706E" w:rsidRDefault="00F0706E">
      <w:pPr>
        <w:pStyle w:val="CommentText"/>
      </w:pPr>
    </w:p>
    <w:p w14:paraId="73448475" w14:textId="77777777" w:rsidR="00F0706E" w:rsidRPr="00F0706E" w:rsidRDefault="00F0706E" w:rsidP="00F0706E">
      <w:pPr>
        <w:spacing w:after="0"/>
        <w:rPr>
          <w:rFonts w:ascii="Times New Roman" w:eastAsia="Times New Roman" w:hAnsi="Times New Roman" w:cs="Times New Roman"/>
        </w:rPr>
      </w:pPr>
      <w:r w:rsidRPr="00F0706E">
        <w:rPr>
          <w:rFonts w:ascii="Arial" w:eastAsia="Times New Roman" w:hAnsi="Arial" w:cs="Arial"/>
          <w:color w:val="222222"/>
          <w:sz w:val="20"/>
          <w:szCs w:val="20"/>
          <w:shd w:val="clear" w:color="auto" w:fill="FFFFFF"/>
        </w:rPr>
        <w:t>Schöngart, J., Bräuning, A., Barbosa, A.C.M.C., Lisi, C.S. and de Oliveira, J.M., 2017. Dendroecological studies in the neotropics: history, status and future challenges. In </w:t>
      </w:r>
      <w:r w:rsidRPr="00F0706E">
        <w:rPr>
          <w:rFonts w:ascii="Arial" w:eastAsia="Times New Roman" w:hAnsi="Arial" w:cs="Arial"/>
          <w:i/>
          <w:iCs/>
          <w:color w:val="222222"/>
          <w:sz w:val="20"/>
          <w:szCs w:val="20"/>
        </w:rPr>
        <w:t>Dendroecology</w:t>
      </w:r>
      <w:r w:rsidRPr="00F0706E">
        <w:rPr>
          <w:rFonts w:ascii="Arial" w:eastAsia="Times New Roman" w:hAnsi="Arial" w:cs="Arial"/>
          <w:color w:val="222222"/>
          <w:sz w:val="20"/>
          <w:szCs w:val="20"/>
          <w:shd w:val="clear" w:color="auto" w:fill="FFFFFF"/>
        </w:rPr>
        <w:t> (pp. 35-73). Springer, Cham.</w:t>
      </w:r>
    </w:p>
    <w:p w14:paraId="75FF3EE8" w14:textId="0209D5EA" w:rsidR="00F0706E" w:rsidRDefault="00F0706E">
      <w:pPr>
        <w:pStyle w:val="CommentText"/>
      </w:pPr>
    </w:p>
  </w:comment>
  <w:comment w:id="106" w:author="Pederson, Neil" w:date="2019-11-15T15:57:00Z" w:initials="PN">
    <w:p w14:paraId="0D888800" w14:textId="1F897DE0" w:rsidR="0045292B" w:rsidRDefault="0045292B">
      <w:pPr>
        <w:pStyle w:val="CommentText"/>
      </w:pPr>
      <w:r>
        <w:rPr>
          <w:rStyle w:val="CommentReference"/>
        </w:rPr>
        <w:annotationRef/>
      </w:r>
      <w:r>
        <w:t xml:space="preserve">Key, and most severe, in a multiannual sense, over the last couple centuries or so, though maybe more so in the NYC/Philly region. </w:t>
      </w:r>
    </w:p>
  </w:comment>
  <w:comment w:id="108" w:author="Alan Tepley" w:date="2019-11-11T20:17:00Z" w:initials="AJT">
    <w:p w14:paraId="026AB737" w14:textId="486183A9" w:rsidR="00C015F0" w:rsidRDefault="00C015F0">
      <w:pPr>
        <w:pStyle w:val="CommentText"/>
      </w:pPr>
      <w:r>
        <w:rPr>
          <w:rStyle w:val="CommentReference"/>
        </w:rPr>
        <w:annotationRef/>
      </w:r>
      <w:r>
        <w:t>Ring porosity</w:t>
      </w:r>
    </w:p>
  </w:comment>
  <w:comment w:id="109" w:author="Pederson, Neil" w:date="2019-11-15T15:59:00Z" w:initials="PN">
    <w:p w14:paraId="1021B365" w14:textId="77777777" w:rsidR="00977087" w:rsidRDefault="00977087">
      <w:pPr>
        <w:pStyle w:val="CommentText"/>
      </w:pPr>
      <w:r>
        <w:rPr>
          <w:rStyle w:val="CommentReference"/>
        </w:rPr>
        <w:annotationRef/>
      </w:r>
      <w:r>
        <w:t>Was the wicked wet conditions a setup to more intense suffering?</w:t>
      </w:r>
    </w:p>
    <w:p w14:paraId="2EC449F7" w14:textId="77777777" w:rsidR="00622EA7" w:rsidRDefault="00622EA7">
      <w:pPr>
        <w:pStyle w:val="CommentText"/>
      </w:pPr>
    </w:p>
    <w:p w14:paraId="2B65E70E" w14:textId="6F9191F9" w:rsidR="00622EA7" w:rsidRDefault="00622EA7">
      <w:pPr>
        <w:pStyle w:val="CommentText"/>
      </w:pPr>
      <w:r>
        <w:t>Fig S2 is key, to me.</w:t>
      </w:r>
    </w:p>
  </w:comment>
  <w:comment w:id="110" w:author="Pederson, Neil" w:date="2019-11-15T15:59:00Z" w:initials="PN">
    <w:p w14:paraId="7D7F9894" w14:textId="61413388" w:rsidR="0021778C" w:rsidRDefault="0021778C">
      <w:pPr>
        <w:pStyle w:val="CommentText"/>
      </w:pPr>
      <w:r>
        <w:rPr>
          <w:rStyle w:val="CommentReference"/>
        </w:rPr>
        <w:annotationRef/>
      </w:r>
      <w:r>
        <w:t>yes</w:t>
      </w:r>
    </w:p>
  </w:comment>
  <w:comment w:id="111" w:author="Alan Tepley" w:date="2019-11-11T20:19:00Z" w:initials="AJT">
    <w:p w14:paraId="3ED7D2EA" w14:textId="7DB2AE9B" w:rsidR="00C015F0" w:rsidRDefault="00C015F0">
      <w:pPr>
        <w:pStyle w:val="CommentText"/>
      </w:pPr>
      <w:r>
        <w:rPr>
          <w:rStyle w:val="CommentReference"/>
        </w:rPr>
        <w:annotationRef/>
      </w:r>
      <w:r>
        <w:t xml:space="preserve">I don’t know if these results necessarily apply to other forests (e.g., conifer forests, or tropical forests). </w:t>
      </w:r>
    </w:p>
  </w:comment>
  <w:comment w:id="112" w:author="Pederson, Neil" w:date="2019-11-15T16:00:00Z" w:initials="PN">
    <w:p w14:paraId="4A7F3C68" w14:textId="77777777" w:rsidR="00FC47E4" w:rsidRDefault="00FC47E4">
      <w:pPr>
        <w:pStyle w:val="CommentText"/>
      </w:pPr>
      <w:r>
        <w:rPr>
          <w:rStyle w:val="CommentReference"/>
        </w:rPr>
        <w:annotationRef/>
      </w:r>
      <w:r>
        <w:t>But, Dary’s Law kind of predicts this?</w:t>
      </w:r>
    </w:p>
    <w:p w14:paraId="0CDF8AC9" w14:textId="77777777" w:rsidR="0096733F" w:rsidRDefault="0096733F">
      <w:pPr>
        <w:pStyle w:val="CommentText"/>
      </w:pPr>
    </w:p>
    <w:p w14:paraId="42DEA958" w14:textId="37A948AE" w:rsidR="0096733F" w:rsidRDefault="0096733F">
      <w:pPr>
        <w:pStyle w:val="CommentText"/>
      </w:pPr>
      <w:r>
        <w:t>Dense forests pushing height higher and higher, especially during wet eras, might be pushing them to greater vulnerability, like 1999?</w:t>
      </w:r>
    </w:p>
  </w:comment>
  <w:comment w:id="116" w:author="Alan Tepley" w:date="2019-11-11T20:23:00Z" w:initials="AJT">
    <w:p w14:paraId="4AD53C3D" w14:textId="345DDAC0" w:rsidR="00B470A9" w:rsidRDefault="00B470A9">
      <w:pPr>
        <w:pStyle w:val="CommentText"/>
      </w:pPr>
      <w:r>
        <w:rPr>
          <w:rStyle w:val="CommentReference"/>
        </w:rPr>
        <w:annotationRef/>
      </w:r>
      <w:r>
        <w:t xml:space="preserve">Unless young forests tend to be much denser than older forests, and intense competition in dense, young forests has a stronger influence on drought responses than height. </w:t>
      </w:r>
    </w:p>
  </w:comment>
  <w:comment w:id="117" w:author="Pederson, Neil" w:date="2019-11-15T16:02:00Z" w:initials="PN">
    <w:p w14:paraId="1E458CE9" w14:textId="77777777" w:rsidR="007C4071" w:rsidRDefault="007C4071">
      <w:pPr>
        <w:pStyle w:val="CommentText"/>
      </w:pPr>
      <w:r>
        <w:rPr>
          <w:rStyle w:val="CommentReference"/>
        </w:rPr>
        <w:annotationRef/>
      </w:r>
      <w:r>
        <w:t>Here is a nice paper to consider:</w:t>
      </w:r>
    </w:p>
    <w:p w14:paraId="1DB1C9F8" w14:textId="77777777" w:rsidR="007C4071" w:rsidRDefault="007C4071">
      <w:pPr>
        <w:pStyle w:val="CommentText"/>
      </w:pPr>
    </w:p>
    <w:p w14:paraId="200E5F2E" w14:textId="77777777" w:rsidR="007C4071" w:rsidRPr="007C4071" w:rsidRDefault="007C4071" w:rsidP="007C4071">
      <w:pPr>
        <w:spacing w:after="0"/>
        <w:rPr>
          <w:rFonts w:ascii="Times New Roman" w:eastAsia="Times New Roman" w:hAnsi="Times New Roman" w:cs="Times New Roman"/>
        </w:rPr>
      </w:pPr>
      <w:r w:rsidRPr="007C4071">
        <w:rPr>
          <w:rFonts w:ascii="Arial" w:eastAsia="Times New Roman" w:hAnsi="Arial" w:cs="Arial"/>
          <w:color w:val="222222"/>
          <w:sz w:val="20"/>
          <w:szCs w:val="20"/>
          <w:shd w:val="clear" w:color="auto" w:fill="FFFFFF"/>
        </w:rPr>
        <w:t>Rodríguez-Catón, M., Villalba, R., Srur, A.M. and Luckman, B., 2015. Long-term trends in radial growth associated with Nothofagus pumilio forest decline in Patagonia: Integrating local-into regional-scale patterns. </w:t>
      </w:r>
      <w:r w:rsidRPr="007C4071">
        <w:rPr>
          <w:rFonts w:ascii="Arial" w:eastAsia="Times New Roman" w:hAnsi="Arial" w:cs="Arial"/>
          <w:i/>
          <w:iCs/>
          <w:color w:val="222222"/>
          <w:sz w:val="20"/>
          <w:szCs w:val="20"/>
        </w:rPr>
        <w:t>Forest Ecology and Management</w:t>
      </w:r>
      <w:r w:rsidRPr="007C4071">
        <w:rPr>
          <w:rFonts w:ascii="Arial" w:eastAsia="Times New Roman" w:hAnsi="Arial" w:cs="Arial"/>
          <w:color w:val="222222"/>
          <w:sz w:val="20"/>
          <w:szCs w:val="20"/>
          <w:shd w:val="clear" w:color="auto" w:fill="FFFFFF"/>
        </w:rPr>
        <w:t>, </w:t>
      </w:r>
      <w:r w:rsidRPr="007C4071">
        <w:rPr>
          <w:rFonts w:ascii="Arial" w:eastAsia="Times New Roman" w:hAnsi="Arial" w:cs="Arial"/>
          <w:i/>
          <w:iCs/>
          <w:color w:val="222222"/>
          <w:sz w:val="20"/>
          <w:szCs w:val="20"/>
        </w:rPr>
        <w:t>339</w:t>
      </w:r>
      <w:r w:rsidRPr="007C4071">
        <w:rPr>
          <w:rFonts w:ascii="Arial" w:eastAsia="Times New Roman" w:hAnsi="Arial" w:cs="Arial"/>
          <w:color w:val="222222"/>
          <w:sz w:val="20"/>
          <w:szCs w:val="20"/>
          <w:shd w:val="clear" w:color="auto" w:fill="FFFFFF"/>
        </w:rPr>
        <w:t>, pp.44-56.</w:t>
      </w:r>
    </w:p>
    <w:p w14:paraId="5833B750" w14:textId="77777777" w:rsidR="007C4071" w:rsidRDefault="007C4071">
      <w:pPr>
        <w:pStyle w:val="CommentText"/>
      </w:pPr>
    </w:p>
    <w:p w14:paraId="737D9A80" w14:textId="158B1EBD" w:rsidR="007C4071" w:rsidRDefault="007C4071">
      <w:pPr>
        <w:pStyle w:val="CommentText"/>
      </w:pPr>
      <w:r>
        <w:t>Drought drove mortality</w:t>
      </w:r>
      <w:bookmarkStart w:id="118" w:name="_GoBack"/>
      <w:bookmarkEnd w:id="118"/>
      <w:r>
        <w:t xml:space="preserve"> in canopy trees, understory moved up to replace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CD5061" w15:done="0"/>
  <w15:commentEx w15:paraId="6521441E" w15:done="0"/>
  <w15:commentEx w15:paraId="483F16ED" w15:done="0"/>
  <w15:commentEx w15:paraId="3A22D1BA" w15:done="0"/>
  <w15:commentEx w15:paraId="7BA2CEE3" w15:done="0"/>
  <w15:commentEx w15:paraId="6C2316EA" w15:done="0"/>
  <w15:commentEx w15:paraId="7208A5C1" w15:done="0"/>
  <w15:commentEx w15:paraId="4A6F1B3A" w15:done="0"/>
  <w15:commentEx w15:paraId="4D327C43" w15:done="0"/>
  <w15:commentEx w15:paraId="194DDA04" w15:done="0"/>
  <w15:commentEx w15:paraId="333C606D" w15:done="0"/>
  <w15:commentEx w15:paraId="2ECB53D1" w15:done="0"/>
  <w15:commentEx w15:paraId="55D50766" w15:done="0"/>
  <w15:commentEx w15:paraId="456594BA" w15:done="0"/>
  <w15:commentEx w15:paraId="224141C3" w15:done="0"/>
  <w15:commentEx w15:paraId="2AB42A4B" w15:done="0"/>
  <w15:commentEx w15:paraId="696453DA" w15:done="0"/>
  <w15:commentEx w15:paraId="69BAC895" w15:done="0"/>
  <w15:commentEx w15:paraId="4049E4C1" w15:done="0"/>
  <w15:commentEx w15:paraId="6B0B00BF" w15:paraIdParent="4049E4C1" w15:done="0"/>
  <w15:commentEx w15:paraId="5FC16477" w15:done="0"/>
  <w15:commentEx w15:paraId="3136BB4A" w15:done="0"/>
  <w15:commentEx w15:paraId="7DB57338" w15:done="0"/>
  <w15:commentEx w15:paraId="672E2B25" w15:done="0"/>
  <w15:commentEx w15:paraId="763A435C" w15:done="0"/>
  <w15:commentEx w15:paraId="62997B0B" w15:done="0"/>
  <w15:commentEx w15:paraId="4160DCAE" w15:done="0"/>
  <w15:commentEx w15:paraId="3F05A6CA" w15:done="0"/>
  <w15:commentEx w15:paraId="367797B7" w15:done="0"/>
  <w15:commentEx w15:paraId="36EDCBCB" w15:done="0"/>
  <w15:commentEx w15:paraId="07E085A3" w15:done="0"/>
  <w15:commentEx w15:paraId="70E68D4F" w15:done="0"/>
  <w15:commentEx w15:paraId="3BBC0495" w15:done="0"/>
  <w15:commentEx w15:paraId="5089019E" w15:done="0"/>
  <w15:commentEx w15:paraId="03818C43" w15:done="0"/>
  <w15:commentEx w15:paraId="260BE4BD" w15:done="0"/>
  <w15:commentEx w15:paraId="291F715B" w15:done="0"/>
  <w15:commentEx w15:paraId="748381EB" w15:done="0"/>
  <w15:commentEx w15:paraId="58670383" w15:done="0"/>
  <w15:commentEx w15:paraId="00FC1232" w15:done="0"/>
  <w15:commentEx w15:paraId="3145A381" w15:done="0"/>
  <w15:commentEx w15:paraId="211E523D" w15:done="0"/>
  <w15:commentEx w15:paraId="47C8D380" w15:done="0"/>
  <w15:commentEx w15:paraId="1EE148BF" w15:done="0"/>
  <w15:commentEx w15:paraId="01182E3C" w15:paraIdParent="1EE148BF" w15:done="0"/>
  <w15:commentEx w15:paraId="05C0C63B" w15:done="0"/>
  <w15:commentEx w15:paraId="5BB36F36" w15:done="0"/>
  <w15:commentEx w15:paraId="1BD07046" w15:done="0"/>
  <w15:commentEx w15:paraId="59221FC4" w15:done="0"/>
  <w15:commentEx w15:paraId="75FF3EE8" w15:paraIdParent="59221FC4" w15:done="0"/>
  <w15:commentEx w15:paraId="0D888800" w15:done="0"/>
  <w15:commentEx w15:paraId="026AB737" w15:done="0"/>
  <w15:commentEx w15:paraId="2B65E70E" w15:done="0"/>
  <w15:commentEx w15:paraId="7D7F9894" w15:done="0"/>
  <w15:commentEx w15:paraId="3ED7D2EA" w15:done="0"/>
  <w15:commentEx w15:paraId="42DEA958" w15:paraIdParent="3ED7D2EA" w15:done="0"/>
  <w15:commentEx w15:paraId="4AD53C3D" w15:done="0"/>
  <w15:commentEx w15:paraId="737D9A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CD5061" w16cid:durableId="2176FE3E"/>
  <w16cid:commentId w16cid:paraId="6521441E" w16cid:durableId="216F1606"/>
  <w16cid:commentId w16cid:paraId="483F16ED" w16cid:durableId="216F1769"/>
  <w16cid:commentId w16cid:paraId="3A22D1BA" w16cid:durableId="217933C2"/>
  <w16cid:commentId w16cid:paraId="7BA2CEE3" w16cid:durableId="2172B2C2"/>
  <w16cid:commentId w16cid:paraId="6C2316EA" w16cid:durableId="216F192D"/>
  <w16cid:commentId w16cid:paraId="7208A5C1" w16cid:durableId="216F1A38"/>
  <w16cid:commentId w16cid:paraId="4A6F1B3A" w16cid:durableId="216F1B26"/>
  <w16cid:commentId w16cid:paraId="4D327C43" w16cid:durableId="21793681"/>
  <w16cid:commentId w16cid:paraId="194DDA04" w16cid:durableId="2172B63D"/>
  <w16cid:commentId w16cid:paraId="333C606D" w16cid:durableId="2172B92C"/>
  <w16cid:commentId w16cid:paraId="2ECB53D1" w16cid:durableId="2172B9E3"/>
  <w16cid:commentId w16cid:paraId="55D50766" w16cid:durableId="2172BC38"/>
  <w16cid:commentId w16cid:paraId="456594BA" w16cid:durableId="2172BD16"/>
  <w16cid:commentId w16cid:paraId="224141C3" w16cid:durableId="2172BE78"/>
  <w16cid:commentId w16cid:paraId="2AB42A4B" w16cid:durableId="2172BEDA"/>
  <w16cid:commentId w16cid:paraId="696453DA" w16cid:durableId="21793BE4"/>
  <w16cid:commentId w16cid:paraId="69BAC895" w16cid:durableId="2172C0BB"/>
  <w16cid:commentId w16cid:paraId="4049E4C1" w16cid:durableId="2172BFF8"/>
  <w16cid:commentId w16cid:paraId="6B0B00BF" w16cid:durableId="21793C1C"/>
  <w16cid:commentId w16cid:paraId="5FC16477" w16cid:durableId="2172C15A"/>
  <w16cid:commentId w16cid:paraId="3136BB4A" w16cid:durableId="2172C1B9"/>
  <w16cid:commentId w16cid:paraId="7DB57338" w16cid:durableId="21741EF0"/>
  <w16cid:commentId w16cid:paraId="672E2B25" w16cid:durableId="2172C26A"/>
  <w16cid:commentId w16cid:paraId="763A435C" w16cid:durableId="21742577"/>
  <w16cid:commentId w16cid:paraId="62997B0B" w16cid:durableId="21741A65"/>
  <w16cid:commentId w16cid:paraId="4160DCAE" w16cid:durableId="21741BD9"/>
  <w16cid:commentId w16cid:paraId="3F05A6CA" w16cid:durableId="21742673"/>
  <w16cid:commentId w16cid:paraId="367797B7" w16cid:durableId="21793F10"/>
  <w16cid:commentId w16cid:paraId="36EDCBCB" w16cid:durableId="217427A8"/>
  <w16cid:commentId w16cid:paraId="07E085A3" w16cid:durableId="217941B7"/>
  <w16cid:commentId w16cid:paraId="70E68D4F" w16cid:durableId="217944B1"/>
  <w16cid:commentId w16cid:paraId="3BBC0495" w16cid:durableId="21742A38"/>
  <w16cid:commentId w16cid:paraId="5089019E" w16cid:durableId="217945A4"/>
  <w16cid:commentId w16cid:paraId="03818C43" w16cid:durableId="21794670"/>
  <w16cid:commentId w16cid:paraId="260BE4BD" w16cid:durableId="21742A9D"/>
  <w16cid:commentId w16cid:paraId="291F715B" w16cid:durableId="217945FD"/>
  <w16cid:commentId w16cid:paraId="748381EB" w16cid:durableId="217946EC"/>
  <w16cid:commentId w16cid:paraId="58670383" w16cid:durableId="21742B0E"/>
  <w16cid:commentId w16cid:paraId="00FC1232" w16cid:durableId="21742B75"/>
  <w16cid:commentId w16cid:paraId="3145A381" w16cid:durableId="21742C16"/>
  <w16cid:commentId w16cid:paraId="211E523D" w16cid:durableId="21742C9B"/>
  <w16cid:commentId w16cid:paraId="47C8D380" w16cid:durableId="21742D15"/>
  <w16cid:commentId w16cid:paraId="1EE148BF" w16cid:durableId="21742D8F"/>
  <w16cid:commentId w16cid:paraId="01182E3C" w16cid:durableId="21794899"/>
  <w16cid:commentId w16cid:paraId="05C0C63B" w16cid:durableId="217948CC"/>
  <w16cid:commentId w16cid:paraId="5BB36F36" w16cid:durableId="217433D4"/>
  <w16cid:commentId w16cid:paraId="1BD07046" w16cid:durableId="2174344B"/>
  <w16cid:commentId w16cid:paraId="59221FC4" w16cid:durableId="2174356C"/>
  <w16cid:commentId w16cid:paraId="75FF3EE8" w16cid:durableId="21794918"/>
  <w16cid:commentId w16cid:paraId="0D888800" w16cid:durableId="21794983"/>
  <w16cid:commentId w16cid:paraId="026AB737" w16cid:durableId="21744043"/>
  <w16cid:commentId w16cid:paraId="2B65E70E" w16cid:durableId="217949D5"/>
  <w16cid:commentId w16cid:paraId="7D7F9894" w16cid:durableId="217949F3"/>
  <w16cid:commentId w16cid:paraId="3ED7D2EA" w16cid:durableId="217440C9"/>
  <w16cid:commentId w16cid:paraId="42DEA958" w16cid:durableId="21794A11"/>
  <w16cid:commentId w16cid:paraId="4AD53C3D" w16cid:durableId="217441AA"/>
  <w16cid:commentId w16cid:paraId="737D9A80" w16cid:durableId="21794A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2EDE0" w14:textId="77777777" w:rsidR="00E16A4A" w:rsidRDefault="00E16A4A">
      <w:pPr>
        <w:spacing w:after="0"/>
      </w:pPr>
      <w:r>
        <w:separator/>
      </w:r>
    </w:p>
  </w:endnote>
  <w:endnote w:type="continuationSeparator" w:id="0">
    <w:p w14:paraId="2CD43245" w14:textId="77777777" w:rsidR="00E16A4A" w:rsidRDefault="00E16A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B3B18" w14:textId="77777777" w:rsidR="00E16A4A" w:rsidRDefault="00E16A4A">
      <w:r>
        <w:separator/>
      </w:r>
    </w:p>
  </w:footnote>
  <w:footnote w:type="continuationSeparator" w:id="0">
    <w:p w14:paraId="0CAD0E67" w14:textId="77777777" w:rsidR="00E16A4A" w:rsidRDefault="00E16A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8FB471"/>
    <w:multiLevelType w:val="multilevel"/>
    <w:tmpl w:val="6C4068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59869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5CA361F"/>
    <w:multiLevelType w:val="multilevel"/>
    <w:tmpl w:val="6D443F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6068E78"/>
    <w:multiLevelType w:val="multilevel"/>
    <w:tmpl w:val="02222D9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E8C16B0"/>
    <w:multiLevelType w:val="hybridMultilevel"/>
    <w:tmpl w:val="B1ACBFFA"/>
    <w:lvl w:ilvl="0" w:tplc="B540E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an Tepley">
    <w15:presenceInfo w15:providerId="None" w15:userId="Alan Tepley"/>
  </w15:person>
  <w15:person w15:author="Pederson, Neil">
    <w15:presenceInfo w15:providerId="AD" w15:userId="S::neilpederson@fas.harvard.edu::0f22b39a-26ea-437a-b737-b982d514ec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1CDF"/>
    <w:rsid w:val="000605C6"/>
    <w:rsid w:val="00072839"/>
    <w:rsid w:val="00086701"/>
    <w:rsid w:val="000953DC"/>
    <w:rsid w:val="000E68EE"/>
    <w:rsid w:val="00136DB5"/>
    <w:rsid w:val="001D4D14"/>
    <w:rsid w:val="001D4DB9"/>
    <w:rsid w:val="002104B2"/>
    <w:rsid w:val="0021778C"/>
    <w:rsid w:val="00280582"/>
    <w:rsid w:val="002D0CDD"/>
    <w:rsid w:val="002D66DC"/>
    <w:rsid w:val="0033677C"/>
    <w:rsid w:val="00363137"/>
    <w:rsid w:val="00372A2D"/>
    <w:rsid w:val="003914AC"/>
    <w:rsid w:val="003B0171"/>
    <w:rsid w:val="003B028E"/>
    <w:rsid w:val="003E0AC7"/>
    <w:rsid w:val="00433A3A"/>
    <w:rsid w:val="0045292B"/>
    <w:rsid w:val="004B1F39"/>
    <w:rsid w:val="004E29B3"/>
    <w:rsid w:val="00590D07"/>
    <w:rsid w:val="005D7049"/>
    <w:rsid w:val="00622EA7"/>
    <w:rsid w:val="00627125"/>
    <w:rsid w:val="006414B2"/>
    <w:rsid w:val="006711B9"/>
    <w:rsid w:val="006A3A16"/>
    <w:rsid w:val="006A632B"/>
    <w:rsid w:val="006E3F0C"/>
    <w:rsid w:val="00711780"/>
    <w:rsid w:val="00784D58"/>
    <w:rsid w:val="0079575C"/>
    <w:rsid w:val="007B15AE"/>
    <w:rsid w:val="007C4071"/>
    <w:rsid w:val="00856F9B"/>
    <w:rsid w:val="008D6863"/>
    <w:rsid w:val="00907F15"/>
    <w:rsid w:val="009334B8"/>
    <w:rsid w:val="0096733F"/>
    <w:rsid w:val="00977087"/>
    <w:rsid w:val="0098301A"/>
    <w:rsid w:val="009D5356"/>
    <w:rsid w:val="009F6814"/>
    <w:rsid w:val="00A04F3A"/>
    <w:rsid w:val="00A30BDF"/>
    <w:rsid w:val="00A43633"/>
    <w:rsid w:val="00A46148"/>
    <w:rsid w:val="00A51C72"/>
    <w:rsid w:val="00A74313"/>
    <w:rsid w:val="00AE6DF1"/>
    <w:rsid w:val="00B05F8B"/>
    <w:rsid w:val="00B470A9"/>
    <w:rsid w:val="00B52582"/>
    <w:rsid w:val="00B86B75"/>
    <w:rsid w:val="00BB64CA"/>
    <w:rsid w:val="00BC48D5"/>
    <w:rsid w:val="00BD1B5C"/>
    <w:rsid w:val="00BF0B57"/>
    <w:rsid w:val="00C015F0"/>
    <w:rsid w:val="00C236E0"/>
    <w:rsid w:val="00C36279"/>
    <w:rsid w:val="00C61EC2"/>
    <w:rsid w:val="00CA39FD"/>
    <w:rsid w:val="00CD1521"/>
    <w:rsid w:val="00D75480"/>
    <w:rsid w:val="00DC2D61"/>
    <w:rsid w:val="00DC47E7"/>
    <w:rsid w:val="00DF4381"/>
    <w:rsid w:val="00E16A4A"/>
    <w:rsid w:val="00E16C13"/>
    <w:rsid w:val="00E21718"/>
    <w:rsid w:val="00E315A3"/>
    <w:rsid w:val="00E3331A"/>
    <w:rsid w:val="00E43D2F"/>
    <w:rsid w:val="00EE5F67"/>
    <w:rsid w:val="00F0706E"/>
    <w:rsid w:val="00F57CC0"/>
    <w:rsid w:val="00F91496"/>
    <w:rsid w:val="00FB3979"/>
    <w:rsid w:val="00FC47E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467AC"/>
  <w15:docId w15:val="{48A66DA2-F21C-4F46-9D36-5E30FBBFF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6E3F0C"/>
    <w:rPr>
      <w:sz w:val="16"/>
      <w:szCs w:val="16"/>
    </w:rPr>
  </w:style>
  <w:style w:type="paragraph" w:styleId="CommentText">
    <w:name w:val="annotation text"/>
    <w:basedOn w:val="Normal"/>
    <w:link w:val="CommentTextChar"/>
    <w:semiHidden/>
    <w:unhideWhenUsed/>
    <w:rsid w:val="006E3F0C"/>
    <w:rPr>
      <w:sz w:val="20"/>
      <w:szCs w:val="20"/>
    </w:rPr>
  </w:style>
  <w:style w:type="character" w:customStyle="1" w:styleId="CommentTextChar">
    <w:name w:val="Comment Text Char"/>
    <w:basedOn w:val="DefaultParagraphFont"/>
    <w:link w:val="CommentText"/>
    <w:semiHidden/>
    <w:rsid w:val="006E3F0C"/>
    <w:rPr>
      <w:sz w:val="20"/>
      <w:szCs w:val="20"/>
    </w:rPr>
  </w:style>
  <w:style w:type="paragraph" w:styleId="CommentSubject">
    <w:name w:val="annotation subject"/>
    <w:basedOn w:val="CommentText"/>
    <w:next w:val="CommentText"/>
    <w:link w:val="CommentSubjectChar"/>
    <w:semiHidden/>
    <w:unhideWhenUsed/>
    <w:rsid w:val="006E3F0C"/>
    <w:rPr>
      <w:b/>
      <w:bCs/>
    </w:rPr>
  </w:style>
  <w:style w:type="character" w:customStyle="1" w:styleId="CommentSubjectChar">
    <w:name w:val="Comment Subject Char"/>
    <w:basedOn w:val="CommentTextChar"/>
    <w:link w:val="CommentSubject"/>
    <w:semiHidden/>
    <w:rsid w:val="006E3F0C"/>
    <w:rPr>
      <w:b/>
      <w:bCs/>
      <w:sz w:val="20"/>
      <w:szCs w:val="20"/>
    </w:rPr>
  </w:style>
  <w:style w:type="paragraph" w:styleId="BalloonText">
    <w:name w:val="Balloon Text"/>
    <w:basedOn w:val="Normal"/>
    <w:link w:val="BalloonTextChar"/>
    <w:semiHidden/>
    <w:unhideWhenUsed/>
    <w:rsid w:val="006E3F0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E3F0C"/>
    <w:rPr>
      <w:rFonts w:ascii="Segoe UI" w:hAnsi="Segoe UI" w:cs="Segoe UI"/>
      <w:sz w:val="18"/>
      <w:szCs w:val="18"/>
    </w:rPr>
  </w:style>
  <w:style w:type="paragraph" w:customStyle="1" w:styleId="EndNoteBibliography">
    <w:name w:val="EndNote Bibliography"/>
    <w:basedOn w:val="Normal"/>
    <w:link w:val="EndNoteBibliographyChar"/>
    <w:rsid w:val="006A3A16"/>
    <w:pPr>
      <w:spacing w:after="0"/>
    </w:pPr>
    <w:rPr>
      <w:rFonts w:ascii="Calibri" w:hAnsi="Calibri"/>
    </w:rPr>
  </w:style>
  <w:style w:type="character" w:customStyle="1" w:styleId="EndNoteBibliographyChar">
    <w:name w:val="EndNote Bibliography Char"/>
    <w:basedOn w:val="DefaultParagraphFont"/>
    <w:link w:val="EndNoteBibliography"/>
    <w:rsid w:val="006A3A16"/>
    <w:rPr>
      <w:rFonts w:ascii="Calibri" w:hAnsi="Calibri"/>
    </w:rPr>
  </w:style>
  <w:style w:type="character" w:customStyle="1" w:styleId="apple-converted-space">
    <w:name w:val="apple-converted-space"/>
    <w:basedOn w:val="DefaultParagraphFont"/>
    <w:rsid w:val="009334B8"/>
  </w:style>
  <w:style w:type="paragraph" w:styleId="Revision">
    <w:name w:val="Revision"/>
    <w:hidden/>
    <w:semiHidden/>
    <w:rsid w:val="00856F9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5460">
      <w:bodyDiv w:val="1"/>
      <w:marLeft w:val="0"/>
      <w:marRight w:val="0"/>
      <w:marTop w:val="0"/>
      <w:marBottom w:val="0"/>
      <w:divBdr>
        <w:top w:val="none" w:sz="0" w:space="0" w:color="auto"/>
        <w:left w:val="none" w:sz="0" w:space="0" w:color="auto"/>
        <w:bottom w:val="none" w:sz="0" w:space="0" w:color="auto"/>
        <w:right w:val="none" w:sz="0" w:space="0" w:color="auto"/>
      </w:divBdr>
    </w:div>
    <w:div w:id="48847900">
      <w:bodyDiv w:val="1"/>
      <w:marLeft w:val="0"/>
      <w:marRight w:val="0"/>
      <w:marTop w:val="0"/>
      <w:marBottom w:val="0"/>
      <w:divBdr>
        <w:top w:val="none" w:sz="0" w:space="0" w:color="auto"/>
        <w:left w:val="none" w:sz="0" w:space="0" w:color="auto"/>
        <w:bottom w:val="none" w:sz="0" w:space="0" w:color="auto"/>
        <w:right w:val="none" w:sz="0" w:space="0" w:color="auto"/>
      </w:divBdr>
    </w:div>
    <w:div w:id="389309386">
      <w:bodyDiv w:val="1"/>
      <w:marLeft w:val="0"/>
      <w:marRight w:val="0"/>
      <w:marTop w:val="0"/>
      <w:marBottom w:val="0"/>
      <w:divBdr>
        <w:top w:val="none" w:sz="0" w:space="0" w:color="auto"/>
        <w:left w:val="none" w:sz="0" w:space="0" w:color="auto"/>
        <w:bottom w:val="none" w:sz="0" w:space="0" w:color="auto"/>
        <w:right w:val="none" w:sz="0" w:space="0" w:color="auto"/>
      </w:divBdr>
    </w:div>
    <w:div w:id="612715479">
      <w:bodyDiv w:val="1"/>
      <w:marLeft w:val="0"/>
      <w:marRight w:val="0"/>
      <w:marTop w:val="0"/>
      <w:marBottom w:val="0"/>
      <w:divBdr>
        <w:top w:val="none" w:sz="0" w:space="0" w:color="auto"/>
        <w:left w:val="none" w:sz="0" w:space="0" w:color="auto"/>
        <w:bottom w:val="none" w:sz="0" w:space="0" w:color="auto"/>
        <w:right w:val="none" w:sz="0" w:space="0" w:color="auto"/>
      </w:divBdr>
    </w:div>
    <w:div w:id="1071855669">
      <w:bodyDiv w:val="1"/>
      <w:marLeft w:val="0"/>
      <w:marRight w:val="0"/>
      <w:marTop w:val="0"/>
      <w:marBottom w:val="0"/>
      <w:divBdr>
        <w:top w:val="none" w:sz="0" w:space="0" w:color="auto"/>
        <w:left w:val="none" w:sz="0" w:space="0" w:color="auto"/>
        <w:bottom w:val="none" w:sz="0" w:space="0" w:color="auto"/>
        <w:right w:val="none" w:sz="0" w:space="0" w:color="auto"/>
      </w:divBdr>
    </w:div>
    <w:div w:id="1303193087">
      <w:bodyDiv w:val="1"/>
      <w:marLeft w:val="0"/>
      <w:marRight w:val="0"/>
      <w:marTop w:val="0"/>
      <w:marBottom w:val="0"/>
      <w:divBdr>
        <w:top w:val="none" w:sz="0" w:space="0" w:color="auto"/>
        <w:left w:val="none" w:sz="0" w:space="0" w:color="auto"/>
        <w:bottom w:val="none" w:sz="0" w:space="0" w:color="auto"/>
        <w:right w:val="none" w:sz="0" w:space="0" w:color="auto"/>
      </w:divBdr>
      <w:divsChild>
        <w:div w:id="799767706">
          <w:marLeft w:val="0"/>
          <w:marRight w:val="0"/>
          <w:marTop w:val="0"/>
          <w:marBottom w:val="0"/>
          <w:divBdr>
            <w:top w:val="none" w:sz="0" w:space="0" w:color="auto"/>
            <w:left w:val="none" w:sz="0" w:space="0" w:color="auto"/>
            <w:bottom w:val="none" w:sz="0" w:space="0" w:color="auto"/>
            <w:right w:val="none" w:sz="0" w:space="0" w:color="auto"/>
          </w:divBdr>
        </w:div>
      </w:divsChild>
    </w:div>
    <w:div w:id="1328552282">
      <w:bodyDiv w:val="1"/>
      <w:marLeft w:val="0"/>
      <w:marRight w:val="0"/>
      <w:marTop w:val="0"/>
      <w:marBottom w:val="0"/>
      <w:divBdr>
        <w:top w:val="none" w:sz="0" w:space="0" w:color="auto"/>
        <w:left w:val="none" w:sz="0" w:space="0" w:color="auto"/>
        <w:bottom w:val="none" w:sz="0" w:space="0" w:color="auto"/>
        <w:right w:val="none" w:sz="0" w:space="0" w:color="auto"/>
      </w:divBdr>
    </w:div>
    <w:div w:id="1404258970">
      <w:bodyDiv w:val="1"/>
      <w:marLeft w:val="0"/>
      <w:marRight w:val="0"/>
      <w:marTop w:val="0"/>
      <w:marBottom w:val="0"/>
      <w:divBdr>
        <w:top w:val="none" w:sz="0" w:space="0" w:color="auto"/>
        <w:left w:val="none" w:sz="0" w:space="0" w:color="auto"/>
        <w:bottom w:val="none" w:sz="0" w:space="0" w:color="auto"/>
        <w:right w:val="none" w:sz="0" w:space="0" w:color="auto"/>
      </w:divBdr>
    </w:div>
    <w:div w:id="1580403468">
      <w:bodyDiv w:val="1"/>
      <w:marLeft w:val="0"/>
      <w:marRight w:val="0"/>
      <w:marTop w:val="0"/>
      <w:marBottom w:val="0"/>
      <w:divBdr>
        <w:top w:val="none" w:sz="0" w:space="0" w:color="auto"/>
        <w:left w:val="none" w:sz="0" w:space="0" w:color="auto"/>
        <w:bottom w:val="none" w:sz="0" w:space="0" w:color="auto"/>
        <w:right w:val="none" w:sz="0" w:space="0" w:color="auto"/>
      </w:divBdr>
    </w:div>
    <w:div w:id="1859389054">
      <w:bodyDiv w:val="1"/>
      <w:marLeft w:val="0"/>
      <w:marRight w:val="0"/>
      <w:marTop w:val="0"/>
      <w:marBottom w:val="0"/>
      <w:divBdr>
        <w:top w:val="none" w:sz="0" w:space="0" w:color="auto"/>
        <w:left w:val="none" w:sz="0" w:space="0" w:color="auto"/>
        <w:bottom w:val="none" w:sz="0" w:space="0" w:color="auto"/>
        <w:right w:val="none" w:sz="0" w:space="0" w:color="auto"/>
      </w:divBdr>
    </w:div>
    <w:div w:id="19854250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29/2018MS001500"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doi:10.1038/nclimate287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93/jxb/28.1.16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29/2018MS001500" TargetMode="External"/><Relationship Id="rId5" Type="http://schemas.openxmlformats.org/officeDocument/2006/relationships/footnotes" Target="footnotes.xml"/><Relationship Id="rId15" Type="http://schemas.openxmlformats.org/officeDocument/2006/relationships/hyperlink" Target="https://github.com/forestgeo/Climate" TargetMode="External"/><Relationship Id="rId10" Type="http://schemas.openxmlformats.org/officeDocument/2006/relationships/hyperlink" Target="mailto:teixeirak@si.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github.com/SCBI-ForestGEO/SCBI-ForestGEO-Data/tree/master/tree_dimensions/tree_he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15</Pages>
  <Words>7468</Words>
  <Characters>42571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Alan Tepley</dc:creator>
  <cp:lastModifiedBy>Pederson, Neil</cp:lastModifiedBy>
  <cp:revision>22</cp:revision>
  <dcterms:created xsi:type="dcterms:W3CDTF">2019-11-15T19:24:00Z</dcterms:created>
  <dcterms:modified xsi:type="dcterms:W3CDTF">2019-11-15T21:02:00Z</dcterms:modified>
</cp:coreProperties>
</file>