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28B21" w14:textId="77777777" w:rsidR="00284BFB" w:rsidRDefault="004C07FC">
      <w:pPr>
        <w:pStyle w:val="FirstParagraph"/>
      </w:pPr>
      <w:r>
        <w:rPr>
          <w:b/>
        </w:rPr>
        <w:t>Title:</w:t>
      </w:r>
      <w:r>
        <w:t xml:space="preserve"> Tree height and hydraulic traits shape growth responses across droughts in a temperate broadleaf forest</w:t>
      </w:r>
    </w:p>
    <w:p w14:paraId="02504B95" w14:textId="77777777" w:rsidR="00284BFB" w:rsidRDefault="004C07FC">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5D703765" w14:textId="77777777" w:rsidR="00284BFB" w:rsidRDefault="004C07FC">
      <w:pPr>
        <w:pStyle w:val="BodyText"/>
      </w:pPr>
      <w:r>
        <w:rPr>
          <w:b/>
        </w:rPr>
        <w:t>Author Affiliations:</w:t>
      </w:r>
    </w:p>
    <w:p w14:paraId="3509F43D" w14:textId="77777777" w:rsidR="00284BFB" w:rsidRDefault="004C07FC">
      <w:pPr>
        <w:pStyle w:val="Compact"/>
        <w:numPr>
          <w:ilvl w:val="0"/>
          <w:numId w:val="2"/>
        </w:numPr>
      </w:pPr>
      <w:r>
        <w:t>Conservation Ecology Center; Smithsonian Conservation Biology Institute; National Zoological Park, Front Royal, VA 22630, USA</w:t>
      </w:r>
    </w:p>
    <w:p w14:paraId="59EB8AC5" w14:textId="77777777" w:rsidR="00284BFB" w:rsidRDefault="004C07FC">
      <w:pPr>
        <w:pStyle w:val="Compact"/>
        <w:numPr>
          <w:ilvl w:val="0"/>
          <w:numId w:val="2"/>
        </w:numPr>
      </w:pPr>
      <w:r>
        <w:t>Center for Geospatial Analytics; North Carolina State University; Raleigh, NC 27607, USA</w:t>
      </w:r>
    </w:p>
    <w:p w14:paraId="3C3793C3" w14:textId="77777777" w:rsidR="00284BFB" w:rsidRDefault="004C07FC">
      <w:pPr>
        <w:pStyle w:val="Compact"/>
        <w:numPr>
          <w:ilvl w:val="0"/>
          <w:numId w:val="2"/>
        </w:numPr>
      </w:pPr>
      <w:r>
        <w:t>Center for Tropical Forest Science-Forest Global Earth Observatory; Smithsonian Tropical Research Institute; Panama, Republic of Panama</w:t>
      </w:r>
    </w:p>
    <w:p w14:paraId="3B2C84C5" w14:textId="77777777" w:rsidR="00284BFB" w:rsidRDefault="004C07FC">
      <w:pPr>
        <w:pStyle w:val="Compact"/>
        <w:numPr>
          <w:ilvl w:val="0"/>
          <w:numId w:val="2"/>
        </w:numPr>
      </w:pPr>
      <w:r>
        <w:t>Canadian Forest Service, Northern Forestry Centre, Edmonton, Alberta, Canada</w:t>
      </w:r>
    </w:p>
    <w:p w14:paraId="35EE46BE" w14:textId="77777777" w:rsidR="00284BFB" w:rsidRDefault="004C07FC">
      <w:pPr>
        <w:pStyle w:val="Compact"/>
        <w:numPr>
          <w:ilvl w:val="0"/>
          <w:numId w:val="2"/>
        </w:numPr>
      </w:pPr>
      <w:r>
        <w:t>Biological Sciences Department; California State University; Los Angeles, CA 90032, USA</w:t>
      </w:r>
    </w:p>
    <w:p w14:paraId="111CC450" w14:textId="77777777" w:rsidR="00284BFB" w:rsidRDefault="004C07FC">
      <w:pPr>
        <w:pStyle w:val="Compact"/>
        <w:numPr>
          <w:ilvl w:val="0"/>
          <w:numId w:val="2"/>
        </w:numPr>
      </w:pPr>
      <w:r>
        <w:t>Department of Environmental Sciences, University of Virginia, Charlottesville, VA 22903, USA</w:t>
      </w:r>
    </w:p>
    <w:p w14:paraId="17A3EA03" w14:textId="77777777" w:rsidR="00284BFB" w:rsidRDefault="004C07FC">
      <w:pPr>
        <w:pStyle w:val="Compact"/>
        <w:numPr>
          <w:ilvl w:val="0"/>
          <w:numId w:val="2"/>
        </w:numPr>
      </w:pPr>
      <w:r>
        <w:t>NASA Goddard Space Flight Center; Greenbelt, MD 20771, USA</w:t>
      </w:r>
    </w:p>
    <w:p w14:paraId="06552A5E" w14:textId="77777777" w:rsidR="00284BFB" w:rsidRDefault="004C07FC">
      <w:pPr>
        <w:pStyle w:val="Compact"/>
        <w:numPr>
          <w:ilvl w:val="0"/>
          <w:numId w:val="2"/>
        </w:numPr>
      </w:pPr>
      <w:r>
        <w:t>Harvard Forest, Petersham, MA 01366, USA</w:t>
      </w:r>
    </w:p>
    <w:p w14:paraId="0C47113F" w14:textId="77777777" w:rsidR="00284BFB" w:rsidRDefault="004C07FC">
      <w:pPr>
        <w:pStyle w:val="Compact"/>
        <w:numPr>
          <w:ilvl w:val="0"/>
          <w:numId w:val="2"/>
        </w:numPr>
      </w:pPr>
      <w:r>
        <w:t>Department of Ecology and Evolutionary Biology; University of California, Los Angeles; Los Angeles, CA 90095, USA</w:t>
      </w:r>
    </w:p>
    <w:p w14:paraId="1D6D611A" w14:textId="77777777" w:rsidR="00284BFB" w:rsidRDefault="004C07FC">
      <w:pPr>
        <w:pStyle w:val="Compact"/>
        <w:numPr>
          <w:ilvl w:val="0"/>
          <w:numId w:val="2"/>
        </w:numPr>
      </w:pPr>
      <w:r>
        <w:t>Institute of the Environment and Sustainability; University of California, Los Angeles; Los Angeles, CA 90095, USA</w:t>
      </w:r>
    </w:p>
    <w:p w14:paraId="0832D34D" w14:textId="77777777" w:rsidR="00284BFB" w:rsidRDefault="004C07FC">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495"/>
        <w:gridCol w:w="1101"/>
        <w:gridCol w:w="2607"/>
        <w:gridCol w:w="1373"/>
      </w:tblGrid>
      <w:tr w:rsidR="00284BFB" w14:paraId="35F50AA3" w14:textId="77777777">
        <w:tc>
          <w:tcPr>
            <w:tcW w:w="0" w:type="auto"/>
            <w:tcBorders>
              <w:bottom w:val="single" w:sz="0" w:space="0" w:color="auto"/>
            </w:tcBorders>
            <w:vAlign w:val="bottom"/>
          </w:tcPr>
          <w:p w14:paraId="20E0F4EF" w14:textId="77777777" w:rsidR="00284BFB" w:rsidRDefault="004C07FC">
            <w:pPr>
              <w:pStyle w:val="Compact"/>
            </w:pPr>
            <w:r>
              <w:t>Text</w:t>
            </w:r>
          </w:p>
        </w:tc>
        <w:tc>
          <w:tcPr>
            <w:tcW w:w="0" w:type="auto"/>
            <w:tcBorders>
              <w:bottom w:val="single" w:sz="0" w:space="0" w:color="auto"/>
            </w:tcBorders>
            <w:vAlign w:val="bottom"/>
          </w:tcPr>
          <w:p w14:paraId="712144FF" w14:textId="77777777" w:rsidR="00284BFB" w:rsidRDefault="004C07FC">
            <w:pPr>
              <w:pStyle w:val="Compact"/>
            </w:pPr>
            <w:r>
              <w:t>word count</w:t>
            </w:r>
          </w:p>
        </w:tc>
        <w:tc>
          <w:tcPr>
            <w:tcW w:w="0" w:type="auto"/>
            <w:tcBorders>
              <w:bottom w:val="single" w:sz="0" w:space="0" w:color="auto"/>
            </w:tcBorders>
            <w:vAlign w:val="bottom"/>
          </w:tcPr>
          <w:p w14:paraId="2460D21D" w14:textId="77777777" w:rsidR="00284BFB" w:rsidRDefault="004C07FC">
            <w:pPr>
              <w:pStyle w:val="Compact"/>
            </w:pPr>
            <w:r>
              <w:t>other</w:t>
            </w:r>
          </w:p>
        </w:tc>
        <w:tc>
          <w:tcPr>
            <w:tcW w:w="0" w:type="auto"/>
            <w:tcBorders>
              <w:bottom w:val="single" w:sz="0" w:space="0" w:color="auto"/>
            </w:tcBorders>
            <w:vAlign w:val="bottom"/>
          </w:tcPr>
          <w:p w14:paraId="31697688" w14:textId="77777777" w:rsidR="00284BFB" w:rsidRDefault="004C07FC">
            <w:pPr>
              <w:pStyle w:val="Compact"/>
            </w:pPr>
            <w:r>
              <w:t>n</w:t>
            </w:r>
          </w:p>
        </w:tc>
      </w:tr>
      <w:tr w:rsidR="00284BFB" w14:paraId="51BBA192" w14:textId="77777777">
        <w:tc>
          <w:tcPr>
            <w:tcW w:w="0" w:type="auto"/>
          </w:tcPr>
          <w:p w14:paraId="14A5D0C8" w14:textId="77777777" w:rsidR="00284BFB" w:rsidRDefault="004C07FC">
            <w:pPr>
              <w:pStyle w:val="Compact"/>
            </w:pPr>
            <w:r>
              <w:t>Total word count (excluding summary, references and legends)</w:t>
            </w:r>
          </w:p>
        </w:tc>
        <w:tc>
          <w:tcPr>
            <w:tcW w:w="0" w:type="auto"/>
          </w:tcPr>
          <w:p w14:paraId="384739A9" w14:textId="77777777" w:rsidR="00284BFB" w:rsidRDefault="004C07FC">
            <w:pPr>
              <w:pStyle w:val="Compact"/>
            </w:pPr>
            <w:r>
              <w:t>5,365</w:t>
            </w:r>
          </w:p>
        </w:tc>
        <w:tc>
          <w:tcPr>
            <w:tcW w:w="0" w:type="auto"/>
          </w:tcPr>
          <w:p w14:paraId="1F7BDA4B" w14:textId="77777777" w:rsidR="00284BFB" w:rsidRDefault="004C07FC">
            <w:pPr>
              <w:pStyle w:val="Compact"/>
            </w:pPr>
            <w:r>
              <w:t>No. of figures</w:t>
            </w:r>
          </w:p>
        </w:tc>
        <w:tc>
          <w:tcPr>
            <w:tcW w:w="0" w:type="auto"/>
          </w:tcPr>
          <w:p w14:paraId="6D72372D" w14:textId="77777777" w:rsidR="00284BFB" w:rsidRDefault="004C07FC">
            <w:pPr>
              <w:pStyle w:val="Compact"/>
            </w:pPr>
            <w:r>
              <w:t>2 (both colour)</w:t>
            </w:r>
          </w:p>
        </w:tc>
      </w:tr>
      <w:tr w:rsidR="00284BFB" w14:paraId="56105DCB" w14:textId="77777777">
        <w:tc>
          <w:tcPr>
            <w:tcW w:w="0" w:type="auto"/>
          </w:tcPr>
          <w:p w14:paraId="2632515B" w14:textId="77777777" w:rsidR="00284BFB" w:rsidRDefault="004C07FC">
            <w:pPr>
              <w:pStyle w:val="Compact"/>
            </w:pPr>
            <w:r>
              <w:t>Summary</w:t>
            </w:r>
          </w:p>
        </w:tc>
        <w:tc>
          <w:tcPr>
            <w:tcW w:w="0" w:type="auto"/>
          </w:tcPr>
          <w:p w14:paraId="7367D870" w14:textId="77777777" w:rsidR="00284BFB" w:rsidRDefault="004C07FC">
            <w:pPr>
              <w:pStyle w:val="Compact"/>
            </w:pPr>
            <w:r>
              <w:t>198</w:t>
            </w:r>
          </w:p>
        </w:tc>
        <w:tc>
          <w:tcPr>
            <w:tcW w:w="0" w:type="auto"/>
          </w:tcPr>
          <w:p w14:paraId="71E72C5B" w14:textId="77777777" w:rsidR="00284BFB" w:rsidRDefault="004C07FC">
            <w:pPr>
              <w:pStyle w:val="Compact"/>
            </w:pPr>
            <w:r>
              <w:t>No. of Tables</w:t>
            </w:r>
          </w:p>
        </w:tc>
        <w:tc>
          <w:tcPr>
            <w:tcW w:w="0" w:type="auto"/>
          </w:tcPr>
          <w:p w14:paraId="4C9DA002" w14:textId="77777777" w:rsidR="00284BFB" w:rsidRDefault="004C07FC">
            <w:pPr>
              <w:pStyle w:val="Compact"/>
            </w:pPr>
            <w:r>
              <w:t>5</w:t>
            </w:r>
          </w:p>
        </w:tc>
      </w:tr>
      <w:tr w:rsidR="00284BFB" w14:paraId="71A889FA" w14:textId="77777777">
        <w:tc>
          <w:tcPr>
            <w:tcW w:w="0" w:type="auto"/>
          </w:tcPr>
          <w:p w14:paraId="4CEB1242" w14:textId="77777777" w:rsidR="00284BFB" w:rsidRDefault="004C07FC">
            <w:pPr>
              <w:pStyle w:val="Compact"/>
            </w:pPr>
            <w:r>
              <w:t>Introduction</w:t>
            </w:r>
          </w:p>
        </w:tc>
        <w:tc>
          <w:tcPr>
            <w:tcW w:w="0" w:type="auto"/>
          </w:tcPr>
          <w:p w14:paraId="71283BD3" w14:textId="77777777" w:rsidR="00284BFB" w:rsidRDefault="004C07FC">
            <w:pPr>
              <w:pStyle w:val="Compact"/>
            </w:pPr>
            <w:r>
              <w:t>1,034</w:t>
            </w:r>
          </w:p>
        </w:tc>
        <w:tc>
          <w:tcPr>
            <w:tcW w:w="0" w:type="auto"/>
          </w:tcPr>
          <w:p w14:paraId="2F8C034B" w14:textId="77777777" w:rsidR="00284BFB" w:rsidRDefault="004C07FC">
            <w:pPr>
              <w:pStyle w:val="Compact"/>
            </w:pPr>
            <w:r>
              <w:t>No of Supporting Information files</w:t>
            </w:r>
          </w:p>
        </w:tc>
        <w:tc>
          <w:tcPr>
            <w:tcW w:w="0" w:type="auto"/>
          </w:tcPr>
          <w:p w14:paraId="29670E9E" w14:textId="77777777" w:rsidR="00284BFB" w:rsidRDefault="004C07FC">
            <w:pPr>
              <w:pStyle w:val="Compact"/>
            </w:pPr>
            <w:r>
              <w:t>6</w:t>
            </w:r>
          </w:p>
        </w:tc>
      </w:tr>
      <w:tr w:rsidR="00284BFB" w14:paraId="1B0777CD" w14:textId="77777777">
        <w:tc>
          <w:tcPr>
            <w:tcW w:w="0" w:type="auto"/>
          </w:tcPr>
          <w:p w14:paraId="69C24011" w14:textId="77777777" w:rsidR="00284BFB" w:rsidRDefault="004C07FC">
            <w:pPr>
              <w:pStyle w:val="Compact"/>
            </w:pPr>
            <w:r>
              <w:t>Materials and Methods</w:t>
            </w:r>
          </w:p>
        </w:tc>
        <w:tc>
          <w:tcPr>
            <w:tcW w:w="0" w:type="auto"/>
          </w:tcPr>
          <w:p w14:paraId="5C20BCF1" w14:textId="77777777" w:rsidR="00284BFB" w:rsidRDefault="004C07FC">
            <w:pPr>
              <w:pStyle w:val="Compact"/>
            </w:pPr>
            <w:r>
              <w:t>1,945</w:t>
            </w:r>
          </w:p>
        </w:tc>
        <w:tc>
          <w:tcPr>
            <w:tcW w:w="0" w:type="auto"/>
          </w:tcPr>
          <w:p w14:paraId="6EFD518C" w14:textId="77777777" w:rsidR="00284BFB" w:rsidRDefault="00284BFB"/>
        </w:tc>
        <w:tc>
          <w:tcPr>
            <w:tcW w:w="0" w:type="auto"/>
          </w:tcPr>
          <w:p w14:paraId="072E6C90" w14:textId="77777777" w:rsidR="00284BFB" w:rsidRDefault="00284BFB"/>
        </w:tc>
      </w:tr>
      <w:tr w:rsidR="00284BFB" w14:paraId="057B7DFC" w14:textId="77777777">
        <w:tc>
          <w:tcPr>
            <w:tcW w:w="0" w:type="auto"/>
          </w:tcPr>
          <w:p w14:paraId="088BC2C0" w14:textId="77777777" w:rsidR="00284BFB" w:rsidRDefault="004C07FC">
            <w:pPr>
              <w:pStyle w:val="Compact"/>
            </w:pPr>
            <w:r>
              <w:t>Results</w:t>
            </w:r>
          </w:p>
        </w:tc>
        <w:tc>
          <w:tcPr>
            <w:tcW w:w="0" w:type="auto"/>
          </w:tcPr>
          <w:p w14:paraId="74BAF9F7" w14:textId="77777777" w:rsidR="00284BFB" w:rsidRDefault="004C07FC">
            <w:pPr>
              <w:pStyle w:val="Compact"/>
            </w:pPr>
            <w:r>
              <w:t>697</w:t>
            </w:r>
          </w:p>
        </w:tc>
        <w:tc>
          <w:tcPr>
            <w:tcW w:w="0" w:type="auto"/>
          </w:tcPr>
          <w:p w14:paraId="44147E1A" w14:textId="77777777" w:rsidR="00284BFB" w:rsidRDefault="00284BFB"/>
        </w:tc>
        <w:tc>
          <w:tcPr>
            <w:tcW w:w="0" w:type="auto"/>
          </w:tcPr>
          <w:p w14:paraId="61369192" w14:textId="77777777" w:rsidR="00284BFB" w:rsidRDefault="00284BFB"/>
        </w:tc>
      </w:tr>
      <w:tr w:rsidR="00284BFB" w14:paraId="3AA975B5" w14:textId="77777777">
        <w:tc>
          <w:tcPr>
            <w:tcW w:w="0" w:type="auto"/>
          </w:tcPr>
          <w:p w14:paraId="6D9CEE42" w14:textId="77777777" w:rsidR="00284BFB" w:rsidRDefault="004C07FC">
            <w:pPr>
              <w:pStyle w:val="Compact"/>
            </w:pPr>
            <w:r>
              <w:t>Discussion</w:t>
            </w:r>
          </w:p>
        </w:tc>
        <w:tc>
          <w:tcPr>
            <w:tcW w:w="0" w:type="auto"/>
          </w:tcPr>
          <w:p w14:paraId="386D3F48" w14:textId="77777777" w:rsidR="00284BFB" w:rsidRDefault="004C07FC">
            <w:pPr>
              <w:pStyle w:val="Compact"/>
            </w:pPr>
            <w:r>
              <w:t>1467</w:t>
            </w:r>
          </w:p>
        </w:tc>
        <w:tc>
          <w:tcPr>
            <w:tcW w:w="0" w:type="auto"/>
          </w:tcPr>
          <w:p w14:paraId="522176CF" w14:textId="77777777" w:rsidR="00284BFB" w:rsidRDefault="00284BFB"/>
        </w:tc>
        <w:tc>
          <w:tcPr>
            <w:tcW w:w="0" w:type="auto"/>
          </w:tcPr>
          <w:p w14:paraId="68D7D23E" w14:textId="77777777" w:rsidR="00284BFB" w:rsidRDefault="00284BFB"/>
        </w:tc>
      </w:tr>
      <w:tr w:rsidR="00284BFB" w14:paraId="709F0A01" w14:textId="77777777">
        <w:tc>
          <w:tcPr>
            <w:tcW w:w="0" w:type="auto"/>
          </w:tcPr>
          <w:p w14:paraId="12156AC9" w14:textId="77777777" w:rsidR="00284BFB" w:rsidRDefault="004C07FC">
            <w:pPr>
              <w:pStyle w:val="Compact"/>
            </w:pPr>
            <w:r>
              <w:t>Acknowledgements</w:t>
            </w:r>
          </w:p>
        </w:tc>
        <w:tc>
          <w:tcPr>
            <w:tcW w:w="0" w:type="auto"/>
          </w:tcPr>
          <w:p w14:paraId="5AAE662D" w14:textId="77777777" w:rsidR="00284BFB" w:rsidRDefault="004C07FC">
            <w:pPr>
              <w:pStyle w:val="Compact"/>
            </w:pPr>
            <w:r>
              <w:t>125</w:t>
            </w:r>
          </w:p>
        </w:tc>
        <w:tc>
          <w:tcPr>
            <w:tcW w:w="0" w:type="auto"/>
          </w:tcPr>
          <w:p w14:paraId="6F92BF49" w14:textId="77777777" w:rsidR="00284BFB" w:rsidRDefault="00284BFB"/>
        </w:tc>
        <w:tc>
          <w:tcPr>
            <w:tcW w:w="0" w:type="auto"/>
          </w:tcPr>
          <w:p w14:paraId="6BC145C8" w14:textId="77777777" w:rsidR="00284BFB" w:rsidRDefault="00284BFB"/>
        </w:tc>
      </w:tr>
    </w:tbl>
    <w:p w14:paraId="204FCE6A" w14:textId="77777777" w:rsidR="00284BFB" w:rsidRDefault="004C07FC">
      <w:r>
        <w:br w:type="page"/>
      </w:r>
    </w:p>
    <w:p w14:paraId="30AE6A56" w14:textId="77777777" w:rsidR="00284BFB" w:rsidRDefault="004C07FC">
      <w:pPr>
        <w:pStyle w:val="Heading3"/>
      </w:pPr>
      <w:bookmarkStart w:id="0" w:name="summary"/>
      <w:r>
        <w:lastRenderedPageBreak/>
        <w:t>Summary</w:t>
      </w:r>
      <w:bookmarkEnd w:id="0"/>
    </w:p>
    <w:p w14:paraId="2E323711" w14:textId="77777777" w:rsidR="00284BFB" w:rsidRDefault="004C07FC">
      <w:pPr>
        <w:numPr>
          <w:ilvl w:val="0"/>
          <w:numId w:val="3"/>
        </w:numPr>
      </w:pPr>
      <w:r>
        <w:t>As climate change is driving increased drought frequency and severity in many forested regions around the world, mechanistic understanding of the factors conferring drought resistance in trees is increasingly important. The dendrochronological record provides a window through which we can understand how tree size and species’ traits shape tree growth responses during droughts.</w:t>
      </w:r>
    </w:p>
    <w:p w14:paraId="57774823" w14:textId="77777777" w:rsidR="00284BFB" w:rsidRDefault="004C07FC">
      <w:pPr>
        <w:numPr>
          <w:ilvl w:val="0"/>
          <w:numId w:val="3"/>
        </w:numPr>
      </w:pPr>
      <w:r>
        <w:t>We analyzed tree-ring records for twelve species that comprise 97% of the woody productivity of the 25.6-ha ForestGEO plot in a broadleaf deciduous forest of northern Virginia (USA) to test hypotheses on how tree height, microenvironment characteristics, and species’ traits shaped drought responses across the three strongest regional droughts over a 60-year period (1950 - 2009).</w:t>
      </w:r>
    </w:p>
    <w:p w14:paraId="16175310" w14:textId="77777777" w:rsidR="00284BFB" w:rsidRDefault="004C07FC">
      <w:pPr>
        <w:numPr>
          <w:ilvl w:val="0"/>
          <w:numId w:val="3"/>
        </w:numPr>
      </w:pPr>
      <w:r>
        <w:t>Individual-level drought resistance decreased with tree height and was not significantly linked to canopy position. The potentially greater rooting volume of larger trees did not confer an advantage in sites with low topgraphic wetness index. Resistance was greater among species whose leaves experienced less shrinkage upon desiccation and lost turgor (wilted) at more negative water potentials.</w:t>
      </w:r>
    </w:p>
    <w:p w14:paraId="17DA5951" w14:textId="77777777" w:rsidR="00284BFB" w:rsidRDefault="004C07FC">
      <w:pPr>
        <w:numPr>
          <w:ilvl w:val="0"/>
          <w:numId w:val="3"/>
        </w:numPr>
      </w:pPr>
      <w:r>
        <w:t>We conclude that tree height and hydraulic traits influence growth responses during drought, as recorded in the tree-ring record spanning historical droughts. Thus, these factors can be useful for predicting future drought responses under climate change.</w:t>
      </w:r>
    </w:p>
    <w:p w14:paraId="2EA13D5C" w14:textId="77777777" w:rsidR="00284BFB" w:rsidRDefault="004C07FC">
      <w:pPr>
        <w:pStyle w:val="FirstParagraph"/>
      </w:pPr>
      <w:r>
        <w:rPr>
          <w:i/>
        </w:rPr>
        <w:t>Key words</w:t>
      </w:r>
      <w:r>
        <w:t>: annual growth; canopy position; drought; Forest Global Earth Observatory (ForestGEO); leaf hydraulic traits; temperate broadleaf deciduous forest; tree height; tree-ring</w:t>
      </w:r>
    </w:p>
    <w:p w14:paraId="7ABBD074" w14:textId="77777777" w:rsidR="00284BFB" w:rsidRDefault="004C07FC">
      <w:r>
        <w:br w:type="page"/>
      </w:r>
    </w:p>
    <w:p w14:paraId="1238F0C6" w14:textId="77777777" w:rsidR="00284BFB" w:rsidRDefault="004C07FC">
      <w:pPr>
        <w:pStyle w:val="Heading3"/>
      </w:pPr>
      <w:bookmarkStart w:id="1" w:name="introduction"/>
      <w:r>
        <w:lastRenderedPageBreak/>
        <w:t>Introduction</w:t>
      </w:r>
      <w:bookmarkEnd w:id="1"/>
    </w:p>
    <w:p w14:paraId="2D798E82" w14:textId="77777777" w:rsidR="00284BFB" w:rsidRDefault="004C07FC">
      <w:pPr>
        <w:pStyle w:val="FirstParagraph"/>
      </w:pPr>
      <w:r>
        <w:t>Forests play a critical global role in climate regulation [@bonan_forests_2008], yet there remains enormous uncertainty as to how the terrestrial carbon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@dai_climate_2018], often despite increasing precipitation [@intergovernmental_panel_on_climate_change_climate_2015; @cook_unprecedented_2015]. Droughts, intensified by climate change, have been affecting forests worldwide and are expected to continue as one of the most important drivers of forest change in the future [@allen_global_2010; @allen_underestimation_2015]. Understanding forest responses to drought requires elucidation of how tree size, microenvironment, and species’ traits jointly influence individual-level drought resistance, and the extent to which their influence is consistent across droughts. However, it has proven difficult to resolve the many factors affecting tree growth during drought with available forest census data, which only rarely captures extreme drought, and with tree-ring records, which capture multiple droughts but rarely consider the roles of tree size and microenvironment.</w:t>
      </w:r>
    </w:p>
    <w:p w14:paraId="2B5CDC02" w14:textId="77777777" w:rsidR="00284BFB" w:rsidRDefault="004C07FC">
      <w:pPr>
        <w:pStyle w:val="BodyText"/>
      </w:pPr>
      <w:r>
        <w:t>Many studies have shown that within species, large trees tend to be more affected by drought. Greater growth reductions for larger trees was first shown on a global scale by @bennett_larger_2015, and subsequent studies have reinforced this finding (</w:t>
      </w:r>
      <w:r>
        <w:rPr>
          <w:i/>
        </w:rPr>
        <w:t>e.g.</w:t>
      </w:r>
      <w:r>
        <w:t>, @stovall_tree_2019; @hacket-pain_consistent_2016). It has yet to be resolved which of several potential underlying mechanisms most strongly shape size trends in drought response. First, tree height may be a primary driver. Taller trees face the biophysical challenge of lifting water greater distances against the effects of gravity and friction [@mcdowell_relationships_2011; @mcdowell_darcys_2015; @ryan_hydraulic_2006; @couvreur_water_2018]. Vertical gradients in stem and leaf traits–including smaller and thicker leaves (higher leaf mass per area, LMA), greater resistance to hydraulic dysfunction (</w:t>
      </w:r>
      <w:r>
        <w:rPr>
          <w:i/>
        </w:rPr>
        <w:t>i.e.</w:t>
      </w:r>
      <w:r>
        <w:t>, more negative water potential at 50% loss of hydraulic conductivity, more negative P50), and lower hydraulic conductivity at greater heights [@couvreur_water_2018; @koike_leaf_2001; @mcdowell_relationships_2011]–enable trees to become tall [@couvreur_water_2018]. Indeed, tall trees require xylem of greater hydraulic efficiency, such that xylem conduit diameters are wider in the basal portions of taller trees, both within and across species [@olson_plant_2018; @liu_hydraulic_2019], and throughout the conductive systems of angiosperms (</w:t>
      </w:r>
      <w:r>
        <w:rPr>
          <w:i/>
        </w:rPr>
        <w:t>Zak et al. 2010, Olson et al. 2014,2018</w:t>
      </w:r>
      <w:r>
        <w:t>). Wider xylem conduits plausibly make large trees more vulnerable to embolism during drought [@olson_plant_2018], and traits conducive to efficient water transport may also lead to poor ability to recover from or re-route water around embolisms [@roskilly_conflicting_2019]. Second, larger trees may have lower drought resistance because they tend to occupy more exposed canopy positions, where they experience higher solar radiation, greater wind speeds, and lower relative humidity (</w:t>
      </w:r>
      <w:r>
        <w:rPr>
          <w:b/>
        </w:rPr>
        <w:t>REFS–KAT</w:t>
      </w:r>
      <w:r>
        <w:t xml:space="preserve">). Subcanopy trees tend to fare better specifically due to the benefits of a buffered environment [@pretzsch_drought_2018]. Third, large trees tend to have larger root systems, which potentially counteracts some of the biophysical challenges they face by allowing greater </w:t>
      </w:r>
      <w:r>
        <w:lastRenderedPageBreak/>
        <w:t>access to water; however, it appears that this effect is usually insufficient to offset the costs of height and/or crown exposure. Finally, tree size-related responses to drought can be modified by species’ traits and their distribution across size classes [@meakem_role_2018; @liu_hydraulic_2019]. Understanding the mechanisms driving the greater relative growth reductions of larger trees during drought will require sorting out the interactive effects of height, canopy position, root water access, and species’ traits.</w:t>
      </w:r>
    </w:p>
    <w:p w14:paraId="2470F6D8" w14:textId="77777777" w:rsidR="00284BFB" w:rsidRDefault="004C07FC">
      <w:pPr>
        <w:pStyle w:val="BodyText"/>
      </w:pPr>
      <w:r>
        <w:t xml:space="preserve">Debates have also arisen regarding the traits influencing tree growth responses to drought. </w:t>
      </w:r>
      <w:r>
        <w:rPr>
          <w:i/>
        </w:rPr>
        <w:t>It has been observed that ring-porous species showing higher drought tolerance than diffuse-porous species [@friedrichs_species-specific_2009; @elliott_forest_2015; @kannenberg_linking_2019], but this classification does not resolve differences among the many species within each category.</w:t>
      </w:r>
      <w:r>
        <w:t xml:space="preserve"> Commonly-measured traits including wood density and leaf mass per area (</w:t>
      </w:r>
      <m:oMath>
        <m:r>
          <w:rPr>
            <w:rFonts w:ascii="Cambria Math" w:hAnsi="Cambria Math"/>
          </w:rPr>
          <m:t>LMA</m:t>
        </m:r>
      </m:oMath>
      <w:r>
        <w:t>) have been linked to drought responses in some temperate deciduous forests [@abrams_adaptations_1990; @guerfel_impacts_2009; @hoffmann_hydraulic_2011; @martinbenito_convergence_2015] and other forest biomes around the world [@greenwood_tree_2017]. However, in other cases these traits could not explain drought tolerance [@marechaux_leaf_2019], or the direction of response was not always consistent. For instance, higher wood density has been associated with greater drought resistance at a global scale [@greenwood_tree_2017], but it correlated negatively with tree performance during drought in a broadleaf deciduous forest in the southeastern United States [@hoffmann_hydraulic_2011]. Thus, the perceived influence of these traits on drought resistance may actually reflect indirect correlations with other traits that more directly drive drought responses [@hoffmann_hydraulic_2011]. Recent work has shown a great potential for hydraulic traits to predict growth and mortality responses. Hydraulic traits including water potentials at which percent loss of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w:t>
      </w:r>
      <w:commentRangeStart w:id="2"/>
      <w:r>
        <w:t>hydraulic safety margin</w:t>
      </w:r>
      <w:commentRangeEnd w:id="2"/>
      <w:r w:rsidR="00115D5D">
        <w:rPr>
          <w:rStyle w:val="CommentReference"/>
        </w:rPr>
        <w:commentReference w:id="2"/>
      </w:r>
      <w:r>
        <w:t xml:space="preserve"> correlate with drought performance [@anderegg_hydraulic_2018] but are time-consuming to measure and therefore infeasible for predicting or modeling drought responses in highly diverse forests (</w:t>
      </w:r>
      <w:r>
        <w:rPr>
          <w:i/>
        </w:rPr>
        <w:t>e.g.</w:t>
      </w:r>
      <w:r>
        <w:t>, in the tropics). More easily measurable leaf hydraulic traits with direct linkage to plant hydraulic function can explain greater variation in plant distribution and function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1CBA8633" w14:textId="77777777" w:rsidR="00284BFB" w:rsidRDefault="004C07FC">
      <w:pPr>
        <w:pStyle w:val="BodyText"/>
      </w:pPr>
      <w:r>
        <w:t xml:space="preserve">Here, we examine how tree height,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census data from a large forest dynamics plot in Virginia, USA. First, we focus on the role of tree height and its interaction with microenvironment. We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higher in ring-porous than semi-ring and diffuse-porous species, that </w:t>
      </w:r>
      <w:del w:id="3" w:author="Zailaa, Joseph" w:date="2020-07-13T22:56:00Z">
        <w:r w:rsidRPr="00115D5D" w:rsidDel="00115D5D">
          <w:rPr>
            <w:i/>
            <w:iCs/>
            <w:rPrChange w:id="4" w:author="Zailaa, Joseph" w:date="2020-07-13T22:56:00Z">
              <w:rPr/>
            </w:rPrChange>
          </w:rPr>
          <w:lastRenderedPageBreak/>
          <w:delText>it</w:delText>
        </w:r>
        <w:r w:rsidDel="00115D5D">
          <w:delText xml:space="preserve"> </w:delText>
        </w:r>
      </w:del>
      <w:ins w:id="5" w:author="Zailaa, Joseph" w:date="2020-07-13T22:56:00Z">
        <w:r w:rsidR="00115D5D">
          <w:rPr>
            <w:i/>
            <w:iCs/>
          </w:rPr>
          <w:t>R</w:t>
        </w:r>
        <w:r w:rsidR="00115D5D" w:rsidRPr="00115D5D">
          <w:rPr>
            <w:vertAlign w:val="subscript"/>
            <w:rPrChange w:id="6" w:author="Zailaa, Joseph" w:date="2020-07-13T22:56:00Z">
              <w:rPr/>
            </w:rPrChange>
          </w:rPr>
          <w:t>t</w:t>
        </w:r>
        <w:r w:rsidR="00115D5D">
          <w:t xml:space="preserve"> </w:t>
        </w:r>
      </w:ins>
      <w:r>
        <w:t xml:space="preserve">is correlated with wood density–either postively [@greenwood_tree_2017] or negatively [@hoffmann_hydraulic_2011]– and positively correlated with </w:t>
      </w:r>
      <m:oMath>
        <m:r>
          <w:rPr>
            <w:rFonts w:ascii="Cambria Math" w:hAnsi="Cambria Math"/>
          </w:rPr>
          <m:t>LMA</m:t>
        </m:r>
      </m:oMath>
      <w:r>
        <w:t xml:space="preserve">, and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w:t>
      </w:r>
      <w:commentRangeStart w:id="7"/>
      <w:r>
        <w:t>better predictors</w:t>
      </w:r>
      <w:commentRangeEnd w:id="7"/>
      <w:r w:rsidR="00115D5D">
        <w:rPr>
          <w:rStyle w:val="CommentReference"/>
        </w:rPr>
        <w:commentReference w:id="7"/>
      </w:r>
      <w:r>
        <w:t>.</w:t>
      </w:r>
    </w:p>
    <w:p w14:paraId="3ABB222D" w14:textId="77777777" w:rsidR="00284BFB" w:rsidRDefault="004C07FC">
      <w:pPr>
        <w:pStyle w:val="Heading3"/>
      </w:pPr>
      <w:bookmarkStart w:id="8" w:name="materials-and-methods"/>
      <w:r>
        <w:t>Materials and Methods</w:t>
      </w:r>
      <w:bookmarkEnd w:id="8"/>
    </w:p>
    <w:p w14:paraId="381AF569" w14:textId="77777777" w:rsidR="00284BFB" w:rsidRDefault="004C07FC">
      <w:pPr>
        <w:pStyle w:val="FirstParagraph"/>
      </w:pPr>
      <w:r>
        <w:rPr>
          <w:i/>
        </w:rPr>
        <w:t>Study site</w:t>
      </w:r>
    </w:p>
    <w:p w14:paraId="7D45878B" w14:textId="77777777" w:rsidR="00284BFB" w:rsidRDefault="004C07FC">
      <w:pPr>
        <w:pStyle w:val="BodyText"/>
      </w:pPr>
      <w:r>
        <w:t xml:space="preserve">Research was conducted at the 25.6-ha ForestGEO (Forest Global Earth Observatory) study plot at the Smithsonian Conservation Biology Institute (SCBI) in Virginia, USA (38°53’36.6“N, 78°08’43.4”W) [@bourg_initial_2013; @andersonteixeira_ctfs-forestgeo:_2015]. SCBI is located in the central Appalachian Mountains near the northern boundary of Shenandoah National Park. Elevations range from 273 to 338 m above sea level with a topographic relief of 65m [@bourg_initial_2013]. Climate is humid temperate, with mean annual temperature of </w:t>
      </w:r>
      <w:commentRangeStart w:id="9"/>
      <w:r>
        <w:t>12.7</w:t>
      </w:r>
      <m:oMath>
        <m:r>
          <w:rPr>
            <w:rFonts w:ascii="Cambria Math" w:hAnsi="Cambria Math"/>
          </w:rPr>
          <m:t>∘</m:t>
        </m:r>
      </m:oMath>
      <w:r>
        <w:t xml:space="preserve">C and precipitation of 1005 mm </w:t>
      </w:r>
      <w:commentRangeEnd w:id="9"/>
      <w:r w:rsidR="00115D5D">
        <w:rPr>
          <w:rStyle w:val="CommentReference"/>
        </w:rPr>
        <w:commentReference w:id="9"/>
      </w:r>
      <w:r>
        <w:t xml:space="preserve">during our study period (1960-2009; source: CRU TS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w:t>
      </w:r>
    </w:p>
    <w:p w14:paraId="6F6DEDDB" w14:textId="77777777" w:rsidR="00284BFB" w:rsidRDefault="004C07FC">
      <w:pPr>
        <w:pStyle w:val="BodyText"/>
      </w:pPr>
      <w:r>
        <w:rPr>
          <w:i/>
        </w:rPr>
        <w:t>Data collection and preparation</w:t>
      </w:r>
    </w:p>
    <w:p w14:paraId="674AEF41" w14:textId="77777777" w:rsidR="00284BFB" w:rsidRDefault="004C07FC">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 are available through the ForestGEO data portal (www.forestgeo.si.edu).</w:t>
      </w:r>
    </w:p>
    <w:p w14:paraId="40C984D4" w14:textId="77777777" w:rsidR="00284BFB" w:rsidRDefault="004C07FC">
      <w:pPr>
        <w:pStyle w:val="BodyText"/>
      </w:pPr>
      <w:r>
        <w:t>We analyzed tree-ring data (xylem growth increment) from 571 trees representing the twelve species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 </w:t>
      </w:r>
      <w:r>
        <w:rPr>
          <w:b/>
        </w:rPr>
        <w:t>S1</w:t>
      </w:r>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In 2016-2017, cores were collected from all trees found dead during annual mortality censuses [@gonzalezakre_patterns_2016]. Cores were sanded, measured, and crossdated using standard procedures, as detailed in [@helcoski_growing_2019]. The resulting chronologies were published in Zenodo (DOI: 10.5281/zenodo.2649302) in association with @helcoski_growing_2019.</w:t>
      </w:r>
    </w:p>
    <w:p w14:paraId="0DF9884B" w14:textId="77777777" w:rsidR="00284BFB" w:rsidRDefault="004C07FC">
      <w:pPr>
        <w:pStyle w:val="BodyText"/>
      </w:pPr>
      <w:r>
        <w:t>For each cored tree, we combined tree-ring records and allometric equations of bark thickness to reconstruct DBH for the years 1950-2009. Prior DBH was estimated using the following equation:</w:t>
      </w:r>
    </w:p>
    <w:p w14:paraId="38EE5F77" w14:textId="77777777" w:rsidR="00284BFB" w:rsidRDefault="004C07FC">
      <w:pPr>
        <w:pStyle w:val="BodyText"/>
      </w:pPr>
      <m:oMathPara>
        <m:oMathParaPr>
          <m:jc m:val="center"/>
        </m:oMathParaPr>
        <m:oMath>
          <m:r>
            <w:rPr>
              <w:rFonts w:ascii="Cambria Math" w:hAnsi="Cambria Math"/>
            </w:rPr>
            <w:lastRenderedPageBreak/>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2BD1373E" w14:textId="77777777" w:rsidR="00284BFB" w:rsidRDefault="004C07FC">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on log-transformed data to relate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to diameter inside bark from 2008 data (Table S1), which were then used to determine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in the </w:t>
      </w:r>
      <m:oMath>
        <m:r>
          <w:rPr>
            <w:rFonts w:ascii="Cambria Math" w:hAnsi="Cambria Math"/>
          </w:rPr>
          <m:t>DBH</m:t>
        </m:r>
      </m:oMath>
      <w:r>
        <w:t xml:space="preserve"> reconstruction.</w:t>
      </w:r>
    </w:p>
    <w:p w14:paraId="1441054A" w14:textId="77777777" w:rsidR="00284BFB" w:rsidRDefault="004C07FC">
      <w:pPr>
        <w:pStyle w:val="BodyText"/>
      </w:pPr>
      <w:r>
        <w:t>Tree heights (</w:t>
      </w:r>
      <m:oMath>
        <m:r>
          <w:rPr>
            <w:rFonts w:ascii="Cambria Math" w:hAnsi="Cambria Math"/>
          </w:rPr>
          <m:t>H</m:t>
        </m:r>
      </m:oMath>
      <w:r>
        <w:t>) were measured by several researchers for a variety of purposes between 2012 to 2019 (n=1,518 trees). Measurement methods included direct measurements using a collapsible measurement rod on small trees [@neon_national_2018] or a tape measure on recently fallen trees (this study); geometric calculations using clinometer and tape measure [@stovall_assessing_2018] or digital rangefinders [@andersonteixeira_size-related_2015; @neon_national_2018]; and ground-based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ln[H]∼ln[DBH]</m:t>
        </m:r>
      </m:oMath>
      <w:r>
        <w:t xml:space="preserve">).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w:t>
      </w:r>
    </w:p>
    <w:p w14:paraId="1D74B177" w14:textId="77777777" w:rsidR="00284BFB" w:rsidRDefault="004C07FC">
      <w:pPr>
        <w:pStyle w:val="BodyText"/>
      </w:pPr>
      <w:r>
        <w:t xml:space="preserve">Crown position–a categorical variable including dominant, co-dominant, intermediate, and suppressed–was recorded for all cored trees that remained standing during the growing season of 2018 following the protocol of @jennings_assessing_1999. While some tree crowns undoubtedly changed position over the past several decades, in this case the bias would be unlikely to result in false acceptance of the prediction that dominant trees have the lowest </w:t>
      </w:r>
      <m:oMath>
        <m:r>
          <w:rPr>
            <w:rFonts w:ascii="Cambria Math" w:hAnsi="Cambria Math"/>
          </w:rPr>
          <m:t>Rt</m:t>
        </m:r>
      </m:oMath>
      <w:r>
        <w:t xml:space="preserve"> (</w:t>
      </w:r>
      <w:r>
        <w:rPr>
          <w:i/>
        </w:rPr>
        <w:t>i.e.</w:t>
      </w:r>
      <w:r>
        <w:t xml:space="preserve">, type I error unlikely, type II error possible), making our hypothesis test conservative. An analysis of crown position relative to height (Fig. </w:t>
      </w:r>
      <w:r>
        <w:rPr>
          <w:b/>
        </w:rPr>
        <w:t>2d</w:t>
      </w:r>
      <w:r>
        <w:t xml:space="preserve">) and height changes since the beginning of the study period indicated that changes between focal drought years (1966, 1977, and 1999; see below) were fairly small relative to differences among canopy positions (Fig. </w:t>
      </w:r>
      <w:r>
        <w:rPr>
          <w:b/>
        </w:rPr>
        <w:t>S3</w:t>
      </w:r>
      <w:r>
        <w:t xml:space="preserve">), with average tree height growth confined to ~0.82 m from 1966 to 1977, ~1.45 m from 1977 to 1999, and ~1.97 m from 1999 to 2018. However, dominant and co-dominant trees were similar in height (Figs. </w:t>
      </w:r>
      <w:r>
        <w:rPr>
          <w:b/>
        </w:rPr>
        <w:t>2d</w:t>
      </w:r>
      <w:r>
        <w:t xml:space="preserve">, </w:t>
      </w:r>
      <w:r>
        <w:rPr>
          <w:b/>
        </w:rPr>
        <w:t>S3</w:t>
      </w:r>
      <w:r>
        <w:t>).</w:t>
      </w:r>
    </w:p>
    <w:p w14:paraId="20C8E3F2" w14:textId="77777777" w:rsidR="00284BFB" w:rsidRDefault="004C07FC">
      <w:pPr>
        <w:pStyle w:val="BodyText"/>
      </w:pPr>
      <w:r>
        <w:t xml:space="preserve">Topographic wetness index (TWI) was calculated using the dynatopmodel package in R (Fig. </w:t>
      </w:r>
      <w:r>
        <w:rPr>
          <w:b/>
        </w:rPr>
        <w:t>S1</w:t>
      </w:r>
      <w:r>
        <w:t xml:space="preserve">) [@R-dynatopmodel]. Originally developed by @beven_physically_1979, TWI was part of a hydrological run-off model and has since been used for a number of purposes in hydrology and ecology [@sorensen_calculation_2006]. TWI calculation depends on an </w:t>
      </w:r>
      <w:r>
        <w:lastRenderedPageBreak/>
        <w:t>input of a digital elevation model (DEM; ~3.7 m resolution from the elevatr package [@R-elevatr]), and from this yields a quantitative assessment defined by how “wet” an area is, based on areas where run-off is more likely. From our observations in the plot, TWI performed better at categorizing wet areas than the Euclidean distance from the stream.</w:t>
      </w:r>
    </w:p>
    <w:p w14:paraId="55DD79DA" w14:textId="77777777" w:rsidR="00284BFB" w:rsidRDefault="004C07FC">
      <w:pPr>
        <w:pStyle w:val="BodyText"/>
      </w:pPr>
      <w:r>
        <w:t>Hydraulic traits were collected in August 2018 (Table 3). We sampled small sun-exposed branches up to eight meters above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2C989037" w14:textId="77777777" w:rsidR="00284BFB" w:rsidRDefault="004C07FC">
      <w:pPr>
        <w:pStyle w:val="BodyText"/>
      </w:pPr>
      <w:r>
        <w:t>To characterize how environmental conditions vary with height, data were obtained from the NEON tower located &lt;1km from the study area via the neonUtilities package [@R-neonUtilities]. We used wind speed, relative humidity, and air temperature data, all measured over a vertical profile spanning heights from 7.2 m to above the top of the tree canopy (31.0 or 51.8m, depending on censor), for the years 2016-2018 [@neon_national_2018]. After filtering for missing and outlier values, we determined the daily minima and maxima, which we then aggregated at the monthly scale.</w:t>
      </w:r>
    </w:p>
    <w:p w14:paraId="73E156A8" w14:textId="77777777" w:rsidR="00284BFB" w:rsidRDefault="004C07FC">
      <w:pPr>
        <w:pStyle w:val="BodyText"/>
      </w:pPr>
      <w:r>
        <w:rPr>
          <w:i/>
        </w:rPr>
        <w:t>Identifying drought years</w:t>
      </w:r>
    </w:p>
    <w:p w14:paraId="26C67294" w14:textId="77777777" w:rsidR="00284BFB" w:rsidRDefault="004C07FC">
      <w:pPr>
        <w:pStyle w:val="BodyText"/>
      </w:pPr>
      <w:r>
        <w:t>We identified the three largest droughts within the time period 1950-2009, defining drought [@slette_how_2019] as events with both anomalously dry peak growing season climatic conditions. Specifically, we used the metric of Palmer Drought Severity Index (PDSI) during May-August (MJJA; Table S3), which were identified by @helcoski_growing_2019 as the months of the current year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we identified three drought years - 1966, 1977, and 1999 (Figs. </w:t>
      </w:r>
      <w:r>
        <w:rPr>
          <w:b/>
        </w:rPr>
        <w:t>1</w:t>
      </w:r>
      <w:r>
        <w:t xml:space="preserve">, </w:t>
      </w:r>
      <w:r>
        <w:rPr>
          <w:b/>
        </w:rPr>
        <w:t>S2</w:t>
      </w:r>
      <w:r>
        <w:t>, Table S3).</w:t>
      </w:r>
    </w:p>
    <w:p w14:paraId="262661DF" w14:textId="77777777" w:rsidR="00284BFB" w:rsidRDefault="004C07FC">
      <w:pPr>
        <w:pStyle w:val="BodyText"/>
      </w:pPr>
      <w:r>
        <w:t xml:space="preserve">The droughts differed in intensity and antecedent moisture conditions (Fig. </w:t>
      </w:r>
      <w:r>
        <w:rPr>
          <w:b/>
        </w:rPr>
        <w:t>S2</w:t>
      </w:r>
      <w:r>
        <w:t xml:space="preserve">, Table S3). The 1966 drought was preceded by two years of moderate drought during the growing season and severe to extreme drought starting the previous fall and in August reached the </w:t>
      </w:r>
      <w:r>
        <w:lastRenderedPageBreak/>
        <w:t xml:space="preserve">lowest growing season </w:t>
      </w:r>
      <m:oMath>
        <m:r>
          <w:rPr>
            <w:rFonts w:ascii="Cambria Math" w:hAnsi="Cambria Math"/>
          </w:rPr>
          <m:t>PDSI</m:t>
        </m:r>
      </m:oMath>
      <w:r>
        <w:t xml:space="preserv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reached the lowest PDSI during May-July (-4.53).</w:t>
      </w:r>
    </w:p>
    <w:p w14:paraId="29857424" w14:textId="77777777" w:rsidR="00284BFB" w:rsidRDefault="004C07FC">
      <w:pPr>
        <w:pStyle w:val="BodyText"/>
      </w:pPr>
      <w:r>
        <w:rPr>
          <w:i/>
        </w:rPr>
        <w:t>Statistical Analysis</w:t>
      </w:r>
    </w:p>
    <w:p w14:paraId="7FC55188" w14:textId="77777777" w:rsidR="00284BFB" w:rsidRDefault="004C07FC">
      <w:pPr>
        <w:pStyle w:val="BodyText"/>
      </w:pPr>
      <w:r>
        <w:t>For each drought year, we calculated drought resistance (</w:t>
      </w:r>
      <m:oMath>
        <m:r>
          <w:rPr>
            <w:rFonts w:ascii="Cambria Math" w:hAnsi="Cambria Math"/>
          </w:rPr>
          <m:t>Rt</m:t>
        </m:r>
      </m:oMath>
      <w:r>
        <w:t>) as the ratio of basal area increment (</w:t>
      </w:r>
      <m:oMath>
        <m:r>
          <w:rPr>
            <w:rFonts w:ascii="Cambria Math" w:hAnsi="Cambria Math"/>
          </w:rPr>
          <m:t>BAI</m:t>
        </m:r>
      </m:oMath>
      <w:r>
        <w:t xml:space="preserve">) during drought to the mean </w:t>
      </w:r>
      <m:oMath>
        <m:r>
          <w:rPr>
            <w:rFonts w:ascii="Cambria Math" w:hAnsi="Cambria Math"/>
          </w:rPr>
          <m:t>BAI</m:t>
        </m:r>
      </m:oMath>
      <w:r>
        <w:t xml:space="preserve"> over the five years preceding the drought [@lloret_components_2011]. Thus, </w:t>
      </w:r>
      <m:oMath>
        <m:r>
          <w:rPr>
            <w:rFonts w:ascii="Cambria Math" w:hAnsi="Cambria Math"/>
          </w:rPr>
          <m:t>Rt</m:t>
        </m:r>
      </m:oMath>
      <w:r>
        <w:t xml:space="preserve"> values &lt;1 and &gt;1 indicate growth reductions and increases, respectively. Because the </w:t>
      </w:r>
      <m:oMath>
        <m:r>
          <w:rPr>
            <w:rFonts w:ascii="Cambria Math" w:hAnsi="Cambria Math"/>
          </w:rPr>
          <m:t>Rt</m:t>
        </m:r>
      </m:oMath>
      <w:r>
        <w:t xml:space="preserve"> metric could be biased by directional pre-drought growth trends, we also tried an intervention time series analysis (ARIMA, [@R-forecast]) that predicted mean drought-year growth based on trends over the past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Because </w:t>
      </w:r>
      <m:oMath>
        <m:r>
          <w:rPr>
            <w:rFonts w:ascii="Cambria Math" w:hAnsi="Cambria Math"/>
          </w:rPr>
          <m:t>Rt</m:t>
        </m:r>
      </m:oMath>
      <w:r>
        <w:t xml:space="preserve"> tended to produce more 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when there was a large difference between these metrics, we selected </w:t>
      </w:r>
      <m:oMath>
        <m:r>
          <w:rPr>
            <w:rFonts w:ascii="Cambria Math" w:hAnsi="Cambria Math"/>
          </w:rPr>
          <m:t>Rt</m:t>
        </m:r>
      </m:oMath>
      <w:r>
        <w:t xml:space="preserve"> as our focal metric, presenting parallel results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the Supplementary Info. We focus exclusively on drought resistance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and not on the resilience metrics described in @lloret_components_2011, because (1) we would expect resilience to be controlled by a different set of mechanisms, and (2) the findings of </w:t>
      </w:r>
      <w:hyperlink r:id="rId13">
        <w:r>
          <w:rPr>
            <w:rStyle w:val="Hyperlink"/>
            <w:i/>
          </w:rPr>
          <w:t>DeSoto et al. (2020)</w:t>
        </w:r>
      </w:hyperlink>
      <w:r>
        <w:t xml:space="preserve"> suggest that </w:t>
      </w:r>
      <m:oMath>
        <m:r>
          <w:rPr>
            <w:rFonts w:ascii="Cambria Math" w:hAnsi="Cambria Math"/>
          </w:rPr>
          <m:t>Rt</m:t>
        </m:r>
      </m:oMath>
      <w:r>
        <w:t xml:space="preserve"> is a more important drought response metric for angiosperms.</w:t>
      </w:r>
    </w:p>
    <w:p w14:paraId="4FD5C10C" w14:textId="77777777" w:rsidR="00284BFB" w:rsidRDefault="004C07FC">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as the response variable. Models were run for all drought years combined and for each drought year individually. The general statistical model for hypothesis testing was a generalized linear mixed model (GLMM), implemented in the </w:t>
      </w:r>
      <w:r>
        <w:rPr>
          <w:b/>
        </w:rPr>
        <w:t>XX</w:t>
      </w:r>
      <w:r>
        <w:t xml:space="preserve"> package in R [</w:t>
      </w:r>
      <w:r>
        <w:rPr>
          <w:b/>
        </w:rPr>
        <w:t>REF</w:t>
      </w:r>
      <w:r>
        <w:t xml:space="preserve">],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as the response variable, tree nested within species as a random effect, and independent variables including drought year (multi-drought model only), </w:t>
      </w:r>
      <m:oMath>
        <m:r>
          <w:rPr>
            <w:rFonts w:ascii="Cambria Math" w:hAnsi="Cambria Math"/>
          </w:rPr>
          <m:t>ln[H]</m:t>
        </m:r>
      </m:oMath>
      <w:r>
        <w:t>*</w:t>
      </w:r>
      <m:oMath>
        <m:r>
          <w:rPr>
            <w:rFonts w:ascii="Cambria Math" w:hAnsi="Cambria Math"/>
          </w:rPr>
          <m:t>TWI</m:t>
        </m:r>
      </m:oMath>
      <w:r>
        <w:t>, crown position, and 1-2 species traits (see below). We used AICc to assess model selection, and conditional/marginal R-squared to assess model fit as implemented in the AICcmodavg package in R [@R-AICcmodavg]. AICc refers to a corrected version of AICc, and is best suited for small data sizes [see @brewer_relative_2016].</w:t>
      </w:r>
    </w:p>
    <w:p w14:paraId="565BBFE7" w14:textId="77777777" w:rsidR="00284BFB" w:rsidRDefault="004C07FC">
      <w:pPr>
        <w:pStyle w:val="BodyText"/>
      </w:pPr>
      <w:r>
        <w:t xml:space="preserve">To avoid over-fitting models with five species traits (Table 2) across only 12 species, we did not include all traits as fixed effects in a single GLMM, but rather conducted individual tests of each species trait to determine the relative importance and appropriateness for inclusion in the main model. These tests followed the model structure specified above. Trait variables were considered appropriate for inclusion in the main model if they had a consistent direction of response across all droughts and if their addition to a corresponding null model lacking the trait improved fit (at </w:t>
      </w:r>
      <m:oMath>
        <m:r>
          <w:rPr>
            <w:rFonts w:ascii="Cambria Math" w:hAnsi="Cambria Math"/>
          </w:rPr>
          <m:t>Δ</m:t>
        </m:r>
      </m:oMath>
      <w:r>
        <w:t xml:space="preserve">AICc </w:t>
      </w:r>
      <m:oMath>
        <m:r>
          <w:rPr>
            <w:rFonts w:ascii="Cambria Math" w:hAnsi="Cambria Math"/>
          </w:rPr>
          <m:t>≥</m:t>
        </m:r>
      </m:oMath>
      <w:r>
        <w:t xml:space="preserve"> 1.0) in at least one drought year (Table 4). We note that the </w:t>
      </w:r>
      <m:oMath>
        <m:r>
          <w:rPr>
            <w:rFonts w:ascii="Cambria Math" w:hAnsi="Cambria Math"/>
          </w:rPr>
          <m:t>Δ</m:t>
        </m:r>
      </m:oMath>
      <w:r>
        <w:t xml:space="preserve">AICc </w:t>
      </w:r>
      <m:oMath>
        <m:r>
          <w:rPr>
            <w:rFonts w:ascii="Cambria Math" w:hAnsi="Cambria Math"/>
          </w:rPr>
          <m:t>≥</m:t>
        </m:r>
      </m:oMath>
      <w:r>
        <w:t xml:space="preserve"> 1.0 criterion is not a test of significance, but of whether the variable has enough influence to be considered as a </w:t>
      </w:r>
      <w:r>
        <w:rPr>
          <w:i/>
        </w:rPr>
        <w:t>candidate</w:t>
      </w:r>
      <w:r>
        <w:t xml:space="preserve"> variable in full models.</w:t>
      </w:r>
    </w:p>
    <w:p w14:paraId="18DDD2E4" w14:textId="77777777" w:rsidR="00284BFB" w:rsidRDefault="004C07FC">
      <w:pPr>
        <w:pStyle w:val="BodyText"/>
      </w:pPr>
      <w:r>
        <w:t xml:space="preserve">We then determined the best full models for predicting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To do so, we compared models with all possible combinations of candidate variables and identified the full set of models within </w:t>
      </w:r>
      <m:oMath>
        <m:r>
          <w:rPr>
            <w:rFonts w:ascii="Cambria Math" w:hAnsi="Cambria Math"/>
          </w:rPr>
          <m:t>Δ</m:t>
        </m:r>
      </m:oMath>
      <w:r>
        <w:t xml:space="preserve">AICc=2 of the very top model (that with lowest AICc). When a </w:t>
      </w:r>
      <w:r>
        <w:lastRenderedPageBreak/>
        <w:t xml:space="preserve">variable appeared in all of these models and the sign of the coefficient was consistent across models, we viewed this as support for the acceptance/rejection of the associated prediction (Table 1). If the variable appeared in some but not all of these models, and its sign we was consistent across models, we considered this partial support/rejection. In presentation of the results below, we note instances where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disagreed with the </w:t>
      </w:r>
      <m:oMath>
        <m:r>
          <w:rPr>
            <w:rFonts w:ascii="Cambria Math" w:hAnsi="Cambria Math"/>
          </w:rPr>
          <m:t>Rt</m:t>
        </m:r>
      </m:oMath>
      <w:r>
        <w:t xml:space="preserve"> model, but otherwise do not discuss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w:t>
      </w:r>
    </w:p>
    <w:p w14:paraId="10F043BB" w14:textId="77777777" w:rsidR="00284BFB" w:rsidRDefault="004C07FC">
      <w:pPr>
        <w:pStyle w:val="BodyText"/>
      </w:pPr>
      <w:r>
        <w:t>All analysis beyond basic data collection was performed using R version 3.5.3 [@R-base]. Other R-packages aside from those already listed were very helpful in conducting analyses. These are listed in the Supplementary Information. All data, code, and results are available through the SCBI-ForestGEO organization on GitHub (</w:t>
      </w:r>
      <w:hyperlink r:id="rId14">
        <w:r>
          <w:rPr>
            <w:rStyle w:val="Hyperlink"/>
          </w:rPr>
          <w:t>https://github.com/SCBI-ForestGEO</w:t>
        </w:r>
      </w:hyperlink>
      <w:r>
        <w:t>: SCBI-ForestGEO-Data and McGregor_climate-sensitivity-variation repositories), with static versions corresponding to data and analyses presented here archived in Zenodo (DOIs: 10.5281/zenodo.3604993 and [TBD], respectively.</w:t>
      </w:r>
    </w:p>
    <w:p w14:paraId="6C631AAC" w14:textId="77777777" w:rsidR="00284BFB" w:rsidRDefault="004C07FC">
      <w:pPr>
        <w:pStyle w:val="Heading3"/>
      </w:pPr>
      <w:bookmarkStart w:id="10" w:name="results"/>
      <w:r>
        <w:t>Results</w:t>
      </w:r>
      <w:bookmarkEnd w:id="10"/>
    </w:p>
    <w:p w14:paraId="31032C1A" w14:textId="77777777" w:rsidR="00284BFB" w:rsidRDefault="004C07FC">
      <w:pPr>
        <w:pStyle w:val="FirstParagraph"/>
      </w:pPr>
      <w:r>
        <w:rPr>
          <w:i/>
        </w:rPr>
        <w:t>Community-level and species’ drought responses</w:t>
      </w:r>
    </w:p>
    <w:p w14:paraId="61BF9F69" w14:textId="77777777" w:rsidR="00284BFB" w:rsidRDefault="004C07FC">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26% of trees in 1966, 22% in 1977, and 26% in 1999.</w:t>
      </w:r>
    </w:p>
    <w:p w14:paraId="0F53614E" w14:textId="77777777" w:rsidR="00284BFB" w:rsidRDefault="004C07FC">
      <w:pPr>
        <w:pStyle w:val="BodyText"/>
      </w:pPr>
      <w:r>
        <w:t xml:space="preserve">Responses varied across species and by drought (Fig. 2). Averaged across all droughts, </w:t>
      </w:r>
      <m:oMath>
        <m:r>
          <w:rPr>
            <w:rFonts w:ascii="Cambria Math" w:hAnsi="Cambria Math"/>
          </w:rPr>
          <m:t>Rt</m:t>
        </m:r>
      </m:oMath>
      <w:r>
        <w:t xml:space="preserve"> was lowest in </w:t>
      </w:r>
      <w:r>
        <w:rPr>
          <w:i/>
        </w:rPr>
        <w:t>Liriodendron tulipifera</w:t>
      </w:r>
      <w:r>
        <w:t xml:space="preserve"> (mean </w:t>
      </w:r>
      <m:oMath>
        <m:r>
          <w:rPr>
            <w:rFonts w:ascii="Cambria Math" w:hAnsi="Cambria Math"/>
          </w:rPr>
          <m:t>Rt</m:t>
        </m:r>
      </m:oMath>
      <w:r>
        <w:t xml:space="preserve"> = </w:t>
      </w:r>
      <w:r>
        <w:rPr>
          <w:b/>
        </w:rPr>
        <w:t>0.66</w:t>
      </w:r>
      <w:r>
        <w:t xml:space="preserve">) and highest in </w:t>
      </w:r>
      <w:r>
        <w:rPr>
          <w:i/>
        </w:rPr>
        <w:t>Fagus grandifolia</w:t>
      </w:r>
      <w:r>
        <w:t xml:space="preserve"> (mean </w:t>
      </w:r>
      <m:oMath>
        <m:r>
          <w:rPr>
            <w:rFonts w:ascii="Cambria Math" w:hAnsi="Cambria Math"/>
          </w:rPr>
          <m:t>Rt</m:t>
        </m:r>
      </m:oMath>
      <w:r>
        <w:t xml:space="preserve"> = </w:t>
      </w:r>
      <w:r>
        <w:rPr>
          <w:b/>
        </w:rPr>
        <w:t>0.99</w:t>
      </w:r>
      <w:r>
        <w:t>).</w:t>
      </w:r>
    </w:p>
    <w:p w14:paraId="0CC89EDE" w14:textId="77777777" w:rsidR="00284BFB" w:rsidRDefault="004C07FC">
      <w:pPr>
        <w:pStyle w:val="BodyText"/>
      </w:pPr>
      <w:r>
        <w:rPr>
          <w:i/>
        </w:rPr>
        <w:t>Tree size, microenvironment, and drought resistance</w:t>
      </w:r>
    </w:p>
    <w:p w14:paraId="0783609A" w14:textId="77777777" w:rsidR="00284BFB" w:rsidRDefault="004C07FC">
      <w:pPr>
        <w:pStyle w:val="BodyText"/>
      </w:pPr>
      <w:r>
        <w:t xml:space="preserve">Taller trees showed stronger growth reductions during drought when evaluating the three drought years together and for 1966 individually (Table 1; Fig. 4;). Specifically, </w:t>
      </w:r>
      <m:oMath>
        <m:r>
          <w:rPr>
            <w:rFonts w:ascii="Cambria Math" w:hAnsi="Cambria Math"/>
          </w:rPr>
          <m:t>ln[H]</m:t>
        </m:r>
      </m:oMath>
      <w:r>
        <w:t xml:space="preserve"> appeared, with negative coefficient, in the top models and all models within </w:t>
      </w:r>
      <m:oMath>
        <m:r>
          <w:rPr>
            <w:rFonts w:ascii="Cambria Math" w:hAnsi="Cambria Math"/>
          </w:rPr>
          <m:t>Δ</m:t>
        </m:r>
      </m:oMath>
      <w:r>
        <w:t xml:space="preserve">AICc=2 of these (Tables S6-S7). For the 1977 and 1999 droughts, </w:t>
      </w:r>
      <m:oMath>
        <m:r>
          <w:rPr>
            <w:rFonts w:ascii="Cambria Math" w:hAnsi="Cambria Math"/>
          </w:rPr>
          <m:t>ln[H]</m:t>
        </m:r>
      </m:oMath>
      <w:r>
        <w:t xml:space="preserve"> did not appear in the top models, but was included, with negative coefficient, in some of the models that were statistically indistinguishable (</w:t>
      </w:r>
      <m:oMath>
        <m:r>
          <w:rPr>
            <w:rFonts w:ascii="Cambria Math" w:hAnsi="Cambria Math"/>
          </w:rPr>
          <m:t>Δ</m:t>
        </m:r>
      </m:oMath>
      <w:r>
        <w:t>AICc&lt;2) from the top model (Tables 1, S6-S7).</w:t>
      </w:r>
    </w:p>
    <w:p w14:paraId="561D9F07" w14:textId="77777777" w:rsidR="00284BFB" w:rsidRDefault="004C07FC">
      <w:pPr>
        <w:pStyle w:val="BodyText"/>
      </w:pPr>
      <w:r>
        <w:t xml:space="preserve">Crown position varied as expected with height (dominant &gt; co-dominant &gt; intermediate &gt; suppressed), but with substantial variation (Fig. </w:t>
      </w:r>
      <w:r>
        <w:rPr>
          <w:b/>
        </w:rPr>
        <w:t>3d</w:t>
      </w:r>
      <w:r>
        <w:t xml:space="preserve">). Crown position was never statistically significant (Table 1). It did, however, come out in the top models for 1977 and 1999 (Fig. 4), and was included in some of the models within </w:t>
      </w:r>
      <m:oMath>
        <m:r>
          <w:rPr>
            <w:rFonts w:ascii="Cambria Math" w:hAnsi="Cambria Math"/>
          </w:rPr>
          <m:t>Δ</m:t>
        </m:r>
      </m:oMath>
      <w:r>
        <w:t xml:space="preserve">AICc=2 of the top model for 1966 and all droughts combined (Table S6). When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was used as the predictor variable, crown position was never in a top model, and was included among the models within </w:t>
      </w:r>
      <m:oMath>
        <m:r>
          <w:rPr>
            <w:rFonts w:ascii="Cambria Math" w:hAnsi="Cambria Math"/>
          </w:rPr>
          <m:t>Δ</m:t>
        </m:r>
      </m:oMath>
      <w:r>
        <w:t xml:space="preserve">AICc=2 of the top model only for 1977. Canopy position did not have a consistent influence, when included in models within </w:t>
      </w:r>
      <m:oMath>
        <m:r>
          <w:rPr>
            <w:rFonts w:ascii="Cambria Math" w:hAnsi="Cambria Math"/>
          </w:rPr>
          <m:t>Δ</m:t>
        </m:r>
      </m:oMath>
      <w:r>
        <w:t xml:space="preserve">AICc=2 of the top model, across years: dominant trees had the </w:t>
      </w:r>
      <w:r>
        <w:lastRenderedPageBreak/>
        <w:t xml:space="preserve">lowest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1977, but in all other years suppressed trees had the lowest </w:t>
      </w:r>
      <m:oMath>
        <m:r>
          <w:rPr>
            <w:rFonts w:ascii="Cambria Math" w:hAnsi="Cambria Math"/>
          </w:rPr>
          <m:t>Rt</m:t>
        </m:r>
      </m:oMath>
      <w:r>
        <w:t xml:space="preserve"> (Fig. 4; Tables S6-S7).</w:t>
      </w:r>
    </w:p>
    <w:p w14:paraId="496ABA64" w14:textId="77777777" w:rsidR="00284BFB" w:rsidRDefault="004C07FC">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3</w:t>
      </w:r>
      <w:r>
        <w:t xml:space="preserve">). Specifically, maximum daily wind speeds were significantly higher above the top of the canopy (40-50m) than within and below (10-30m) (Fig. </w:t>
      </w:r>
      <w:r>
        <w:rPr>
          <w:b/>
        </w:rPr>
        <w:t>3a</w:t>
      </w:r>
      <w:r>
        <w:t xml:space="preserve">). Relative humidity was also somewhat lower during June-August, ranging from ~50-80% above the canopy and ~60-90% in the understory (Fig. </w:t>
      </w:r>
      <w:r>
        <w:rPr>
          <w:b/>
        </w:rPr>
        <w:t>3b</w:t>
      </w:r>
      <w:r>
        <w:t xml:space="preserve">). Air temperature did not vary across the vertical profile (Fig. </w:t>
      </w:r>
      <w:r>
        <w:rPr>
          <w:b/>
        </w:rPr>
        <w:t>3c</w:t>
      </w:r>
      <w:r>
        <w:t>).</w:t>
      </w:r>
    </w:p>
    <w:p w14:paraId="1E7D68EB" w14:textId="77777777" w:rsidR="00284BFB" w:rsidRDefault="004C07FC">
      <w:pPr>
        <w:pStyle w:val="BodyText"/>
      </w:pPr>
      <m:oMath>
        <m:r>
          <w:rPr>
            <w:rFonts w:ascii="Cambria Math" w:hAnsi="Cambria Math"/>
          </w:rPr>
          <m:t>Rt</m:t>
        </m:r>
      </m:oMath>
      <w:r>
        <w:t xml:space="preserve"> had a signficantly negative response to </w:t>
      </w:r>
      <m:oMath>
        <m:r>
          <w:rPr>
            <w:rFonts w:ascii="Cambria Math" w:hAnsi="Cambria Math"/>
          </w:rPr>
          <m:t>ln[TWI]</m:t>
        </m:r>
      </m:oMath>
      <w:r>
        <w:t xml:space="preserve"> in all drought years combined and in 1977, and a negative effect of </w:t>
      </w:r>
      <m:oMath>
        <m:r>
          <w:rPr>
            <w:rFonts w:ascii="Cambria Math" w:hAnsi="Cambria Math"/>
          </w:rPr>
          <m:t>ln[TWI]</m:t>
        </m:r>
      </m:oMath>
      <w:r>
        <w:t xml:space="preserve"> was included in models within </w:t>
      </w:r>
      <m:oMath>
        <m:r>
          <w:rPr>
            <w:rFonts w:ascii="Cambria Math" w:hAnsi="Cambria Math"/>
          </w:rPr>
          <m:t>Δ</m:t>
        </m:r>
      </m:oMath>
      <w:r>
        <w:t xml:space="preserve">AICc=2 of the top model in 1999 and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1966 (Fig. 4, Tables 4-5). This negates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as the </w:t>
      </w:r>
      <m:oMath>
        <m:r>
          <w:rPr>
            <w:rFonts w:ascii="Cambria Math" w:hAnsi="Cambria Math"/>
          </w:rPr>
          <m:t>ln[H]*ln[TWI]</m:t>
        </m:r>
      </m:oMath>
      <w:r>
        <w:t xml:space="preserve"> interaction was never the significant, and had a positive sign in any models within </w:t>
      </w:r>
      <m:oMath>
        <m:r>
          <w:rPr>
            <w:rFonts w:ascii="Cambria Math" w:hAnsi="Cambria Math"/>
          </w:rPr>
          <m:t>Δ</m:t>
        </m:r>
      </m:oMath>
      <w:r>
        <w:t xml:space="preserve">AICc=2 of the top model in which it appeared (Tables 1, S6-S7). This term did appear, with positive coefficient, in the top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all years combined (Table S7).</w:t>
      </w:r>
    </w:p>
    <w:p w14:paraId="4C2ECA00" w14:textId="77777777" w:rsidR="00284BFB" w:rsidRDefault="004C07FC">
      <w:pPr>
        <w:pStyle w:val="BodyText"/>
      </w:pPr>
      <w:r>
        <w:rPr>
          <w:i/>
        </w:rPr>
        <w:t>Species’ traits and drought resistance</w:t>
      </w:r>
    </w:p>
    <w:p w14:paraId="3A08388B" w14:textId="77777777" w:rsidR="00284BFB" w:rsidRDefault="004C07FC">
      <w:pPr>
        <w:pStyle w:val="BodyText"/>
      </w:pPr>
      <w:r>
        <w:t xml:space="preserve">Wood density, </w:t>
      </w:r>
      <m:oMath>
        <m:r>
          <w:rPr>
            <w:rFonts w:ascii="Cambria Math" w:hAnsi="Cambria Math"/>
          </w:rPr>
          <m:t>LMA</m:t>
        </m:r>
      </m:oMath>
      <w:r>
        <w:t xml:space="preserve">, and xylem porosity were all poor predictors of </w:t>
      </w:r>
      <m:oMath>
        <m:r>
          <w:rPr>
            <w:rFonts w:ascii="Cambria Math" w:hAnsi="Cambria Math"/>
          </w:rPr>
          <m:t>Rt</m:t>
        </m:r>
      </m:oMath>
      <w:r>
        <w:t xml:space="preserve"> (Tables 1,S4-S5).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in the single-variable tests and were therefore excluded from the full models. Xylem porosity was also excluded from the full models, as it had no significant influence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 S4). It is noteworthy that the two diffuse-porous species in our study,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2), further refuting the idea that xylem porosity is a useful predictor of </w:t>
      </w:r>
      <m:oMath>
        <m:r>
          <w:rPr>
            <w:rFonts w:ascii="Cambria Math" w:hAnsi="Cambria Math"/>
          </w:rPr>
          <m:t>Rt</m:t>
        </m:r>
      </m:oMath>
      <w:r>
        <w:t>.</w:t>
      </w:r>
    </w:p>
    <w:p w14:paraId="686DFE77" w14:textId="77777777" w:rsidR="00284BFB" w:rsidRDefault="004C07FC">
      <w:pPr>
        <w:pStyle w:val="BodyText"/>
      </w:pPr>
      <w:r>
        <w:t xml:space="preserve">In contrast,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(Fig. 4; Tables 1,S4-S7). Both had consistent signs across all droughts and explained modest amounts of variation (</w:t>
      </w:r>
      <m:oMath>
        <m:r>
          <w:rPr>
            <w:rFonts w:ascii="Cambria Math" w:hAnsi="Cambria Math"/>
          </w:rPr>
          <m:t>Δ</m:t>
        </m:r>
      </m:oMath>
      <w:r>
        <w:t xml:space="preserve">AICc &gt; 1.0) during at least one of the three droughts (Table S4), qualifying them as candidate variables for the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full models for the three droughts combined and for the 1966 drought individually (Fig. 4; Tables S6-S7). For 1977 and 1999, it was included, with negative coefficient, in some of the models within </w:t>
      </w:r>
      <m:oMath>
        <m:r>
          <w:rPr>
            <w:rFonts w:ascii="Cambria Math" w:hAnsi="Cambria Math"/>
          </w:rPr>
          <m:t>Δ</m:t>
        </m:r>
      </m:oMath>
      <w:r>
        <w:t xml:space="preserve">AICc=2 of the top model (Tables S6-S7).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negative coefficient, in the top full model for all droughts combined and for the 1977 drought individually (Fig. 4; Table 5). It was included in some of the models within </w:t>
      </w:r>
      <m:oMath>
        <m:r>
          <w:rPr>
            <w:rFonts w:ascii="Cambria Math" w:hAnsi="Cambria Math"/>
          </w:rPr>
          <m:t>Δ</m:t>
        </m:r>
      </m:oMath>
      <w:r>
        <w:t>AICc=2 of the top model in 1999 (Tables S6-S7).</w:t>
      </w:r>
    </w:p>
    <w:p w14:paraId="5EC8107E" w14:textId="77777777" w:rsidR="00284BFB" w:rsidRDefault="004C07FC">
      <w:pPr>
        <w:pStyle w:val="Heading3"/>
      </w:pPr>
      <w:bookmarkStart w:id="11" w:name="discussion"/>
      <w:r>
        <w:lastRenderedPageBreak/>
        <w:t>Discussion</w:t>
      </w:r>
      <w:bookmarkEnd w:id="11"/>
    </w:p>
    <w:p w14:paraId="3C2D95E1" w14:textId="77777777" w:rsidR="00284BFB" w:rsidRDefault="004C07FC">
      <w:pPr>
        <w:pStyle w:val="FirstParagraph"/>
      </w:pPr>
      <w:r>
        <w:t xml:space="preserve">Tree height, microenvironment, and hydraulic traits shaped tree growth responses across three droughts at our study site (Table 1, Fig. 4). The greater susceptibility of larger trees to drought, similar to forests worldwide [@bennett_larger_2015], was driven primarily by their height [@stovall_tree_2019]. We found only a marginal additional effect of crown exposure, with a tendency for lowest </w:t>
      </w:r>
      <m:oMath>
        <m:r>
          <w:rPr>
            <w:rFonts w:ascii="Cambria Math" w:hAnsi="Cambria Math"/>
          </w:rPr>
          <m:t>Rt</m:t>
        </m:r>
      </m:oMath>
      <w:r>
        <w:t xml:space="preserve"> among the most exposed (dominant) and suppressed trees. The negative effect of height on </w:t>
      </w:r>
      <m:oMath>
        <m:r>
          <w:rPr>
            <w:rFonts w:ascii="Cambria Math" w:hAnsi="Cambria Math"/>
          </w:rPr>
          <m:t>Rt</m:t>
        </m:r>
      </m:oMath>
      <w:r>
        <w:t xml:space="preserve"> held after accounting for species’ traits. There was no evidence that soil water availability increased drought resistance; in contrast</w:t>
      </w:r>
      <w:commentRangeStart w:id="12"/>
      <w:r>
        <w:t xml:space="preserve">, trees in wetter topographic positions had lower </w:t>
      </w:r>
      <m:oMath>
        <m:r>
          <w:rPr>
            <w:rFonts w:ascii="Cambria Math" w:hAnsi="Cambria Math"/>
          </w:rPr>
          <m:t>Rt</m:t>
        </m:r>
        <w:commentRangeEnd w:id="12"/>
        <m:r>
          <m:rPr>
            <m:sty m:val="p"/>
          </m:rPr>
          <w:rPr>
            <w:rStyle w:val="CommentReference"/>
          </w:rPr>
          <w:commentReference w:id="12"/>
        </m:r>
      </m:oMath>
      <w:r>
        <w:t xml:space="preserve"> [@zuleta_drought-induced_2017; @stovall_tree_2019], and the larger potential rooting volume of large trees provided no advantage in the drier microenvironments. Drought resistance was not linked to species’ </w:t>
      </w:r>
      <m:oMath>
        <m:r>
          <w:rPr>
            <w:rFonts w:ascii="Cambria Math" w:hAnsi="Cambria Math"/>
          </w:rPr>
          <m:t>LMA</m:t>
        </m:r>
      </m:oMath>
      <w:r>
        <w:t>, wood density, or xylem type (ring- vs. diffuse porous), but was negatively correlated with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report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supporting the premise that they were driven by fundamental physiological mechanisms. However, the strengths of each predictor varied across droughts (Fig. 4; Tables S6-S7), indicating that drought characteristics interact with tree size, microenvironment, and traits to shape which individuals are most affected. These findings advance our knowledge of the factors that make trees vulnerable to growth declines during drought–and, by extension, likely make them more vulnerable to mortality [@sapes_plant_2019].</w:t>
      </w:r>
    </w:p>
    <w:p w14:paraId="3BDBA5FD" w14:textId="77777777" w:rsidR="00284BFB" w:rsidRDefault="004C07FC">
      <w:pPr>
        <w:pStyle w:val="BodyText"/>
      </w:pPr>
      <w:r>
        <w:t xml:space="preserve">The droughts considered here were of a magnitude that has occurred with an average frequency of approximately once every 10-15 years (Fig. </w:t>
      </w:r>
      <w:r>
        <w:rPr>
          <w:b/>
        </w:rPr>
        <w:t>1a</w:t>
      </w:r>
      <w:r>
        <w:t xml:space="preserve">, @helcoski_growing_2019) and had substantial but not devastating impacts on tree growth (Figs. </w:t>
      </w:r>
      <w:r>
        <w:rPr>
          <w:b/>
        </w:rPr>
        <w:t>1b, 2</w:t>
      </w:r>
      <w:r>
        <w:t xml:space="preserve">). These droughts were classified as severe (1977) or extreme (1966, 1999) according to the PDSI metric and have been linked to tree mortality in the eastern United States [@druckenbrod_redefining_2019]; however, extreme, multiannual droughts or so-called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w:t>
      </w:r>
      <w:r>
        <w:rPr>
          <w:b/>
        </w:rPr>
        <w:t>S2</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[@bennett_larger_2015; @stovall_tree_2019]. Across all three droughts, the majority of trees experienced reduced growth, but a substantial portion had increased growth (Fig. </w:t>
      </w:r>
      <w:r>
        <w:rPr>
          <w:b/>
        </w:rPr>
        <w:t>1b</w:t>
      </w:r>
      <w:r>
        <w:t>), potentially due to decreased leaf area of competitors during the drought (</w:t>
      </w:r>
      <w:r>
        <w:rPr>
          <w:b/>
        </w:rPr>
        <w:t>REF–if we can find one</w:t>
      </w:r>
      <w:r>
        <w:t xml:space="preserve">), and consistent with prior observations that smaller trees can exhibit increased growth rates during drought [@bennett_larger_2015].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11-12% for all droughts combined, and 18-26% for each individual drought (Table S6).</w:t>
      </w:r>
    </w:p>
    <w:p w14:paraId="747BBF29" w14:textId="77777777" w:rsidR="00284BFB" w:rsidRDefault="004C07FC">
      <w:pPr>
        <w:pStyle w:val="BodyText"/>
      </w:pPr>
      <w:r>
        <w:lastRenderedPageBreak/>
        <w:t xml:space="preserve">Our analysis indicates that tree height has a stronger influence on drought response than does canopy position (Fig. 4; Tables 1, S6-S7).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the collinearity between the two variables (Fig. </w:t>
      </w:r>
      <w:r>
        <w:rPr>
          <w:b/>
        </w:rPr>
        <w:t>3d</w:t>
      </w:r>
      <w:r>
        <w:t xml:space="preserve">) makes it impossible to confidently partition causality. Taller trees are more likely to be in dominant canopy positions (Fig. </w:t>
      </w:r>
      <w:r>
        <w:rPr>
          <w:b/>
        </w:rPr>
        <w:t>3d</w:t>
      </w:r>
      <w:r>
        <w:t xml:space="preserve">) and, largely as a consequence of their position relative to others, face different microenvironments (Fig. </w:t>
      </w:r>
      <w:r>
        <w:rPr>
          <w:b/>
        </w:rPr>
        <w:t>3a-b</w:t>
      </w:r>
      <w:r>
        <w:t>). Even under non-drought conditions, evaporative demand and maximum leaf temperatures increase with tree height [@smith_temperature_1977; @bretfeld_plant_2018; @kunert_revised_2017], and such conditions would incur additional stress during drought, when solar radiation tends to be higher and less water is available for evaporative cooling of the leaves (</w:t>
      </w:r>
      <w:r>
        <w:rPr>
          <w:i/>
        </w:rPr>
        <w:t>Campbell &amp; Norman REF</w:t>
      </w:r>
      <w:r>
        <w:t xml:space="preserve">). However, some decoupling between height and canopy position is introduced by the configuration of neighboring trees (Fig. </w:t>
      </w:r>
      <w:r>
        <w:rPr>
          <w:b/>
        </w:rPr>
        <w:t>3d</w:t>
      </w:r>
      <w:r>
        <w:t>) [@muller-landau_testing_2006], and height was an overall stronger predictor of drought response than crown position (Fig. 4; Tables 1, S6-S7). Belowground, taller trees would tend to have larger root systems, but the potentially greater access to water did not override the disadvantage conferred by height–and, in fact, greater moisture access in non-drought years (here, higher TWI) appears to make trees more sensitive to drought [@zuleta_drought-induced_2017; @stovall_tree_2019].</w:t>
      </w:r>
    </w:p>
    <w:p w14:paraId="4A618972" w14:textId="77777777" w:rsidR="00284BFB" w:rsidRDefault="004C07FC">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lower drought resistance in more exposed trees [@liu_effect_1993; @suarez_factors_2004; @scharnweber_confessions_2019]. It is safe to assume that currently suppressed trees were suppressed throughout our analysis period, and their relatively low </w:t>
      </w:r>
      <m:oMath>
        <m:r>
          <w:rPr>
            <w:rFonts w:ascii="Cambria Math" w:hAnsi="Cambria Math"/>
          </w:rPr>
          <m:t>Rt</m:t>
        </m:r>
      </m:oMath>
      <w:r>
        <w:t xml:space="preserve"> (after accounting for height effects) is real, perhaps as a result of competition [@sohn_potential_2016].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1AE2B681" w14:textId="77777777" w:rsidR="00284BFB" w:rsidRDefault="004C07FC">
      <w:pPr>
        <w:pStyle w:val="BodyText"/>
      </w:pPr>
      <w:r>
        <w:t xml:space="preserve">The development of tree-ring chronologies for the twelve most dominant tree species at our site [@helcoski_growing_2019; @bourg_initial_2013] gave us the sample size to compare historical drought responses across species (Fig. </w:t>
      </w:r>
      <w:r>
        <w:rPr>
          <w:b/>
        </w:rPr>
        <w:t>2</w:t>
      </w:r>
      <w:r>
        <w:t xml:space="preserve">) and associated traits at a single site [see also @elliott_forest_2015]. Concerted measurement of leaf hydraulic traits of emerging importance [@scoffoni_leaf_2014; @bartlett_correlations_2016; </w:t>
      </w:r>
      <w:r>
        <w:lastRenderedPageBreak/>
        <w:t xml:space="preserve">@medeiros_extensive_2019]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@fletcher_evolution_2018; @medeiros_extensive_2019; @simeone_coupled_2019; @rosas_adjustments_2019],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types and adds support to the idea that this trait is useful for categorizing and representing species’ drought responses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 [@schongart_dendroecological_2017], a full linkage of hydraulic traits to drought responses would be invaluable for forecasting how little-known species and whole forests will respond to future droughts [@powell_differences_2017].</w:t>
      </w:r>
    </w:p>
    <w:p w14:paraId="06802F69" w14:textId="77777777" w:rsidR="00284BFB" w:rsidRDefault="004C07FC">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by strong drought in forests around the world [@bennett_larger_2015; @stovall_tree_2019], and we show, at least at this site, that this is primarily driven by their height, potentially with some contributions from canopy position. The distinction is important because it suggests that height </w:t>
      </w:r>
      <w:r>
        <w:rPr>
          <w:i/>
        </w:rPr>
        <w:t>per se</w:t>
      </w:r>
      <w:r>
        <w:t xml:space="preserve"> makes trees vulnerable, even if their crowns are somewhat protected by neighbors, whereas shorter solitary trees or the dominant trees in young forests that recently established after logging or natural disturbances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to mid- successional species at our site (</w:t>
      </w:r>
      <w:r>
        <w:rPr>
          <w:i/>
        </w:rPr>
        <w:t>Liriodendron tulipifera</w:t>
      </w:r>
      <w:r>
        <w:t xml:space="preserve">, </w:t>
      </w:r>
      <w:r>
        <w:rPr>
          <w:i/>
        </w:rPr>
        <w:t>Quercus spp.</w:t>
      </w:r>
      <w:r>
        <w:t xml:space="preserve">, </w:t>
      </w:r>
      <w:r>
        <w:rPr>
          <w:i/>
        </w:rPr>
        <w:t>Fraxinus americana</w:t>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resistance in a mature forest, opening the door for more accurate forecasting of forest responses to future drought.</w:t>
      </w:r>
    </w:p>
    <w:p w14:paraId="7EA779A0" w14:textId="77777777" w:rsidR="00284BFB" w:rsidRDefault="004C07FC">
      <w:pPr>
        <w:pStyle w:val="Heading3"/>
      </w:pPr>
      <w:bookmarkStart w:id="13" w:name="acknowledgements"/>
      <w:r>
        <w:lastRenderedPageBreak/>
        <w:t>Acknowledgements</w:t>
      </w:r>
      <w:bookmarkEnd w:id="13"/>
    </w:p>
    <w:p w14:paraId="79F1EEF3" w14:textId="77777777" w:rsidR="00284BFB" w:rsidRDefault="004C07FC">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hydraulic and functional trait measurements, Edward Brzostek’s lab for collaboration on leaf sampling, and Maya Prestipino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5168DBFC" w14:textId="77777777" w:rsidR="00284BFB" w:rsidRDefault="004C07FC">
      <w:pPr>
        <w:pStyle w:val="Heading3"/>
      </w:pPr>
      <w:bookmarkStart w:id="14" w:name="author-contribution"/>
      <w:r>
        <w:t>Author Contribution</w:t>
      </w:r>
      <w:bookmarkEnd w:id="14"/>
    </w:p>
    <w:p w14:paraId="3ECC2831" w14:textId="77777777" w:rsidR="00284BFB" w:rsidRDefault="004C07FC">
      <w:pPr>
        <w:pStyle w:val="FirstParagraph"/>
      </w:pPr>
      <w:r>
        <w:t>KAT, IM, and AJT designed the research. Tree-ring chronologies were developed by RH under guidance of AJT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392EAAE1" w14:textId="77777777" w:rsidR="00284BFB" w:rsidRDefault="004C07FC">
      <w:pPr>
        <w:pStyle w:val="Heading3"/>
      </w:pPr>
      <w:bookmarkStart w:id="15" w:name="supplementary-information"/>
      <w:r>
        <w:t>Supplementary Information</w:t>
      </w:r>
      <w:bookmarkEnd w:id="15"/>
    </w:p>
    <w:p w14:paraId="4E5E53BA" w14:textId="77777777" w:rsidR="00284BFB" w:rsidRDefault="004C07FC">
      <w:pPr>
        <w:pStyle w:val="FirstParagraph"/>
      </w:pPr>
      <w:r>
        <w:t>Table S1: Species-specific bark thickness regression equations</w:t>
      </w:r>
    </w:p>
    <w:p w14:paraId="13BEE62F" w14:textId="77777777" w:rsidR="00284BFB" w:rsidRDefault="004C07FC">
      <w:pPr>
        <w:pStyle w:val="BodyText"/>
      </w:pPr>
      <w:r>
        <w:t>Table S2: Species-specific height regression equations</w:t>
      </w:r>
    </w:p>
    <w:p w14:paraId="1D9143DC" w14:textId="77777777" w:rsidR="00284BFB" w:rsidRDefault="004C07FC">
      <w:pPr>
        <w:pStyle w:val="BodyText"/>
      </w:pPr>
      <w:r>
        <w:t>Table S3: Palmer drought severity index (PDSI) by month for focal droughts</w:t>
      </w:r>
    </w:p>
    <w:p w14:paraId="68E51DE5" w14:textId="77777777" w:rsidR="00284BFB" w:rsidRDefault="004C07FC">
      <w:pPr>
        <w:pStyle w:val="BodyText"/>
      </w:pPr>
      <w:r>
        <w:t>Figure S1: Map of ForestGEO plot showing TWI and location of cored trees</w:t>
      </w:r>
    </w:p>
    <w:p w14:paraId="38B8C544" w14:textId="77777777" w:rsidR="00284BFB" w:rsidRDefault="004C07FC">
      <w:pPr>
        <w:pStyle w:val="BodyText"/>
      </w:pPr>
      <w:r>
        <w:t>Figure S2: Time series of Palmer Drought Severity Index (PDSI) for the 2.5 years prior to each focal drought</w:t>
      </w:r>
    </w:p>
    <w:p w14:paraId="23748AD6" w14:textId="77777777" w:rsidR="00284BFB" w:rsidRDefault="004C07FC">
      <w:pPr>
        <w:pStyle w:val="BodyText"/>
      </w:pPr>
      <w:r>
        <w:t>Figure S3: Height (from reconstructed DBH) by canopy position across the three focal droughts and in the year of measurement (2018)</w:t>
      </w:r>
    </w:p>
    <w:sectPr w:rsidR="00284BF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Zailaa, Joseph" w:date="2020-07-13T22:52:00Z" w:initials="ZJ">
    <w:p w14:paraId="77970E64" w14:textId="77777777" w:rsidR="00115D5D" w:rsidRDefault="00115D5D">
      <w:pPr>
        <w:pStyle w:val="CommentText"/>
      </w:pPr>
      <w:r>
        <w:rPr>
          <w:rStyle w:val="CommentReference"/>
        </w:rPr>
        <w:annotationRef/>
      </w:r>
      <w:r>
        <w:t xml:space="preserve">Would help to add how </w:t>
      </w:r>
      <w:proofErr w:type="spellStart"/>
      <w:r>
        <w:t>Anderegg</w:t>
      </w:r>
      <w:proofErr w:type="spellEnd"/>
      <w:r>
        <w:t xml:space="preserve"> et al. define this in parentheses.</w:t>
      </w:r>
    </w:p>
  </w:comment>
  <w:comment w:id="7" w:author="Zailaa, Joseph" w:date="2020-07-13T22:57:00Z" w:initials="ZJ">
    <w:p w14:paraId="79100018" w14:textId="2045C7EB" w:rsidR="00115D5D" w:rsidRDefault="00115D5D">
      <w:pPr>
        <w:pStyle w:val="CommentText"/>
      </w:pPr>
      <w:r>
        <w:rPr>
          <w:rStyle w:val="CommentReference"/>
        </w:rPr>
        <w:annotationRef/>
      </w:r>
      <w:r w:rsidR="00B53016">
        <w:rPr>
          <w:rStyle w:val="CommentReference"/>
        </w:rPr>
        <w:t xml:space="preserve">A bit vague; better predictors of what? </w:t>
      </w:r>
      <w:proofErr w:type="spellStart"/>
      <w:r w:rsidR="00B53016">
        <w:rPr>
          <w:rStyle w:val="CommentReference"/>
        </w:rPr>
        <w:t>And t</w:t>
      </w:r>
      <w:r>
        <w:rPr>
          <w:rStyle w:val="CommentReference"/>
        </w:rPr>
        <w:t>han</w:t>
      </w:r>
      <w:proofErr w:type="spellEnd"/>
      <w:r>
        <w:rPr>
          <w:rStyle w:val="CommentReference"/>
        </w:rPr>
        <w:t xml:space="preserve"> what?</w:t>
      </w:r>
    </w:p>
  </w:comment>
  <w:comment w:id="9" w:author="Zailaa, Joseph" w:date="2020-07-13T22:59:00Z" w:initials="ZJ">
    <w:p w14:paraId="75E09CF7" w14:textId="77777777" w:rsidR="00115D5D" w:rsidRDefault="00115D5D">
      <w:pPr>
        <w:pStyle w:val="CommentText"/>
      </w:pPr>
      <w:r>
        <w:rPr>
          <w:rStyle w:val="CommentReference"/>
        </w:rPr>
        <w:annotationRef/>
      </w:r>
      <w:r>
        <w:t>Per year?</w:t>
      </w:r>
    </w:p>
  </w:comment>
  <w:comment w:id="12" w:author="Zailaa, Joseph" w:date="2020-07-15T19:30:00Z" w:initials="ZJ">
    <w:p w14:paraId="30133925" w14:textId="69B98A38" w:rsidR="00B53016" w:rsidRDefault="00B53016">
      <w:pPr>
        <w:pStyle w:val="CommentText"/>
      </w:pPr>
      <w:r>
        <w:rPr>
          <w:rStyle w:val="CommentReference"/>
        </w:rPr>
        <w:annotationRef/>
      </w:r>
      <w:r>
        <w:t xml:space="preserve">This is a cool point and actually what would be expected from trees in perpetually wet environments. Less exposure to drought stress in wet microenvironments would mean less resource allocation to </w:t>
      </w:r>
      <w:proofErr w:type="gramStart"/>
      <w:r>
        <w:t>being</w:t>
      </w:r>
      <w:proofErr w:type="gramEnd"/>
      <w:r>
        <w:t xml:space="preserve"> more drought tolerant (e.g. greater xylem cell wall reinforcement through lignin deposition to reduce conduit collapse).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970E64" w15:done="0"/>
  <w15:commentEx w15:paraId="79100018" w15:done="0"/>
  <w15:commentEx w15:paraId="75E09CF7" w15:done="0"/>
  <w15:commentEx w15:paraId="30133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76436" w16cex:dateUtc="2020-07-14T05:52:00Z"/>
  <w16cex:commentExtensible w16cex:durableId="22B76558" w16cex:dateUtc="2020-07-14T05:57:00Z"/>
  <w16cex:commentExtensible w16cex:durableId="22B765E6" w16cex:dateUtc="2020-07-14T05:59:00Z"/>
  <w16cex:commentExtensible w16cex:durableId="22B9D7F0" w16cex:dateUtc="2020-07-16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970E64" w16cid:durableId="22B76436"/>
  <w16cid:commentId w16cid:paraId="79100018" w16cid:durableId="22B76558"/>
  <w16cid:commentId w16cid:paraId="75E09CF7" w16cid:durableId="22B765E6"/>
  <w16cid:commentId w16cid:paraId="30133925" w16cid:durableId="22B9D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7E534" w14:textId="77777777" w:rsidR="00621095" w:rsidRDefault="00621095">
      <w:pPr>
        <w:spacing w:after="0"/>
      </w:pPr>
      <w:r>
        <w:separator/>
      </w:r>
    </w:p>
  </w:endnote>
  <w:endnote w:type="continuationSeparator" w:id="0">
    <w:p w14:paraId="43BE2918" w14:textId="77777777" w:rsidR="00621095" w:rsidRDefault="00621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782C" w14:textId="77777777" w:rsidR="00621095" w:rsidRDefault="00621095">
      <w:r>
        <w:separator/>
      </w:r>
    </w:p>
  </w:footnote>
  <w:footnote w:type="continuationSeparator" w:id="0">
    <w:p w14:paraId="41F8CC33" w14:textId="77777777" w:rsidR="00621095" w:rsidRDefault="00621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2D4A2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5687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B2EC1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ilaa, Joseph">
    <w15:presenceInfo w15:providerId="AD" w15:userId="S::jzailaa@calstatela.edu::da11ee2f-ed91-407d-8d62-5c569d162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5D5D"/>
    <w:rsid w:val="00284BFB"/>
    <w:rsid w:val="004C07FC"/>
    <w:rsid w:val="004E29B3"/>
    <w:rsid w:val="00590D07"/>
    <w:rsid w:val="00621095"/>
    <w:rsid w:val="00747560"/>
    <w:rsid w:val="00784D58"/>
    <w:rsid w:val="008D6863"/>
    <w:rsid w:val="00B53016"/>
    <w:rsid w:val="00B86B75"/>
    <w:rsid w:val="00BC48D5"/>
    <w:rsid w:val="00C1665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701CD"/>
  <w15:docId w15:val="{64BEB062-8A70-6B4C-86BF-2D87D2D2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115D5D"/>
    <w:rPr>
      <w:sz w:val="16"/>
      <w:szCs w:val="16"/>
    </w:rPr>
  </w:style>
  <w:style w:type="paragraph" w:styleId="CommentText">
    <w:name w:val="annotation text"/>
    <w:basedOn w:val="Normal"/>
    <w:link w:val="CommentTextChar"/>
    <w:semiHidden/>
    <w:unhideWhenUsed/>
    <w:rsid w:val="00115D5D"/>
    <w:rPr>
      <w:sz w:val="20"/>
      <w:szCs w:val="20"/>
    </w:rPr>
  </w:style>
  <w:style w:type="character" w:customStyle="1" w:styleId="CommentTextChar">
    <w:name w:val="Comment Text Char"/>
    <w:basedOn w:val="DefaultParagraphFont"/>
    <w:link w:val="CommentText"/>
    <w:semiHidden/>
    <w:rsid w:val="00115D5D"/>
    <w:rPr>
      <w:sz w:val="20"/>
      <w:szCs w:val="20"/>
    </w:rPr>
  </w:style>
  <w:style w:type="paragraph" w:styleId="CommentSubject">
    <w:name w:val="annotation subject"/>
    <w:basedOn w:val="CommentText"/>
    <w:next w:val="CommentText"/>
    <w:link w:val="CommentSubjectChar"/>
    <w:semiHidden/>
    <w:unhideWhenUsed/>
    <w:rsid w:val="00115D5D"/>
    <w:rPr>
      <w:b/>
      <w:bCs/>
    </w:rPr>
  </w:style>
  <w:style w:type="character" w:customStyle="1" w:styleId="CommentSubjectChar">
    <w:name w:val="Comment Subject Char"/>
    <w:basedOn w:val="CommentTextChar"/>
    <w:link w:val="CommentSubject"/>
    <w:semiHidden/>
    <w:rsid w:val="00115D5D"/>
    <w:rPr>
      <w:b/>
      <w:bCs/>
      <w:sz w:val="20"/>
      <w:szCs w:val="20"/>
    </w:rPr>
  </w:style>
  <w:style w:type="paragraph" w:styleId="BalloonText">
    <w:name w:val="Balloon Text"/>
    <w:basedOn w:val="Normal"/>
    <w:link w:val="BalloonTextChar"/>
    <w:semiHidden/>
    <w:unhideWhenUsed/>
    <w:rsid w:val="00115D5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15D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4300-5"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6580</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Zailaa, Joseph</cp:lastModifiedBy>
  <cp:revision>4</cp:revision>
  <dcterms:created xsi:type="dcterms:W3CDTF">2020-07-13T16:13:00Z</dcterms:created>
  <dcterms:modified xsi:type="dcterms:W3CDTF">2020-07-16T02:35:00Z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