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2018-12-27T15:15:59Z</dcterms:modified>
  <cp:category/>
</cp:coreProperties>
</file>