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Nuisance species compromise the carbon sequestration potential in an Eastern US temperate deciduous forest</w:t>
      </w:r>
    </w:p>
    <w:p>
      <w:pPr>
        <w:pStyle w:val="BodyText"/>
      </w:pPr>
      <w:r>
        <w:rPr>
          <w:bCs/>
          <w:b/>
        </w:rPr>
        <w:t xml:space="preserve">Authors (tentative / incomplete list, not in order):</w:t>
      </w:r>
    </w:p>
    <w:p>
      <w:pPr>
        <w:pStyle w:val="BodyText"/>
      </w:pPr>
      <w:r>
        <w:t xml:space="preserve">Krystal Bagnaschi</w:t>
      </w:r>
    </w:p>
    <w:p>
      <w:pPr>
        <w:pStyle w:val="BodyText"/>
      </w:pPr>
      <w:r>
        <w:t xml:space="preserve">Rachel Hoffman</w:t>
      </w:r>
    </w:p>
    <w:p>
      <w:pPr>
        <w:pStyle w:val="BodyText"/>
      </w:pPr>
      <w:r>
        <w:t xml:space="preserve">Iris Kennedy</w:t>
      </w:r>
    </w:p>
    <w:p>
      <w:pPr>
        <w:pStyle w:val="BodyText"/>
      </w:pPr>
      <w:r>
        <w:t xml:space="preserve">Erin MacMonigle</w:t>
      </w:r>
    </w:p>
    <w:p>
      <w:pPr>
        <w:pStyle w:val="BodyText"/>
      </w:pPr>
      <w:r>
        <w:t xml:space="preserve">Caroline Troy</w:t>
      </w:r>
    </w:p>
    <w:p>
      <w:pPr>
        <w:pStyle w:val="BodyText"/>
      </w:pPr>
      <w:r>
        <w:t xml:space="preserve">Cameron Dow</w:t>
      </w:r>
    </w:p>
    <w:p>
      <w:pPr>
        <w:pStyle w:val="BodyText"/>
      </w:pPr>
      <w:r>
        <w:t xml:space="preserve">Jen Jordan</w:t>
      </w:r>
    </w:p>
    <w:p>
      <w:pPr>
        <w:pStyle w:val="BodyText"/>
      </w:pPr>
      <w:r>
        <w:t xml:space="preserve">Valentine Herrmann</w:t>
      </w:r>
      <w:r>
        <w:rPr>
          <w:vertAlign w:val="superscript"/>
        </w:rPr>
        <w:t xml:space="preserve">1</w:t>
      </w:r>
      <w:r>
        <w:t xml:space="preserve"> </w:t>
      </w:r>
      <w:r>
        <w:t xml:space="preserve">( Orcid ID : 0000-0002-4519-481X)</w:t>
      </w:r>
    </w:p>
    <w:p>
      <w:pPr>
        <w:pStyle w:val="BodyText"/>
      </w:pPr>
      <w:r>
        <w:t xml:space="preserve">David Mitre</w:t>
      </w:r>
    </w:p>
    <w:p>
      <w:pPr>
        <w:pStyle w:val="BodyText"/>
      </w:pPr>
      <w:r>
        <w:t xml:space="preserve">Jess Shue</w:t>
      </w:r>
    </w:p>
    <w:p>
      <w:pPr>
        <w:pStyle w:val="BodyText"/>
      </w:pPr>
      <w:r>
        <w:t xml:space="preserve">Luca Morreale</w:t>
      </w:r>
    </w:p>
    <w:p>
      <w:pPr>
        <w:pStyle w:val="BodyText"/>
      </w:pPr>
      <w:r>
        <w:t xml:space="preserve">William McShea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Smithsonian’s National Zoo &amp;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Observatory, Smithsonian Tropical Research Institute, Apartado Postal 0843-03092, Panama City,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pPr>
        <w:pStyle w:val="BodyText"/>
      </w:pPr>
      <w:r>
        <w:rPr>
          <w:bCs/>
          <w:b/>
        </w:rPr>
        <w:t xml:space="preserve">Running head:</w:t>
      </w:r>
      <w:r>
        <w:t xml:space="preserve"> </w:t>
      </w:r>
    </w:p>
    <w:p>
      <w:pPr>
        <w:pStyle w:val="BodyText"/>
      </w:pPr>
      <w:r>
        <w:t xml:space="preserve">for submission to Anthromes joint special collection in New Phytologist/ Plants, People, Planet:</w:t>
      </w:r>
      <w:r>
        <w:t xml:space="preserve"> </w:t>
      </w:r>
      <w:hyperlink r:id="rId21">
        <w:r>
          <w:rPr>
            <w:rStyle w:val="Hyperlink"/>
          </w:rPr>
          <w:t xml:space="preserve">https://www.newphytologist.org/news/view/332</w:t>
        </w:r>
      </w:hyperlink>
    </w:p>
    <w:p>
      <w:r>
        <w:br w:type="page"/>
      </w:r>
    </w:p>
    <w:bookmarkStart w:id="22" w:name="Abstract"/>
    <w:p>
      <w:pPr>
        <w:pStyle w:val="Heading1"/>
      </w:pPr>
      <w:r>
        <w:t xml:space="preserve">Abstract</w:t>
      </w:r>
    </w:p>
    <w:p>
      <w:pPr>
        <w:numPr>
          <w:ilvl w:val="0"/>
          <w:numId w:val="1002"/>
        </w:numPr>
        <w:pStyle w:val="Compact"/>
      </w:pPr>
      <w:r>
        <w:t xml:space="preserve">temperate deciduous forests play a critical role in the global carbon cycle, accounting for a substantial portion of the global forest C sink</w:t>
      </w:r>
    </w:p>
    <w:p>
      <w:pPr>
        <w:numPr>
          <w:ilvl w:val="0"/>
          <w:numId w:val="1002"/>
        </w:numPr>
        <w:pStyle w:val="Compact"/>
      </w:pPr>
      <w:r>
        <w:t xml:space="preserve">The dominant view imbued in Earth System Models is that, at least within the eastern US, the biome is likely to remain a C sink for the remainder of the 21st century</w:t>
      </w:r>
    </w:p>
    <w:p>
      <w:pPr>
        <w:numPr>
          <w:ilvl w:val="0"/>
          <w:numId w:val="1002"/>
        </w:numPr>
        <w:pStyle w:val="Compact"/>
      </w:pPr>
      <w:r>
        <w:t xml:space="preserve">However, these models do not incorporate nuisance species – i.e., species whose local abundance has been dramatically increased as a result of human activities and that are causing ecological harm.</w:t>
      </w:r>
    </w:p>
    <w:p>
      <w:pPr>
        <w:numPr>
          <w:ilvl w:val="0"/>
          <w:numId w:val="1002"/>
        </w:numPr>
        <w:pStyle w:val="Compact"/>
      </w:pPr>
      <w:r>
        <w:t xml:space="preserve">Nuisance species are known to increase tree mortality (non-endemic pests and pathogens) and decrease recruitment (deer, non-endemic plants) throughout the (Eastern US) temperate deciduous biome, yet we don’t know net effect on current and future C cycling</w:t>
      </w:r>
    </w:p>
    <w:p>
      <w:pPr>
        <w:numPr>
          <w:ilvl w:val="0"/>
          <w:numId w:val="1002"/>
        </w:numPr>
        <w:pStyle w:val="Compact"/>
      </w:pPr>
      <w:r>
        <w:t xml:space="preserve">Here, we use 15 years of detailed census data from a large forest dynamics plot with a deer exclosure to understand how nuisance species are affecting C cycling</w:t>
      </w:r>
    </w:p>
    <w:p>
      <w:pPr>
        <w:numPr>
          <w:ilvl w:val="0"/>
          <w:numId w:val="1002"/>
        </w:numPr>
        <w:pStyle w:val="Compact"/>
      </w:pPr>
      <w:r>
        <w:t xml:space="preserve">we show increased biomass mortality, reduced ∆AGB (only outside deer exclosure?), reduced AGB (only outside deer exclosure?)</w:t>
      </w:r>
    </w:p>
    <w:p>
      <w:pPr>
        <w:numPr>
          <w:ilvl w:val="0"/>
          <w:numId w:val="1002"/>
        </w:numPr>
        <w:pStyle w:val="Compact"/>
      </w:pPr>
      <w:r>
        <w:t xml:space="preserve">if current trends continue, forest will continue to lose C sequestration capacity/ likely to be C source in future</w:t>
      </w:r>
    </w:p>
    <w:p>
      <w:pPr>
        <w:numPr>
          <w:ilvl w:val="0"/>
          <w:numId w:val="1002"/>
        </w:numPr>
        <w:pStyle w:val="Compact"/>
      </w:pPr>
      <w:r>
        <w:t xml:space="preserve">thus, C sequestration potential of temperate deciduous forests is overestimated</w:t>
      </w:r>
    </w:p>
    <w:p>
      <w:pPr>
        <w:pStyle w:val="FirstParagraph"/>
      </w:pPr>
      <w:r>
        <w:rPr>
          <w:bCs/>
          <w:b/>
        </w:rPr>
        <w:t xml:space="preserve">Keywords</w:t>
      </w:r>
      <w:r>
        <w:t xml:space="preserve">:</w:t>
      </w:r>
    </w:p>
    <w:p>
      <w:r>
        <w:br w:type="page"/>
      </w:r>
    </w:p>
    <w:bookmarkEnd w:id="22"/>
    <w:bookmarkStart w:id="25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The temperate forest biome plays a critical role in the global carbon cycle, accounting for almost half of the net global forest carbon (C) sink</w:t>
      </w:r>
      <w:r>
        <w:t xml:space="preserve"> </w:t>
      </w:r>
      <w:r>
        <w:t xml:space="preserve">(Harris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, with deciduous forests representing a substantial portion of this, sequestering &gt;300 Tg C yr</w:t>
      </w:r>
      <w:r>
        <w:rPr>
          <w:vertAlign w:val="superscript"/>
        </w:rPr>
        <w:t xml:space="preserve">-1</w:t>
      </w:r>
      <w:r>
        <w:t xml:space="preserve"> </w:t>
      </w:r>
      <w:r>
        <w:t xml:space="preserve">(Pugh</w:t>
      </w:r>
      <w:r>
        <w:t xml:space="preserve"> </w:t>
      </w:r>
      <w:r>
        <w:rPr>
          <w:iCs/>
          <w:i/>
        </w:rPr>
        <w:t xml:space="preserve">et al.</w:t>
      </w:r>
      <w:r>
        <w:t xml:space="preserve">, 2019)</w:t>
      </w:r>
      <w:r>
        <w:t xml:space="preserve">.</w:t>
      </w:r>
      <w:r>
        <w:t xml:space="preserve"> </w:t>
      </w:r>
      <w:r>
        <w:t xml:space="preserve">Although currently a C sink, the future of the biome remains uncertain.</w:t>
      </w:r>
      <w:r>
        <w:t xml:space="preserve"> </w:t>
      </w:r>
      <w:r>
        <w:t xml:space="preserve">The dominant view imbued in Earth System Models is that, at least within the eastern US, the biome is likely to remain a C sink for the remainder of the 21st century</w:t>
      </w:r>
      <w:r>
        <w:t xml:space="preserve"> </w:t>
      </w:r>
      <w:r>
        <w:t xml:space="preserve">(Finzi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2020; Wu</w:t>
      </w:r>
      <w:r>
        <w:t xml:space="preserve"> </w:t>
      </w:r>
      <w:r>
        <w:rPr>
          <w:iCs/>
          <w:i/>
        </w:rPr>
        <w:t xml:space="preserve">et al.</w:t>
      </w:r>
      <w:r>
        <w:t xml:space="preserve">, 2023)</w:t>
      </w:r>
      <w:r>
        <w:t xml:space="preserve">, albeit with declining CO</w:t>
      </w:r>
      <w:r>
        <w:rPr>
          <w:vertAlign w:val="subscript"/>
        </w:rPr>
        <w:t xml:space="preserve">2</w:t>
      </w:r>
      <w:r>
        <w:t xml:space="preserve"> </w:t>
      </w:r>
      <w:r>
        <w:t xml:space="preserve">sequestration capacity</w:t>
      </w:r>
      <w:r>
        <w:t xml:space="preserve"> </w:t>
      </w:r>
      <w:r>
        <w:t xml:space="preserve">(Ahlström</w:t>
      </w:r>
      <w:r>
        <w:t xml:space="preserve"> </w:t>
      </w:r>
      <w:r>
        <w:rPr>
          <w:iCs/>
          <w:i/>
        </w:rPr>
        <w:t xml:space="preserve">et al.</w:t>
      </w:r>
      <w:r>
        <w:t xml:space="preserve">, 2012)</w:t>
      </w:r>
      <w:r>
        <w:t xml:space="preserve">.</w:t>
      </w:r>
      <w:r>
        <w:t xml:space="preserve"> </w:t>
      </w:r>
      <w:r>
        <w:t xml:space="preserve">Yet, global C models predict a wide range of future trajectories of CO</w:t>
      </w:r>
      <w:r>
        <w:rPr>
          <w:vertAlign w:val="subscript"/>
        </w:rPr>
        <w:t xml:space="preserve">2</w:t>
      </w:r>
      <w:r>
        <w:t xml:space="preserve"> </w:t>
      </w:r>
      <w:r>
        <w:t xml:space="preserve">sequestration</w:t>
      </w:r>
      <w:r>
        <w:t xml:space="preserve"> </w:t>
      </w:r>
      <w:r>
        <w:t xml:space="preserve">(Ahlström</w:t>
      </w:r>
      <w:r>
        <w:t xml:space="preserve"> </w:t>
      </w:r>
      <w:r>
        <w:rPr>
          <w:iCs/>
          <w:i/>
        </w:rPr>
        <w:t xml:space="preserve">et al.</w:t>
      </w:r>
      <w:r>
        <w:t xml:space="preserve">, 2012; Arora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2020)</w:t>
      </w:r>
      <w:r>
        <w:t xml:space="preserve">, and current global C models do not represent some influential mechanisms</w:t>
      </w:r>
      <w:r>
        <w:t xml:space="preserve"> </w:t>
      </w:r>
      <w:r>
        <w:t xml:space="preserve">(e.g., Fatichi</w:t>
      </w:r>
      <w:r>
        <w:t xml:space="preserve"> </w:t>
      </w:r>
      <w:r>
        <w:rPr>
          <w:iCs/>
          <w:i/>
        </w:rPr>
        <w:t xml:space="preserve">et al.</w:t>
      </w:r>
      <w:r>
        <w:t xml:space="preserve">, 2014)</w:t>
      </w:r>
      <w:r>
        <w:t xml:space="preserve">.</w:t>
      </w:r>
      <w:r>
        <w:t xml:space="preserve"> </w:t>
      </w:r>
      <w:r>
        <w:t xml:space="preserve">One mechanism that is not represented in global C models is the impact of nuisance species – i.e., endemic or non-endemic species that, as a result of human influence, have much greater abundance in an ecosystem than they did historically, resulting in undesirable ecological consequences</w:t>
      </w:r>
      <w:r>
        <w:t xml:space="preserve"> </w:t>
      </w:r>
      <w:r>
        <w:t xml:space="preserve">(</w:t>
      </w:r>
      <w:r>
        <w:rPr>
          <w:bCs/>
          <w:b/>
        </w:rPr>
        <w:t xml:space="preserve">refs?</w:t>
      </w:r>
      <w:r>
        <w:t xml:space="preserve">)</w:t>
      </w:r>
      <w:r>
        <w:t xml:space="preserve">.</w:t>
      </w:r>
      <w:r>
        <w:t xml:space="preserve"> </w:t>
      </w:r>
      <w:r>
        <w:t xml:space="preserve">Similarly, the impact of nuisance species on forest carbon budgets is not considered in machine learning/niche models that seek to project future forest distribution and carbon stocks</w:t>
      </w:r>
      <w:r>
        <w:t xml:space="preserve"> </w:t>
      </w:r>
      <w:r>
        <w:t xml:space="preserve">(</w:t>
      </w:r>
      <w:r>
        <w:rPr>
          <w:bCs/>
          <w:b/>
        </w:rPr>
        <w:t xml:space="preserve">?</w:t>
      </w:r>
      <w:r>
        <w:t xml:space="preserve"> </w:t>
      </w:r>
      <w:r>
        <w:t xml:space="preserve">Wu</w:t>
      </w:r>
      <w:r>
        <w:t xml:space="preserve"> </w:t>
      </w:r>
      <w:r>
        <w:rPr>
          <w:iCs/>
          <w:i/>
        </w:rPr>
        <w:t xml:space="preserve">et al.</w:t>
      </w:r>
      <w:r>
        <w:t xml:space="preserve">, 2023)</w:t>
      </w:r>
      <w:r>
        <w:t xml:space="preserve">, nor in carbon offset projects</w:t>
      </w:r>
      <w:r>
        <w:t xml:space="preserve"> </w:t>
      </w:r>
      <w:r>
        <w:t xml:space="preserve">(</w:t>
      </w:r>
      <w:r>
        <w:rPr>
          <w:bCs/>
          <w:b/>
        </w:rPr>
        <w:t xml:space="preserve">???</w:t>
      </w:r>
      <w:r>
        <w:t xml:space="preserve"> </w:t>
      </w:r>
      <w:r>
        <w:rPr>
          <w:bCs/>
          <w:b/>
        </w:rPr>
        <w:t xml:space="preserve">refs?</w:t>
      </w:r>
      <w:r>
        <w:t xml:space="preserve">)</w:t>
      </w:r>
      <w:r>
        <w:t xml:space="preserve">.</w:t>
      </w:r>
      <w:r>
        <w:t xml:space="preserve"> </w:t>
      </w:r>
      <w:r>
        <w:t xml:space="preserve">This is problematic in that nuisance species – including non-endemic insect pests and pathogens, non-endemic plants, and over-abundant herbivores – are dramatically impacting carbon cycling in temperate deciduous forests around the world</w:t>
      </w:r>
      <w:r>
        <w:t xml:space="preserve"> </w:t>
      </w:r>
      <w:r>
        <w:t xml:space="preserve">(</w:t>
      </w:r>
      <w:r>
        <w:rPr>
          <w:bCs/>
          <w:b/>
        </w:rPr>
        <w:t xml:space="preserve">refs?</w:t>
      </w:r>
      <w:r>
        <w:t xml:space="preserve">)</w:t>
      </w:r>
      <w:r>
        <w:t xml:space="preserve">.</w:t>
      </w:r>
    </w:p>
    <w:bookmarkStart w:id="23" w:name="Xc817e3f1f36c1d22b13cb46d95ab8dba07f2b7f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(paragraph on tree mortality from non-endemic pests and pathogens)</w:t>
      </w:r>
    </w:p>
    <w:p>
      <w:pPr>
        <w:pStyle w:val="FirstParagraph"/>
      </w:pPr>
      <w:r>
        <w:t xml:space="preserve">Non-endemic pests and pathogens have been important driver of mortality</w:t>
      </w:r>
      <w:r>
        <w:t xml:space="preserve"> </w:t>
      </w:r>
      <w:r>
        <w:t xml:space="preserve">(Anderson-Teixeira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.</w:t>
      </w:r>
    </w:p>
    <w:p>
      <w:pPr>
        <w:pStyle w:val="BodyText"/>
      </w:pPr>
      <w:r>
        <w:t xml:space="preserve">Fei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(2019)</w:t>
      </w:r>
    </w:p>
    <w:bookmarkEnd w:id="23"/>
    <w:bookmarkStart w:id="24" w:name="Xec10c66f35081e2246dca7de3eebcbe848a9632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(paragraph on recruitment failure because of deer and non-endemic plants)</w:t>
      </w:r>
    </w:p>
    <w:p>
      <w:pPr>
        <w:numPr>
          <w:ilvl w:val="0"/>
          <w:numId w:val="1003"/>
        </w:numPr>
        <w:pStyle w:val="Compact"/>
      </w:pPr>
      <w:r>
        <w:t xml:space="preserve">white-tailed deer (</w:t>
      </w:r>
      <w:r>
        <w:rPr>
          <w:iCs/>
          <w:i/>
        </w:rPr>
        <w:t xml:space="preserve">Odocoileus virginianus</w:t>
      </w:r>
      <w:r>
        <w:t xml:space="preserve"> </w:t>
      </w:r>
      <w:r>
        <w:t xml:space="preserve">) is important endemic nuisance species, over-abundant because of human influence</w:t>
      </w:r>
    </w:p>
    <w:p>
      <w:pPr>
        <w:pStyle w:val="FirstParagraph"/>
      </w:pPr>
      <w:r>
        <w:t xml:space="preserve">McGarvey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 </w:t>
      </w:r>
      <w:r>
        <w:t xml:space="preserve">Holm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(2013)</w:t>
      </w:r>
    </w:p>
    <w:p>
      <w:pPr>
        <w:pStyle w:val="BodyText"/>
      </w:pPr>
      <w:r>
        <w:t xml:space="preserve">The capacity to regenerate following disturbances, including ongoing gap formation through mortality of canopy trees, critically influences long-term forest dynamics.</w:t>
      </w:r>
      <w:r>
        <w:t xml:space="preserve"> </w:t>
      </w:r>
      <w:r>
        <w:t xml:space="preserve">Regeneration depends first upon seed production and then upon seedling recruitment, survival, and growth into trees.</w:t>
      </w:r>
      <w:r>
        <w:t xml:space="preserve"> </w:t>
      </w:r>
      <w:r>
        <w:t xml:space="preserve">When any one of these steps fails, the stage is set for disturbance to push forest ecosystems over a tipping point, whereby there is little chance that a forest will recover to it’s pre-disturbance state in the foreseeable future</w:t>
      </w:r>
      <w:r>
        <w:t xml:space="preserve"> </w:t>
      </w:r>
      <w:r>
        <w:t xml:space="preserve">(</w:t>
      </w:r>
      <w:r>
        <w:rPr>
          <w:bCs/>
          <w:b/>
        </w:rPr>
        <w:t xml:space="preserve">refs?</w:t>
      </w:r>
      <w:r>
        <w:t xml:space="preserve">)</w:t>
      </w:r>
      <w:r>
        <w:t xml:space="preserve">.</w:t>
      </w:r>
      <w:r>
        <w:t xml:space="preserve"> </w:t>
      </w:r>
      <w:r>
        <w:t xml:space="preserve">Global change pressures can set the stage for such critical transitions by gradually shifting baseline conditions, making post-disturbance recovery unlikely despite the persistence of mature trees</w:t>
      </w:r>
      <w:r>
        <w:t xml:space="preserve"> </w:t>
      </w:r>
      <w:r>
        <w:t xml:space="preserve">(Anderson-Teixeira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2013; McDowell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2020;</w:t>
      </w:r>
      <w:r>
        <w:t xml:space="preserve"> </w:t>
      </w:r>
      <w:r>
        <w:rPr>
          <w:bCs/>
          <w:b/>
        </w:rPr>
        <w:t xml:space="preserve">refs?</w:t>
      </w:r>
      <w:r>
        <w:t xml:space="preserve">)</w:t>
      </w:r>
      <w:r>
        <w:t xml:space="preserve">.</w:t>
      </w:r>
      <w:r>
        <w:t xml:space="preserve"> </w:t>
      </w:r>
      <w:r>
        <w:t xml:space="preserve">In the mid-Atlantic region of eastern North America, forests face a severe</w:t>
      </w:r>
      <w:r>
        <w:t xml:space="preserve"> </w:t>
      </w:r>
      <w:r>
        <w:t xml:space="preserve">“</w:t>
      </w:r>
      <w:r>
        <w:t xml:space="preserve">regeneration debt</w:t>
      </w:r>
      <w:r>
        <w:t xml:space="preserve">”</w:t>
      </w:r>
      <w:r>
        <w:t xml:space="preserve">, meaning that there are insufficient juveniles of current canopy tree species to replace the mature cohort when they eventually die</w:t>
      </w:r>
      <w:r>
        <w:t xml:space="preserve"> </w:t>
      </w:r>
      <w:r>
        <w:t xml:space="preserve">(Miller &amp; McGill, 2019; Miller</w:t>
      </w:r>
      <w:r>
        <w:t xml:space="preserve"> </w:t>
      </w:r>
      <w:r>
        <w:rPr>
          <w:iCs/>
          <w:i/>
        </w:rPr>
        <w:t xml:space="preserve">et al.</w:t>
      </w:r>
      <w:r>
        <w:t xml:space="preserve">, 2023)</w:t>
      </w:r>
      <w:r>
        <w:t xml:space="preserve">.</w:t>
      </w:r>
      <w:r>
        <w:t xml:space="preserve"> </w:t>
      </w:r>
      <w:r>
        <w:t xml:space="preserve">Low juvenile abundance in the region is driven by a combination of over-abundant deer, competition with non-endemic species, and possibly climate change</w:t>
      </w:r>
      <w:r>
        <w:t xml:space="preserve"> </w:t>
      </w:r>
      <w:r>
        <w:t xml:space="preserve">(Russell</w:t>
      </w:r>
      <w:r>
        <w:t xml:space="preserve"> </w:t>
      </w:r>
      <w:r>
        <w:rPr>
          <w:iCs/>
          <w:i/>
        </w:rPr>
        <w:t xml:space="preserve">et al.</w:t>
      </w:r>
      <w:r>
        <w:t xml:space="preserve">, 2017; Miller &amp; McGill, 2019; Miller</w:t>
      </w:r>
      <w:r>
        <w:t xml:space="preserve"> </w:t>
      </w:r>
      <w:r>
        <w:rPr>
          <w:iCs/>
          <w:i/>
        </w:rPr>
        <w:t xml:space="preserve">et al.</w:t>
      </w:r>
      <w:r>
        <w:t xml:space="preserve">, 2023)</w:t>
      </w:r>
      <w:r>
        <w:t xml:space="preserve">.</w:t>
      </w:r>
      <w:r>
        <w:t xml:space="preserve"> </w:t>
      </w:r>
      <w:r>
        <w:t xml:space="preserve">The juveniles that are present tend to represent a different, more mesophytic set of species (</w:t>
      </w:r>
      <w:r>
        <w:rPr>
          <w:iCs/>
          <w:i/>
        </w:rPr>
        <w:t xml:space="preserve">Acer spp.</w:t>
      </w:r>
      <w:r>
        <w:t xml:space="preserve">,</w:t>
      </w:r>
      <w:r>
        <w:t xml:space="preserve"> </w:t>
      </w:r>
      <w:r>
        <w:rPr>
          <w:iCs/>
          <w:i/>
        </w:rPr>
        <w:t xml:space="preserve">Fagus grandifolia</w:t>
      </w:r>
      <w:r>
        <w:t xml:space="preserve">) than currently dominate much of the region (</w:t>
      </w:r>
      <w:r>
        <w:rPr>
          <w:iCs/>
          <w:i/>
        </w:rPr>
        <w:t xml:space="preserve">Quercus spp.</w:t>
      </w:r>
      <w:r>
        <w:t xml:space="preserve">,</w:t>
      </w:r>
      <w:r>
        <w:t xml:space="preserve"> </w:t>
      </w:r>
      <w:r>
        <w:rPr>
          <w:iCs/>
          <w:i/>
        </w:rPr>
        <w:t xml:space="preserve">Carya spp.</w:t>
      </w:r>
      <w:r>
        <w:t xml:space="preserve">,</w:t>
      </w:r>
      <w:r>
        <w:t xml:space="preserve"> </w:t>
      </w:r>
      <w:r>
        <w:t xml:space="preserve">Miller &amp; McGill (2019)</w:t>
      </w:r>
      <w:r>
        <w:t xml:space="preserve">;</w:t>
      </w:r>
      <w:r>
        <w:t xml:space="preserve"> </w:t>
      </w:r>
      <w:r>
        <w:t xml:space="preserve">Nowacki &amp; Abrams (2015)</w:t>
      </w:r>
      <w:r>
        <w:t xml:space="preserve">]–a dynamic driven by fire suppression and mesophication</w:t>
      </w:r>
      <w:r>
        <w:t xml:space="preserve"> </w:t>
      </w:r>
      <w:r>
        <w:t xml:space="preserve">(</w:t>
      </w:r>
      <w:r>
        <w:rPr>
          <w:bCs/>
          <w:b/>
        </w:rPr>
        <w:t xml:space="preserve">refs?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Here, we use 15 years of detailed census data from a large forest dynamics plot including a 4-ha deer exclosure to test the following hypotheses:</w:t>
      </w:r>
      <w:r>
        <w:t xml:space="preserve"> </w:t>
      </w:r>
      <w:r>
        <w:t xml:space="preserve">(1) canopy tree mortality and associated biomass loss are increasing, in large part due to non-endemic nuisance species (pests &amp; pathogens)</w:t>
      </w:r>
      <w:r>
        <w:t xml:space="preserve"> </w:t>
      </w:r>
      <w:r>
        <w:t xml:space="preserve">(2) growth and recruitment (outside deer exclosure) have not kept pace with tree mortality, resulting in declining AGB (-∆AGB)</w:t>
      </w:r>
      <w:r>
        <w:t xml:space="preserve"> </w:t>
      </w:r>
      <w:r>
        <w:t xml:space="preserve">(3) C stocks have declined (-∆AGB), and will decline further if current trends continue</w:t>
      </w:r>
    </w:p>
    <w:bookmarkEnd w:id="24"/>
    <w:bookmarkEnd w:id="25"/>
    <w:bookmarkStart w:id="29" w:name="materials-and-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Materials and Methods</w:t>
      </w:r>
    </w:p>
    <w:bookmarkStart w:id="26" w:name="study-s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Study site</w:t>
      </w:r>
    </w:p>
    <w:bookmarkEnd w:id="26"/>
    <w:bookmarkStart w:id="27" w:name="data-collection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Data collection</w:t>
      </w:r>
    </w:p>
    <w:bookmarkEnd w:id="27"/>
    <w:bookmarkStart w:id="28" w:name="analys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Analyses</w:t>
      </w:r>
    </w:p>
    <w:bookmarkEnd w:id="28"/>
    <w:bookmarkEnd w:id="29"/>
    <w:bookmarkStart w:id="30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bookmarkEnd w:id="30"/>
    <w:bookmarkStart w:id="31" w:name="discus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Discussion</w:t>
      </w:r>
    </w:p>
    <w:bookmarkEnd w:id="31"/>
    <w:bookmarkStart w:id="32" w:name="conclusions-optional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Conclusions (optional)</w:t>
      </w:r>
    </w:p>
    <w:bookmarkEnd w:id="32"/>
    <w:bookmarkStart w:id="33" w:name="Acknowledgements"/>
    <w:p>
      <w:pPr>
        <w:pStyle w:val="Heading1"/>
      </w:pPr>
      <w:r>
        <w:t xml:space="preserve">Acknowledgements</w:t>
      </w:r>
    </w:p>
    <w:p>
      <w:pPr>
        <w:numPr>
          <w:ilvl w:val="0"/>
          <w:numId w:val="1004"/>
        </w:numPr>
        <w:pStyle w:val="Compact"/>
      </w:pPr>
      <w:r>
        <w:t xml:space="preserve">Funding: ForestGEO</w:t>
      </w:r>
    </w:p>
    <w:bookmarkEnd w:id="33"/>
    <w:bookmarkStart w:id="34" w:name="Conflict"/>
    <w:p>
      <w:pPr>
        <w:pStyle w:val="Heading1"/>
      </w:pPr>
      <w:r>
        <w:t xml:space="preserve">Conflict of Interest statement</w:t>
      </w:r>
    </w:p>
    <w:p>
      <w:pPr>
        <w:pStyle w:val="FirstParagraph"/>
      </w:pPr>
      <w:r>
        <w:t xml:space="preserve">The authors declare no conflict of interest.</w:t>
      </w:r>
    </w:p>
    <w:bookmarkEnd w:id="34"/>
    <w:bookmarkStart w:id="35" w:name="Authors"/>
    <w:p>
      <w:pPr>
        <w:pStyle w:val="Heading1"/>
      </w:pPr>
      <w:r>
        <w:t xml:space="preserve">Authors’ contributions</w:t>
      </w:r>
    </w:p>
    <w:p>
      <w:pPr>
        <w:pStyle w:val="FirstParagraph"/>
      </w:pPr>
      <w:r>
        <w:rPr>
          <w:iCs/>
          <w:i/>
        </w:rPr>
        <w:t xml:space="preserve">[Name of author 1] and [Name of author 2] conceived the ideas and designed methodology; [Name of author 1] and [Name of author 3] collected the data; [Name of author 2] and [Name of author 4] analysed the data; [Name of author 1] and [Name of author 4] led the writing of the manuscript. All authors contributed critically to the drafts and gave final approval for publication.</w:t>
      </w:r>
    </w:p>
    <w:bookmarkEnd w:id="35"/>
    <w:bookmarkStart w:id="36" w:name="Data"/>
    <w:p>
      <w:pPr>
        <w:pStyle w:val="Heading1"/>
      </w:pPr>
      <w:r>
        <w:t xml:space="preserve">Data availability</w:t>
      </w:r>
    </w:p>
    <w:p>
      <w:r>
        <w:br w:type="page"/>
      </w:r>
    </w:p>
    <w:bookmarkEnd w:id="36"/>
    <w:bookmarkStart w:id="72" w:name="References"/>
    <w:p>
      <w:pPr>
        <w:pStyle w:val="Heading1"/>
      </w:pPr>
      <w:r>
        <w:t xml:space="preserve">References</w:t>
      </w:r>
    </w:p>
    <w:bookmarkStart w:id="71" w:name="refs"/>
    <w:bookmarkStart w:id="38" w:name="ref-ahlström_robustness_2012"/>
    <w:p>
      <w:pPr>
        <w:pStyle w:val="Bibliography"/>
      </w:pPr>
      <w:r>
        <w:rPr>
          <w:bCs/>
          <w:b/>
          <w:bCs/>
          <w:b/>
        </w:rPr>
        <w:t xml:space="preserve">Ahlström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Schurgers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Arneth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Smith B</w:t>
      </w:r>
      <w:r>
        <w:t xml:space="preserve">.</w:t>
      </w:r>
      <w:r>
        <w:t xml:space="preserve"> </w:t>
      </w:r>
      <w:r>
        <w:rPr>
          <w:bCs/>
          <w:b/>
        </w:rPr>
        <w:t xml:space="preserve">2012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Robustness and uncertainty in terrestrial ecosystem carbon response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CMIP5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climate change projections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Environmental Research Letters</w:t>
      </w:r>
      <w:r>
        <w:t xml:space="preserve"> </w:t>
      </w:r>
      <w:r>
        <w:rPr>
          <w:bCs/>
          <w:b/>
        </w:rPr>
        <w:t xml:space="preserve">7</w:t>
      </w:r>
      <w:r>
        <w:t xml:space="preserve">: 044008.</w:t>
      </w:r>
    </w:p>
    <w:bookmarkEnd w:id="38"/>
    <w:bookmarkStart w:id="40" w:name="ref-anderson-teixeira_longterm_2021"/>
    <w:p>
      <w:pPr>
        <w:pStyle w:val="Bibliography"/>
      </w:pP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Cass WB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Williams AB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Paull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Helcoski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Tepley AJ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Bourg NA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Cosma CT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Long-</w:t>
        </w:r>
        <w:r>
          <w:rPr>
            <w:rStyle w:val="Hyperlink"/>
          </w:rPr>
          <w:t xml:space="preserve">Term Impacts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Invasive Insects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Pathogens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Composition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Biomass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Diversity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Forests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Virginia</w:t>
        </w:r>
        <w:r>
          <w:rPr>
            <w:rStyle w:val="Hyperlink"/>
          </w:rPr>
          <w:t xml:space="preserve">’s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Blue Ridge Mountains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Ecosystems</w:t>
      </w:r>
      <w:r>
        <w:t xml:space="preserve"> </w:t>
      </w:r>
      <w:r>
        <w:rPr>
          <w:bCs/>
          <w:b/>
        </w:rPr>
        <w:t xml:space="preserve">24</w:t>
      </w:r>
      <w:r>
        <w:t xml:space="preserve">: 89–105.</w:t>
      </w:r>
    </w:p>
    <w:bookmarkEnd w:id="40"/>
    <w:bookmarkStart w:id="42" w:name="ref-anderson-teixeira_altered_2013"/>
    <w:p>
      <w:pPr>
        <w:pStyle w:val="Bibliography"/>
      </w:pP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Miller AD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Mohan JE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Hudiburg TW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Duval BD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DeLucia EH</w:t>
      </w:r>
      <w:r>
        <w:t xml:space="preserve">.</w:t>
      </w:r>
      <w:r>
        <w:t xml:space="preserve"> </w:t>
      </w:r>
      <w:r>
        <w:rPr>
          <w:bCs/>
          <w:b/>
        </w:rPr>
        <w:t xml:space="preserve">2013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Altered dynamics of forest recovery under a changing climate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19</w:t>
      </w:r>
      <w:r>
        <w:t xml:space="preserve">: 2001–2021.</w:t>
      </w:r>
    </w:p>
    <w:bookmarkEnd w:id="42"/>
    <w:bookmarkStart w:id="44" w:name="ref-arora_carbon_2020"/>
    <w:p>
      <w:pPr>
        <w:pStyle w:val="Bibliography"/>
      </w:pPr>
      <w:r>
        <w:rPr>
          <w:bCs/>
          <w:b/>
          <w:bCs/>
          <w:b/>
        </w:rPr>
        <w:t xml:space="preserve">Arora VK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Katavouta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Williams RG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Jones CD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Brovkin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Friedlingstein 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Schwinger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Bopp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Boucher O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Cadule 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Carbon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concentration and carbon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climate feedbacks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CMIP6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models and their comparison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CMIP5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Biogeosciences</w:t>
      </w:r>
      <w:r>
        <w:t xml:space="preserve"> </w:t>
      </w:r>
      <w:r>
        <w:rPr>
          <w:bCs/>
          <w:b/>
        </w:rPr>
        <w:t xml:space="preserve">17</w:t>
      </w:r>
      <w:r>
        <w:t xml:space="preserve">: 4173–4222.</w:t>
      </w:r>
    </w:p>
    <w:bookmarkEnd w:id="44"/>
    <w:bookmarkStart w:id="46" w:name="ref-fatichi_moving_2014"/>
    <w:p>
      <w:pPr>
        <w:pStyle w:val="Bibliography"/>
      </w:pPr>
      <w:r>
        <w:rPr>
          <w:bCs/>
          <w:b/>
          <w:bCs/>
          <w:b/>
        </w:rPr>
        <w:t xml:space="preserve">Fatichi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Leuzinger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Körner C</w:t>
      </w:r>
      <w:r>
        <w:t xml:space="preserve">.</w:t>
      </w:r>
      <w:r>
        <w:t xml:space="preserve"> </w:t>
      </w:r>
      <w:r>
        <w:rPr>
          <w:bCs/>
          <w:b/>
        </w:rPr>
        <w:t xml:space="preserve">2014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Moving beyond photosynthesis: From carbon source to sink-driven vegetation modeling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The New Phytologist</w:t>
      </w:r>
      <w:r>
        <w:t xml:space="preserve"> </w:t>
      </w:r>
      <w:r>
        <w:rPr>
          <w:bCs/>
          <w:b/>
        </w:rPr>
        <w:t xml:space="preserve">201</w:t>
      </w:r>
      <w:r>
        <w:t xml:space="preserve">: 1086–1095.</w:t>
      </w:r>
    </w:p>
    <w:bookmarkEnd w:id="46"/>
    <w:bookmarkStart w:id="48" w:name="ref-fei_biomass_2019"/>
    <w:p>
      <w:pPr>
        <w:pStyle w:val="Bibliography"/>
      </w:pPr>
      <w:r>
        <w:rPr>
          <w:bCs/>
          <w:b/>
          <w:bCs/>
          <w:b/>
        </w:rPr>
        <w:t xml:space="preserve">Fei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Morin RS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Oswalt CM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Liebhold AM</w:t>
      </w:r>
      <w:r>
        <w:t xml:space="preserve">.</w:t>
      </w:r>
      <w:r>
        <w:t xml:space="preserve"> </w:t>
      </w:r>
      <w:r>
        <w:rPr>
          <w:bCs/>
          <w:b/>
        </w:rPr>
        <w:t xml:space="preserve">2019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Biomass losses resulting from insect and disease invasions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forests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: 201820601.</w:t>
      </w:r>
    </w:p>
    <w:bookmarkEnd w:id="48"/>
    <w:bookmarkStart w:id="50" w:name="ref-finzi_carbon_2020"/>
    <w:p>
      <w:pPr>
        <w:pStyle w:val="Bibliography"/>
      </w:pPr>
      <w:r>
        <w:rPr>
          <w:bCs/>
          <w:b/>
          <w:bCs/>
          <w:b/>
        </w:rPr>
        <w:t xml:space="preserve">Finzi AC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Giasson M-A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Plotkin AAB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Aber JD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Boose ER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Davidson EA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Dietze MC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Ellison AM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Frey SD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Goldman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Carbon budget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Harvard Forest Long-Term Ecological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site: Pattern, process, and response to global change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Ecological Monographs</w:t>
      </w:r>
      <w:r>
        <w:t xml:space="preserve"> </w:t>
      </w:r>
      <w:r>
        <w:rPr>
          <w:bCs/>
          <w:b/>
        </w:rPr>
        <w:t xml:space="preserve">90</w:t>
      </w:r>
      <w:r>
        <w:t xml:space="preserve">: e01423.</w:t>
      </w:r>
    </w:p>
    <w:bookmarkEnd w:id="50"/>
    <w:bookmarkStart w:id="52" w:name="ref-harris_global_2021"/>
    <w:p>
      <w:pPr>
        <w:pStyle w:val="Bibliography"/>
      </w:pPr>
      <w:r>
        <w:rPr>
          <w:bCs/>
          <w:b/>
          <w:bCs/>
          <w:b/>
        </w:rPr>
        <w:t xml:space="preserve">Harris NL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Gibbs DA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Baccini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Birdsey RA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Bruin S de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Farina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Fatoyinbo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Hansen MC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Herold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Houghton RA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Global maps of twenty-first century forest carbon fluxes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Climate Change</w:t>
      </w:r>
      <w:r>
        <w:t xml:space="preserve">: 1–7.</w:t>
      </w:r>
    </w:p>
    <w:bookmarkEnd w:id="52"/>
    <w:bookmarkStart w:id="54" w:name="ref-holm_interactive_2013"/>
    <w:p>
      <w:pPr>
        <w:pStyle w:val="Bibliography"/>
      </w:pPr>
      <w:r>
        <w:rPr>
          <w:bCs/>
          <w:b/>
          <w:bCs/>
          <w:b/>
        </w:rPr>
        <w:t xml:space="preserve">Holm JA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Thompson JR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McShea WJ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Bourg NA</w:t>
      </w:r>
      <w:r>
        <w:t xml:space="preserve">.</w:t>
      </w:r>
      <w:r>
        <w:t xml:space="preserve"> </w:t>
      </w:r>
      <w:r>
        <w:rPr>
          <w:bCs/>
          <w:b/>
        </w:rPr>
        <w:t xml:space="preserve">2013</w:t>
      </w:r>
      <w:r>
        <w:t xml:space="preserve">.</w:t>
      </w:r>
      <w:r>
        <w:t xml:space="preserve"> </w:t>
      </w:r>
      <w:hyperlink r:id="rId53">
        <w:r>
          <w:rPr>
            <w:rStyle w:val="Hyperlink"/>
          </w:rPr>
          <w:t xml:space="preserve">Interactive effects of chronic deer browsing and canopy gap disturbance on forest successional dynamics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Ecosphere</w:t>
      </w:r>
      <w:r>
        <w:t xml:space="preserve"> </w:t>
      </w:r>
      <w:r>
        <w:rPr>
          <w:bCs/>
          <w:b/>
        </w:rPr>
        <w:t xml:space="preserve">4</w:t>
      </w:r>
      <w:r>
        <w:t xml:space="preserve">: 1–23.</w:t>
      </w:r>
    </w:p>
    <w:bookmarkEnd w:id="54"/>
    <w:bookmarkStart w:id="56" w:name="ref-mcdowell_pervasive_2020"/>
    <w:p>
      <w:pPr>
        <w:pStyle w:val="Bibliography"/>
      </w:pPr>
      <w:r>
        <w:rPr>
          <w:bCs/>
          <w:b/>
          <w:bCs/>
          <w:b/>
        </w:rPr>
        <w:t xml:space="preserve">McDowell NG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Allen CD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Aukema BH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Bond-Lamberty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Chini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Clark JS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Dietze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Grossiord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Hanbury-Brown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Pervasive shifts in forest dynamics in a changing world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rPr>
          <w:bCs/>
          <w:b/>
        </w:rPr>
        <w:t xml:space="preserve">368</w:t>
      </w:r>
      <w:r>
        <w:t xml:space="preserve">.</w:t>
      </w:r>
    </w:p>
    <w:bookmarkEnd w:id="56"/>
    <w:bookmarkStart w:id="58" w:name="ref-mcgarvey_effects_2013"/>
    <w:p>
      <w:pPr>
        <w:pStyle w:val="Bibliography"/>
      </w:pPr>
      <w:r>
        <w:rPr>
          <w:bCs/>
          <w:b/>
          <w:bCs/>
          <w:b/>
        </w:rPr>
        <w:t xml:space="preserve">McGarvey JC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Bourg NA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Thompson JR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McShea WJ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Shen X</w:t>
      </w:r>
      <w:r>
        <w:t xml:space="preserve">.</w:t>
      </w:r>
      <w:r>
        <w:t xml:space="preserve"> </w:t>
      </w:r>
      <w:r>
        <w:rPr>
          <w:bCs/>
          <w:b/>
        </w:rPr>
        <w:t xml:space="preserve">2013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Effects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Twenty Years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Deer Exclusion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Woody Vegetation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Three Life-History Stages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Mid-Atlantic Temperate Deciduous Forest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Northeastern Naturalist</w:t>
      </w:r>
      <w:r>
        <w:t xml:space="preserve"> </w:t>
      </w:r>
      <w:r>
        <w:rPr>
          <w:bCs/>
          <w:b/>
        </w:rPr>
        <w:t xml:space="preserve">20</w:t>
      </w:r>
      <w:r>
        <w:t xml:space="preserve">: 451–468.</w:t>
      </w:r>
    </w:p>
    <w:bookmarkEnd w:id="58"/>
    <w:bookmarkStart w:id="60" w:name="ref-miller_compounding_2019"/>
    <w:p>
      <w:pPr>
        <w:pStyle w:val="Bibliography"/>
      </w:pPr>
      <w:r>
        <w:rPr>
          <w:bCs/>
          <w:b/>
          <w:bCs/>
          <w:b/>
        </w:rPr>
        <w:t xml:space="preserve">Miller KM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McGill BJ</w:t>
      </w:r>
      <w:r>
        <w:t xml:space="preserve">.</w:t>
      </w:r>
      <w:r>
        <w:t xml:space="preserve"> </w:t>
      </w:r>
      <w:r>
        <w:rPr>
          <w:bCs/>
          <w:b/>
        </w:rPr>
        <w:t xml:space="preserve">2019</w:t>
      </w:r>
      <w:r>
        <w:t xml:space="preserve">.</w:t>
      </w:r>
      <w:r>
        <w:t xml:space="preserve"> </w:t>
      </w:r>
      <w:hyperlink r:id="rId59">
        <w:r>
          <w:rPr>
            <w:rStyle w:val="Hyperlink"/>
          </w:rPr>
          <w:t xml:space="preserve">Compounding human stressors cause major regeneration debt in over half of eastern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forests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Applied Ecology</w:t>
      </w:r>
      <w:r>
        <w:t xml:space="preserve"> </w:t>
      </w:r>
      <w:r>
        <w:rPr>
          <w:bCs/>
          <w:b/>
        </w:rPr>
        <w:t xml:space="preserve">56</w:t>
      </w:r>
      <w:r>
        <w:t xml:space="preserve">: 1355–1366.</w:t>
      </w:r>
    </w:p>
    <w:bookmarkEnd w:id="60"/>
    <w:bookmarkStart w:id="62" w:name="ref-miller_overabundant_2023"/>
    <w:p>
      <w:pPr>
        <w:pStyle w:val="Bibliography"/>
      </w:pPr>
      <w:r>
        <w:rPr>
          <w:bCs/>
          <w:b/>
          <w:bCs/>
          <w:b/>
        </w:rPr>
        <w:t xml:space="preserve">Miller KM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Perles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Schmit JP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Matthews ER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Weed AS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Comiskey JA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Marshall MR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Nelson 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Fisichelli NA</w:t>
      </w:r>
      <w:r>
        <w:t xml:space="preserve">.</w:t>
      </w:r>
      <w:r>
        <w:t xml:space="preserve"> </w:t>
      </w:r>
      <w:r>
        <w:rPr>
          <w:bCs/>
          <w:b/>
        </w:rPr>
        <w:t xml:space="preserve">2023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Overabundant deer and invasive plants drive widespread regeneration debt in eastern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United 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national parks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Ecological Applications</w:t>
      </w:r>
      <w:r>
        <w:t xml:space="preserve"> </w:t>
      </w:r>
      <w:r>
        <w:rPr>
          <w:bCs/>
          <w:b/>
        </w:rPr>
        <w:t xml:space="preserve">33</w:t>
      </w:r>
      <w:r>
        <w:t xml:space="preserve">: e2837.</w:t>
      </w:r>
    </w:p>
    <w:bookmarkEnd w:id="62"/>
    <w:bookmarkStart w:id="64" w:name="ref-nowacki_climate_2015"/>
    <w:p>
      <w:pPr>
        <w:pStyle w:val="Bibliography"/>
      </w:pPr>
      <w:r>
        <w:rPr>
          <w:bCs/>
          <w:b/>
          <w:bCs/>
          <w:b/>
        </w:rPr>
        <w:t xml:space="preserve">Nowacki GJ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Abrams MD</w:t>
      </w:r>
      <w:r>
        <w:t xml:space="preserve">.</w:t>
      </w:r>
      <w:r>
        <w:t xml:space="preserve"> </w:t>
      </w:r>
      <w:r>
        <w:rPr>
          <w:bCs/>
          <w:b/>
        </w:rPr>
        <w:t xml:space="preserve">2015</w:t>
      </w:r>
      <w:r>
        <w:t xml:space="preserve">.</w:t>
      </w:r>
      <w:r>
        <w:t xml:space="preserve"> </w:t>
      </w:r>
      <w:hyperlink r:id="rId63">
        <w:r>
          <w:rPr>
            <w:rStyle w:val="Hyperlink"/>
          </w:rPr>
          <w:t xml:space="preserve">Is climate an important driver of post-</w:t>
        </w:r>
        <w:r>
          <w:rPr>
            <w:rStyle w:val="Hyperlink"/>
          </w:rPr>
          <w:t xml:space="preserve">European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vegetation change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Eastern United States</w:t>
        </w:r>
        <w:r>
          <w:rPr>
            <w:rStyle w:val="Hyperlink"/>
          </w:rPr>
          <w:t xml:space="preserve">?</w:t>
        </w:r>
      </w:hyperlink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21</w:t>
      </w:r>
      <w:r>
        <w:t xml:space="preserve">: 314–334.</w:t>
      </w:r>
    </w:p>
    <w:bookmarkEnd w:id="64"/>
    <w:bookmarkStart w:id="66" w:name="ref-pugh_role_2019"/>
    <w:p>
      <w:pPr>
        <w:pStyle w:val="Bibliography"/>
      </w:pPr>
      <w:r>
        <w:rPr>
          <w:bCs/>
          <w:b/>
          <w:bCs/>
          <w:b/>
        </w:rPr>
        <w:t xml:space="preserve">Pugh TAM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Lindeskog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Smith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Poulter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Arneth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Haverd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Calle L</w:t>
      </w:r>
      <w:r>
        <w:t xml:space="preserve">.</w:t>
      </w:r>
      <w:r>
        <w:t xml:space="preserve"> </w:t>
      </w:r>
      <w:r>
        <w:rPr>
          <w:bCs/>
          <w:b/>
        </w:rPr>
        <w:t xml:space="preserve">2019</w:t>
      </w:r>
      <w:r>
        <w:t xml:space="preserve">.</w:t>
      </w:r>
      <w:r>
        <w:t xml:space="preserve"> </w:t>
      </w:r>
      <w:hyperlink r:id="rId65">
        <w:r>
          <w:rPr>
            <w:rStyle w:val="Hyperlink"/>
          </w:rPr>
          <w:t xml:space="preserve">Role of forest regrowth in global carbon sink dynamics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rPr>
          <w:bCs/>
          <w:b/>
        </w:rPr>
        <w:t xml:space="preserve">116</w:t>
      </w:r>
      <w:r>
        <w:t xml:space="preserve">: 4382–4387.</w:t>
      </w:r>
    </w:p>
    <w:bookmarkEnd w:id="66"/>
    <w:bookmarkStart w:id="68" w:name="ref-russell_interactions_2017"/>
    <w:p>
      <w:pPr>
        <w:pStyle w:val="Bibliography"/>
      </w:pPr>
      <w:r>
        <w:rPr>
          <w:bCs/>
          <w:b/>
          <w:bCs/>
          <w:b/>
        </w:rPr>
        <w:t xml:space="preserve">Russell MB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Woodall CW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Potter KM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Walters BF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Domke GM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Oswalt CM</w:t>
      </w:r>
      <w:r>
        <w:t xml:space="preserve">.</w:t>
      </w:r>
      <w:r>
        <w:t xml:space="preserve"> </w:t>
      </w:r>
      <w:r>
        <w:rPr>
          <w:bCs/>
          <w:b/>
        </w:rPr>
        <w:t xml:space="preserve">2017</w:t>
      </w:r>
      <w:r>
        <w:t xml:space="preserve">.</w:t>
      </w:r>
      <w:r>
        <w:t xml:space="preserve"> </w:t>
      </w:r>
      <w:hyperlink r:id="rId67">
        <w:r>
          <w:rPr>
            <w:rStyle w:val="Hyperlink"/>
          </w:rPr>
          <w:t xml:space="preserve">Interactions between white-tailed deer density and the composition of forest understories in the northern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United States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Forest Ecology and Management</w:t>
      </w:r>
      <w:r>
        <w:t xml:space="preserve"> </w:t>
      </w:r>
      <w:r>
        <w:rPr>
          <w:bCs/>
          <w:b/>
        </w:rPr>
        <w:t xml:space="preserve">384</w:t>
      </w:r>
      <w:r>
        <w:t xml:space="preserve">: 26–33.</w:t>
      </w:r>
    </w:p>
    <w:bookmarkEnd w:id="68"/>
    <w:bookmarkStart w:id="70" w:name="ref-wu_uncertainty_2023"/>
    <w:p>
      <w:pPr>
        <w:pStyle w:val="Bibliography"/>
      </w:pPr>
      <w:r>
        <w:rPr>
          <w:bCs/>
          <w:b/>
          <w:bCs/>
          <w:b/>
        </w:rPr>
        <w:t xml:space="preserve">Wu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Coffield SR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Goulden ML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Randerson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Trugman AT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Anderegg WRL</w:t>
      </w:r>
      <w:r>
        <w:t xml:space="preserve">.</w:t>
      </w:r>
      <w:r>
        <w:t xml:space="preserve"> </w:t>
      </w:r>
      <w:r>
        <w:rPr>
          <w:bCs/>
          <w:b/>
        </w:rPr>
        <w:t xml:space="preserve">2023</w:t>
      </w:r>
      <w:r>
        <w:t xml:space="preserve">.</w:t>
      </w:r>
      <w:r>
        <w:t xml:space="preserve"> </w:t>
      </w:r>
      <w:hyperlink r:id="rId69">
        <w:r>
          <w:rPr>
            <w:rStyle w:val="Hyperlink"/>
          </w:rPr>
          <w:t xml:space="preserve">Uncertainty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forest carbon storage potential due to climate risks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Geoscience</w:t>
      </w:r>
      <w:r>
        <w:t xml:space="preserve">: 1–8.</w:t>
      </w:r>
    </w:p>
    <w:bookmarkEnd w:id="70"/>
    <w:bookmarkEnd w:id="71"/>
    <w:bookmarkEnd w:id="72"/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  <w:rPr>
      <w:rFonts w:ascii="Palatino Linotype" w:hAnsi="Palatino Linotype"/>
      <w:sz w:val="22"/>
      <w:szCs w:val="22"/>
    </w:rPr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24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 w:val="24"/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cs="Times New Roman" w:hAnsi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61" Target="https://doi.org/10.1002/eap.2837" TargetMode="External" /><Relationship Type="http://schemas.openxmlformats.org/officeDocument/2006/relationships/hyperlink" Id="rId49" Target="https://doi.org/10.1002/ecm.1423" TargetMode="External" /><Relationship Type="http://schemas.openxmlformats.org/officeDocument/2006/relationships/hyperlink" Id="rId39" Target="https://doi.org/10.1007/s10021-020-00503-w" TargetMode="External" /><Relationship Type="http://schemas.openxmlformats.org/officeDocument/2006/relationships/hyperlink" Id="rId67" Target="https://doi.org/10.1016/j.foreco.2016.10.038" TargetMode="External" /><Relationship Type="http://schemas.openxmlformats.org/officeDocument/2006/relationships/hyperlink" Id="rId51" Target="https://doi.org/10.1038/s41558-020-00976-6" TargetMode="External" /><Relationship Type="http://schemas.openxmlformats.org/officeDocument/2006/relationships/hyperlink" Id="rId69" Target="https://doi.org/10.1038/s41561-023-01166-7" TargetMode="External" /><Relationship Type="http://schemas.openxmlformats.org/officeDocument/2006/relationships/hyperlink" Id="rId65" Target="https://doi.org/10.1073/pnas.1810512116" TargetMode="External" /><Relationship Type="http://schemas.openxmlformats.org/officeDocument/2006/relationships/hyperlink" Id="rId47" Target="https://doi.org/10.1073/pnas.1820601116" TargetMode="External" /><Relationship Type="http://schemas.openxmlformats.org/officeDocument/2006/relationships/hyperlink" Id="rId37" Target="https://doi.org/10.1088/1748-9326/7/4/044008" TargetMode="External" /><Relationship Type="http://schemas.openxmlformats.org/officeDocument/2006/relationships/hyperlink" Id="rId59" Target="https://doi.org/10.1111/1365-2664.13375" TargetMode="External" /><Relationship Type="http://schemas.openxmlformats.org/officeDocument/2006/relationships/hyperlink" Id="rId41" Target="https://doi.org/10.1111/gcb.12194" TargetMode="External" /><Relationship Type="http://schemas.openxmlformats.org/officeDocument/2006/relationships/hyperlink" Id="rId63" Target="https://doi.org/10.1111/gcb.12663" TargetMode="External" /><Relationship Type="http://schemas.openxmlformats.org/officeDocument/2006/relationships/hyperlink" Id="rId55" Target="https://doi.org/10.1126/science.aaz9463" TargetMode="External" /><Relationship Type="http://schemas.openxmlformats.org/officeDocument/2006/relationships/hyperlink" Id="rId57" Target="https://doi.org/10.1656/045.020.0301" TargetMode="External" /><Relationship Type="http://schemas.openxmlformats.org/officeDocument/2006/relationships/hyperlink" Id="rId53" Target="https://doi.org/10.1890/ES13-00223.1" TargetMode="External" /><Relationship Type="http://schemas.openxmlformats.org/officeDocument/2006/relationships/hyperlink" Id="rId43" Target="https://doi.org/10.5194/bg-17-4173-2020" TargetMode="External" /><Relationship Type="http://schemas.openxmlformats.org/officeDocument/2006/relationships/hyperlink" Id="rId45" Target="https://www.jstor.org/stable/newphytologist.201.4.1086" TargetMode="External" /><Relationship Type="http://schemas.openxmlformats.org/officeDocument/2006/relationships/hyperlink" Id="rId21" Target="https://www.newphytologist.org/news/view/332" TargetMode="External" /><Relationship Type="http://schemas.openxmlformats.org/officeDocument/2006/relationships/hyperlink" Id="rId20" Target="mailto:teixeirak@s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doi.org/10.1002/eap.2837" TargetMode="External" /><Relationship Type="http://schemas.openxmlformats.org/officeDocument/2006/relationships/hyperlink" Id="rId49" Target="https://doi.org/10.1002/ecm.1423" TargetMode="External" /><Relationship Type="http://schemas.openxmlformats.org/officeDocument/2006/relationships/hyperlink" Id="rId39" Target="https://doi.org/10.1007/s10021-020-00503-w" TargetMode="External" /><Relationship Type="http://schemas.openxmlformats.org/officeDocument/2006/relationships/hyperlink" Id="rId67" Target="https://doi.org/10.1016/j.foreco.2016.10.038" TargetMode="External" /><Relationship Type="http://schemas.openxmlformats.org/officeDocument/2006/relationships/hyperlink" Id="rId51" Target="https://doi.org/10.1038/s41558-020-00976-6" TargetMode="External" /><Relationship Type="http://schemas.openxmlformats.org/officeDocument/2006/relationships/hyperlink" Id="rId69" Target="https://doi.org/10.1038/s41561-023-01166-7" TargetMode="External" /><Relationship Type="http://schemas.openxmlformats.org/officeDocument/2006/relationships/hyperlink" Id="rId65" Target="https://doi.org/10.1073/pnas.1810512116" TargetMode="External" /><Relationship Type="http://schemas.openxmlformats.org/officeDocument/2006/relationships/hyperlink" Id="rId47" Target="https://doi.org/10.1073/pnas.1820601116" TargetMode="External" /><Relationship Type="http://schemas.openxmlformats.org/officeDocument/2006/relationships/hyperlink" Id="rId37" Target="https://doi.org/10.1088/1748-9326/7/4/044008" TargetMode="External" /><Relationship Type="http://schemas.openxmlformats.org/officeDocument/2006/relationships/hyperlink" Id="rId59" Target="https://doi.org/10.1111/1365-2664.13375" TargetMode="External" /><Relationship Type="http://schemas.openxmlformats.org/officeDocument/2006/relationships/hyperlink" Id="rId41" Target="https://doi.org/10.1111/gcb.12194" TargetMode="External" /><Relationship Type="http://schemas.openxmlformats.org/officeDocument/2006/relationships/hyperlink" Id="rId63" Target="https://doi.org/10.1111/gcb.12663" TargetMode="External" /><Relationship Type="http://schemas.openxmlformats.org/officeDocument/2006/relationships/hyperlink" Id="rId55" Target="https://doi.org/10.1126/science.aaz9463" TargetMode="External" /><Relationship Type="http://schemas.openxmlformats.org/officeDocument/2006/relationships/hyperlink" Id="rId57" Target="https://doi.org/10.1656/045.020.0301" TargetMode="External" /><Relationship Type="http://schemas.openxmlformats.org/officeDocument/2006/relationships/hyperlink" Id="rId53" Target="https://doi.org/10.1890/ES13-00223.1" TargetMode="External" /><Relationship Type="http://schemas.openxmlformats.org/officeDocument/2006/relationships/hyperlink" Id="rId43" Target="https://doi.org/10.5194/bg-17-4173-2020" TargetMode="External" /><Relationship Type="http://schemas.openxmlformats.org/officeDocument/2006/relationships/hyperlink" Id="rId45" Target="https://www.jstor.org/stable/newphytologist.201.4.1086" TargetMode="External" /><Relationship Type="http://schemas.openxmlformats.org/officeDocument/2006/relationships/hyperlink" Id="rId21" Target="https://www.newphytologist.org/news/view/332" TargetMode="External" /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2023-09-06T11:19:48Z</dcterms:created>
  <dcterms:modified xsi:type="dcterms:W3CDTF">2023-09-06T11:19:48Z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