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Luca Morreale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* 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teixeirak@si.edu</w:t>
        </w:r>
      </w:hyperlink>
      <w:r>
        <w:t xml:space="preserve">; +1 540 635 6546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numPr>
          <w:ilvl w:val="0"/>
          <w:numId w:val="1002"/>
        </w:numPr>
        <w:pStyle w:val="Compact"/>
      </w:pPr>
      <w:r>
        <w:t xml:space="preserve">temperate deciduous forests play a critical role in the global carbon cycle, accounting for a substantial portion of the global forest C sink</w:t>
      </w:r>
    </w:p>
    <w:p>
      <w:pPr>
        <w:numPr>
          <w:ilvl w:val="0"/>
          <w:numId w:val="1002"/>
        </w:numPr>
        <w:pStyle w:val="Compact"/>
      </w:pPr>
      <w:r>
        <w:t xml:space="preserve">The dominant view imbued in Earth System Models is that, at least within the eastern US, the biome is likely to remain a C sink for the remainder of the 21st century</w:t>
      </w:r>
    </w:p>
    <w:p>
      <w:pPr>
        <w:numPr>
          <w:ilvl w:val="0"/>
          <w:numId w:val="1002"/>
        </w:numPr>
        <w:pStyle w:val="Compact"/>
      </w:pPr>
      <w:r>
        <w:t xml:space="preserve">However, these models do not incorporate nuisance species – i.e., species whose local abundance has been dramatically increased as a result of human activities and that are causing ecological harm.</w:t>
      </w:r>
    </w:p>
    <w:p>
      <w:pPr>
        <w:numPr>
          <w:ilvl w:val="0"/>
          <w:numId w:val="1002"/>
        </w:numPr>
        <w:pStyle w:val="Compact"/>
      </w:pPr>
      <w:r>
        <w:t xml:space="preserve">Nuisance species are known to increase tree mortality (non-endemic pests and pathogens) and decrease recruitment (deer, non-endemic plants) throughout the (Eastern US) temperate deciduous biome, yet we don’t know net effect on current and future C cycling</w:t>
      </w:r>
    </w:p>
    <w:p>
      <w:pPr>
        <w:numPr>
          <w:ilvl w:val="0"/>
          <w:numId w:val="1002"/>
        </w:numPr>
        <w:pStyle w:val="Compact"/>
      </w:pPr>
      <w:r>
        <w:t xml:space="preserve">Here, we use 15 years of detailed census data from a large forest dynamics plot with a deer exclosure to understand how nuisance species are affecting C cycling</w:t>
      </w:r>
    </w:p>
    <w:p>
      <w:pPr>
        <w:numPr>
          <w:ilvl w:val="0"/>
          <w:numId w:val="1002"/>
        </w:numPr>
        <w:pStyle w:val="Compact"/>
      </w:pPr>
      <w:r>
        <w:t xml:space="preserve">we show increased biomass mortality, reduced ∆AGB (only outside deer exclosure?), reduced AGB (only outside deer exclosure?)</w:t>
      </w:r>
    </w:p>
    <w:p>
      <w:pPr>
        <w:numPr>
          <w:ilvl w:val="0"/>
          <w:numId w:val="1002"/>
        </w:numPr>
        <w:pStyle w:val="Compact"/>
      </w:pPr>
      <w:r>
        <w:t xml:space="preserve">if current trends continue, forest will continue to lose C sequestration capacity/ likely to be C source in future</w:t>
      </w:r>
    </w:p>
    <w:p>
      <w:pPr>
        <w:numPr>
          <w:ilvl w:val="0"/>
          <w:numId w:val="1002"/>
        </w:numPr>
        <w:pStyle w:val="Compact"/>
      </w:pPr>
      <w:r>
        <w:t xml:space="preserve">thus, C sequestration potential of temperate deciduous forests is overestimated</w:t>
      </w:r>
    </w:p>
    <w:p>
      <w:pPr>
        <w:pStyle w:val="FirstParagraph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3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canopy tree mortality and associated biomass loss are increasing, in large part due to non-endemic nuisance species (pests &amp; pathogens)</w:t>
      </w:r>
      <w:r>
        <w:t xml:space="preserve"> </w:t>
      </w:r>
      <w:r>
        <w:t xml:space="preserve">(2) growth and recruitment (outside deer exclosure) have not kept pace with tree mortality, resulting in declining AGB (-∆AGB)</w:t>
      </w:r>
      <w:r>
        <w:t xml:space="preserve"> </w:t>
      </w:r>
      <w:r>
        <w:t xml:space="preserve">(3) C stocks have declined (-∆AGB), and will decline further if current trends continue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plot:</w:t>
      </w:r>
      <w:r>
        <w:t xml:space="preserve"> </w:t>
      </w:r>
      <w:r>
        <w:t xml:space="preserve">(1) representative upland forest (Fig. 1a) - # ha of the plot, excluding areas around streams (</w:t>
      </w:r>
      <w:r>
        <w:rPr>
          <w:iCs/>
          <w:i/>
        </w:rPr>
        <w:t xml:space="preserve">delineated using topographic wetness index, described in</w:t>
      </w:r>
      <w:r>
        <w:rPr>
          <w:iCs/>
          <w:i/>
        </w:rPr>
        <w:t xml:space="preserve"> </w:t>
      </w:r>
      <w:r>
        <w:rPr>
          <w:iCs/>
          <w:i/>
        </w:rPr>
        <w:t xml:space="preserve">McGregor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et al.</w:t>
      </w:r>
      <w:r>
        <w:rPr>
          <w:iCs/>
          <w:i/>
        </w:rPr>
        <w:t xml:space="preserve"> </w:t>
      </w:r>
      <w:r>
        <w:rPr>
          <w:iCs/>
          <w:i/>
        </w:rPr>
        <w:t xml:space="preserve">(2021)</w:t>
      </w:r>
      <w:r>
        <w:t xml:space="preserve">) and the two special focal areas</w:t>
      </w:r>
      <w:r>
        <w:t xml:space="preserve"> </w:t>
      </w:r>
      <w:r>
        <w:t xml:space="preserve">(2) deer exclosure (Fig. 1b)- 4 ha portion of upland forest in the SE quarter of the plot, fenced in YEAR and maintained mainly deer-free for the past ## years;</w:t>
      </w:r>
      <w:r>
        <w:t xml:space="preserve"> </w:t>
      </w:r>
      <w:r>
        <w:t xml:space="preserve">(3)</w:t>
      </w:r>
      <w:r>
        <w:t xml:space="preserve"> </w:t>
      </w:r>
      <w:r>
        <w:t xml:space="preserve">“</w:t>
      </w:r>
      <w:r>
        <w:t xml:space="preserve">tree graveyard</w:t>
      </w:r>
      <w:r>
        <w:t xml:space="preserve">”</w:t>
      </w:r>
      <w:r>
        <w:t xml:space="preserve"> </w:t>
      </w:r>
      <w:r>
        <w:t xml:space="preserve">(Fig. 1c) - a # ha section of upland forest in the NE corner of the plot where extensive mortality of</w:t>
      </w:r>
      <w:r>
        <w:t xml:space="preserve"> </w:t>
      </w:r>
      <w:r>
        <w:rPr>
          <w:iCs/>
          <w:i/>
        </w:rPr>
        <w:t xml:space="preserve">Fraxinus</w:t>
      </w:r>
      <w:r>
        <w:t xml:space="preserve"> </w:t>
      </w:r>
      <w:r>
        <w:t xml:space="preserve">and other canopy trees within the past decade has resulted in an open canopy and heavy ground cover of invasive plants.</w:t>
      </w:r>
      <w:r>
        <w:t xml:space="preserve"> </w:t>
      </w:r>
      <w:r>
        <w:t xml:space="preserve">The latter was delineated based on</w:t>
      </w:r>
      <w:r>
        <w:t xml:space="preserve"> </w:t>
      </w:r>
      <w:r>
        <w:rPr>
          <w:iCs/>
          <w:i/>
        </w:rPr>
        <w:t xml:space="preserve">(define &amp; describe criteria)</w:t>
      </w:r>
    </w:p>
    <w:p>
      <w:pPr>
        <w:pStyle w:val="CaptionedFigure"/>
      </w:pPr>
      <w:r>
        <w:drawing>
          <wp:inline>
            <wp:extent cx="5943600" cy="2678906"/>
            <wp:effectExtent b="0" l="0" r="0" t="0"/>
            <wp:docPr descr="Photos within the SCBI ForestGEO plot: (a) represenative upland forest, (b) deer exclosure, (c) “tree graveyard” in NE corner  (Perhaps combine these with a map of the plot?)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Photos within the SCBI ForestGEO plot: (a) represenative upland forest, (b) deer exclosure, (c)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tree graveyard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in NE corner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(Perhaps combine these with a map of the plot?)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4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bookmarkEnd w:id="38"/>
    <w:bookmarkStart w:id="39" w:name="Data"/>
    <w:p>
      <w:pPr>
        <w:pStyle w:val="Heading1"/>
      </w:pPr>
      <w:r>
        <w:t xml:space="preserve">Data availability</w:t>
      </w:r>
    </w:p>
    <w:p>
      <w:r>
        <w:br w:type="page"/>
      </w:r>
    </w:p>
    <w:bookmarkEnd w:id="39"/>
    <w:bookmarkStart w:id="79" w:name="References"/>
    <w:p>
      <w:pPr>
        <w:pStyle w:val="Heading1"/>
      </w:pPr>
      <w:r>
        <w:t xml:space="preserve">References</w:t>
      </w:r>
    </w:p>
    <w:bookmarkStart w:id="78" w:name="refs"/>
    <w:bookmarkStart w:id="41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40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1"/>
    <w:bookmarkStart w:id="43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2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3"/>
    <w:bookmarkStart w:id="45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4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5"/>
    <w:bookmarkStart w:id="47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6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7"/>
    <w:bookmarkStart w:id="49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8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9"/>
    <w:bookmarkStart w:id="51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50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1"/>
    <w:bookmarkStart w:id="53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2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3"/>
    <w:bookmarkStart w:id="55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4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5"/>
    <w:bookmarkStart w:id="57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6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57"/>
    <w:bookmarkStart w:id="59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58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59"/>
    <w:bookmarkStart w:id="61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0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1"/>
    <w:bookmarkStart w:id="63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2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63"/>
    <w:bookmarkStart w:id="65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4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65"/>
    <w:bookmarkStart w:id="67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66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67"/>
    <w:bookmarkStart w:id="69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69"/>
    <w:bookmarkStart w:id="71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0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1"/>
    <w:bookmarkStart w:id="73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73"/>
    <w:bookmarkStart w:id="75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75"/>
    <w:bookmarkStart w:id="77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6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77"/>
    <w:bookmarkEnd w:id="78"/>
    <w:bookmarkEnd w:id="79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74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56" Target="https://doi.org/10.1038/s41558-020-00976-6" TargetMode="External" /><Relationship Type="http://schemas.openxmlformats.org/officeDocument/2006/relationships/hyperlink" Id="rId76" Target="https://doi.org/10.1038/s41561-023-01166-7" TargetMode="External" /><Relationship Type="http://schemas.openxmlformats.org/officeDocument/2006/relationships/hyperlink" Id="rId72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66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0" Target="https://doi.org/10.1111/gcb.12663" TargetMode="External" /><Relationship Type="http://schemas.openxmlformats.org/officeDocument/2006/relationships/hyperlink" Id="rId64" Target="https://doi.org/10.1111/nph.16996" TargetMode="External" /><Relationship Type="http://schemas.openxmlformats.org/officeDocument/2006/relationships/hyperlink" Id="rId60" Target="https://doi.org/10.1126/science.aaz9463" TargetMode="External" /><Relationship Type="http://schemas.openxmlformats.org/officeDocument/2006/relationships/hyperlink" Id="rId62" Target="https://doi.org/10.1656/045.020.0301" TargetMode="External" /><Relationship Type="http://schemas.openxmlformats.org/officeDocument/2006/relationships/hyperlink" Id="rId58" Target="https://doi.org/10.1890/ES13-00223.1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2023-09-21T13:47:13Z</dcterms:created>
  <dcterms:modified xsi:type="dcterms:W3CDTF">2023-09-21T13:47:13Z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