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F685" w14:textId="12F9BEBB" w:rsidR="00F67D9A" w:rsidRPr="00CF1737" w:rsidRDefault="0040290A">
      <w:pPr>
        <w:rPr>
          <w:rFonts w:ascii="Palatino Linotype" w:hAnsi="Palatino Linotype" w:cs="Times New Roman"/>
          <w:sz w:val="28"/>
          <w:szCs w:val="28"/>
        </w:rPr>
      </w:pPr>
      <w:r w:rsidRPr="00CF1737">
        <w:rPr>
          <w:rFonts w:ascii="Palatino Linotype" w:hAnsi="Palatino Linotype" w:cs="Times New Roman"/>
          <w:sz w:val="28"/>
          <w:szCs w:val="28"/>
        </w:rPr>
        <w:t xml:space="preserve">Relevant Literature </w:t>
      </w:r>
      <w:r w:rsidR="00F67D9A" w:rsidRPr="00CF1737">
        <w:rPr>
          <w:rFonts w:ascii="Palatino Linotype" w:hAnsi="Palatino Linotype" w:cs="Times New Roman"/>
          <w:sz w:val="28"/>
          <w:szCs w:val="28"/>
        </w:rPr>
        <w:t>Notes</w:t>
      </w:r>
    </w:p>
    <w:p w14:paraId="1BAF21C4" w14:textId="77777777" w:rsidR="006D2CC9" w:rsidRDefault="006D2CC9">
      <w:pPr>
        <w:rPr>
          <w:rFonts w:ascii="Palatino Linotype" w:hAnsi="Palatino Linotype" w:cs="Times New Roman"/>
        </w:rPr>
      </w:pPr>
    </w:p>
    <w:p w14:paraId="04717024" w14:textId="2681DD7D" w:rsidR="006D2CC9" w:rsidRDefault="006D2CC9">
      <w:pPr>
        <w:rPr>
          <w:rFonts w:ascii="Palatino Linotype" w:hAnsi="Palatino Linotype" w:cs="Times New Roman"/>
        </w:rPr>
      </w:pPr>
    </w:p>
    <w:p w14:paraId="4C5C5658" w14:textId="1BB8FCEE" w:rsidR="006D2CC9" w:rsidRPr="00CF1737" w:rsidRDefault="006D2CC9">
      <w:pPr>
        <w:rPr>
          <w:rFonts w:ascii="Palatino Linotype" w:hAnsi="Palatino Linotype" w:cs="Times New Roman"/>
          <w:sz w:val="28"/>
          <w:szCs w:val="28"/>
        </w:rPr>
      </w:pPr>
      <w:r w:rsidRPr="00CF1737">
        <w:rPr>
          <w:rFonts w:ascii="Palatino Linotype" w:hAnsi="Palatino Linotype" w:cs="Times New Roman"/>
          <w:sz w:val="28"/>
          <w:szCs w:val="28"/>
        </w:rPr>
        <w:t>Methods</w:t>
      </w:r>
    </w:p>
    <w:p w14:paraId="03592AB0" w14:textId="77777777" w:rsidR="006D2CC9" w:rsidRDefault="006D2CC9">
      <w:pPr>
        <w:rPr>
          <w:rFonts w:ascii="Palatino Linotype" w:hAnsi="Palatino Linotype" w:cs="Times New Roman"/>
        </w:rPr>
      </w:pPr>
    </w:p>
    <w:p w14:paraId="34E4BEC0" w14:textId="3098D8E4" w:rsidR="00CF1737" w:rsidRPr="00CF1737" w:rsidRDefault="00CF1737">
      <w:pPr>
        <w:rPr>
          <w:rFonts w:ascii="Palatino Linotype" w:hAnsi="Palatino Linotype" w:cs="Times New Roman"/>
        </w:rPr>
      </w:pPr>
      <w:r w:rsidRPr="00CF1737">
        <w:rPr>
          <w:rFonts w:ascii="Palatino Linotype" w:hAnsi="Palatino Linotype" w:cs="Times New Roman"/>
        </w:rPr>
        <w:t>Site Description</w:t>
      </w:r>
    </w:p>
    <w:p w14:paraId="52250A10" w14:textId="57AD1C47" w:rsidR="00853651" w:rsidRPr="00CF1737" w:rsidRDefault="00490286">
      <w:pPr>
        <w:rPr>
          <w:rFonts w:ascii="Palatino Linotype" w:hAnsi="Palatino Linotype" w:cs="Times New Roman"/>
          <w:sz w:val="22"/>
          <w:szCs w:val="22"/>
        </w:rPr>
      </w:pPr>
      <w:r w:rsidRPr="00CF1737">
        <w:rPr>
          <w:rFonts w:ascii="Palatino Linotype" w:hAnsi="Palatino Linotype" w:cs="Times New Roman"/>
          <w:sz w:val="22"/>
          <w:szCs w:val="22"/>
        </w:rPr>
        <w:t xml:space="preserve">The study was conducted in the </w:t>
      </w:r>
      <w:r w:rsidR="008E3FDD" w:rsidRPr="00CF1737">
        <w:rPr>
          <w:rFonts w:ascii="Palatino Linotype" w:hAnsi="Palatino Linotype" w:cs="Times New Roman"/>
          <w:sz w:val="22"/>
          <w:szCs w:val="22"/>
        </w:rPr>
        <w:t>25.6-hectare</w:t>
      </w:r>
      <w:r w:rsidRPr="00CF1737">
        <w:rPr>
          <w:rFonts w:ascii="Palatino Linotype" w:hAnsi="Palatino Linotype" w:cs="Times New Roman"/>
          <w:sz w:val="22"/>
          <w:szCs w:val="22"/>
        </w:rPr>
        <w:t xml:space="preserve"> Large Forest Dynamics plot at the National Zoo and Conservation Biology Institute in Front Royal, Virginia (38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53’36.6“N, 78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08’43.4 “W).  The plot, which is located </w:t>
      </w:r>
      <w:r w:rsidR="00412E45" w:rsidRPr="00CF1737">
        <w:rPr>
          <w:rFonts w:ascii="Palatino Linotype" w:hAnsi="Palatino Linotype" w:cs="Times New Roman"/>
          <w:sz w:val="22"/>
          <w:szCs w:val="22"/>
        </w:rPr>
        <w:t>in the central Appalachian Mountains</w:t>
      </w:r>
      <w:r w:rsidR="00CF1737" w:rsidRPr="00CF1737">
        <w:rPr>
          <w:rFonts w:ascii="Palatino Linotype" w:hAnsi="Palatino Linotype" w:cs="Times New Roman"/>
          <w:sz w:val="22"/>
          <w:szCs w:val="22"/>
        </w:rPr>
        <w:t xml:space="preserve"> </w:t>
      </w:r>
      <w:r w:rsidRPr="00CF1737">
        <w:rPr>
          <w:rFonts w:ascii="Palatino Linotype" w:hAnsi="Palatino Linotype" w:cs="Times New Roman"/>
          <w:sz w:val="22"/>
          <w:szCs w:val="22"/>
        </w:rPr>
        <w:t>adjacent to Shenandoah National Park,</w:t>
      </w:r>
      <w:r w:rsidR="00412E45" w:rsidRPr="00CF1737">
        <w:rPr>
          <w:rFonts w:ascii="Palatino Linotype" w:hAnsi="Palatino Linotype" w:cs="Times New Roman"/>
          <w:sz w:val="22"/>
          <w:szCs w:val="22"/>
        </w:rPr>
        <w:t xml:space="preserve"> is composed of secondary eastern mixed deciduous forest. </w:t>
      </w:r>
      <w:r w:rsidR="00A36995">
        <w:rPr>
          <w:rFonts w:ascii="Palatino Linotype" w:hAnsi="Palatino Linotype" w:cs="Times New Roman"/>
          <w:sz w:val="22"/>
          <w:szCs w:val="22"/>
        </w:rPr>
        <w:t>Situated in the Appalachian Oak forest region</w:t>
      </w:r>
      <w:r w:rsidR="00484DE9">
        <w:rPr>
          <w:rFonts w:ascii="Palatino Linotype" w:hAnsi="Palatino Linotype" w:cs="Times New Roman"/>
          <w:sz w:val="22"/>
          <w:szCs w:val="22"/>
        </w:rPr>
        <w:t>, the</w:t>
      </w:r>
      <w:r w:rsidR="00412E45" w:rsidRPr="00CF1737">
        <w:rPr>
          <w:rFonts w:ascii="Palatino Linotype" w:hAnsi="Palatino Linotype" w:cs="Times New Roman"/>
          <w:sz w:val="22"/>
          <w:szCs w:val="22"/>
        </w:rPr>
        <w:t xml:space="preserve"> canopy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dominated by </w:t>
      </w:r>
      <w:r w:rsidR="0085572C">
        <w:rPr>
          <w:rFonts w:ascii="Palatino Linotype" w:hAnsi="Palatino Linotype" w:cs="Times New Roman"/>
          <w:sz w:val="22"/>
          <w:szCs w:val="22"/>
        </w:rPr>
        <w:t>tulip poplar (</w:t>
      </w:r>
      <w:r w:rsidR="0085572C">
        <w:rPr>
          <w:rFonts w:ascii="Palatino Linotype" w:hAnsi="Palatino Linotype" w:cs="Times New Roman"/>
          <w:i/>
          <w:iCs/>
          <w:sz w:val="22"/>
          <w:szCs w:val="22"/>
        </w:rPr>
        <w:t>Liriodendron tulipifera</w:t>
      </w:r>
      <w:r w:rsidR="0085572C">
        <w:rPr>
          <w:rFonts w:ascii="Palatino Linotype" w:hAnsi="Palatino Linotype" w:cs="Times New Roman"/>
          <w:sz w:val="22"/>
          <w:szCs w:val="22"/>
        </w:rPr>
        <w:t>), oak (</w:t>
      </w:r>
      <w:r w:rsidR="0085572C">
        <w:rPr>
          <w:rFonts w:ascii="Palatino Linotype" w:hAnsi="Palatino Linotype" w:cs="Times New Roman"/>
          <w:i/>
          <w:iCs/>
          <w:sz w:val="22"/>
          <w:szCs w:val="22"/>
        </w:rPr>
        <w:t>Quercus spp</w:t>
      </w:r>
      <w:r w:rsidR="0085572C">
        <w:rPr>
          <w:rFonts w:ascii="Palatino Linotype" w:hAnsi="Palatino Linotype" w:cs="Times New Roman"/>
          <w:sz w:val="22"/>
          <w:szCs w:val="22"/>
        </w:rPr>
        <w:t>.), and hickory (</w:t>
      </w:r>
      <w:r w:rsidR="0085572C">
        <w:rPr>
          <w:rFonts w:ascii="Palatino Linotype" w:hAnsi="Palatino Linotype" w:cs="Times New Roman"/>
          <w:i/>
          <w:iCs/>
          <w:sz w:val="22"/>
          <w:szCs w:val="22"/>
        </w:rPr>
        <w:t>Carya spp.</w:t>
      </w:r>
      <w:r w:rsidR="0085572C">
        <w:rPr>
          <w:rFonts w:ascii="Palatino Linotype" w:hAnsi="Palatino Linotype" w:cs="Times New Roman"/>
          <w:sz w:val="22"/>
          <w:szCs w:val="22"/>
        </w:rPr>
        <w:t>)</w:t>
      </w:r>
      <w:r w:rsidR="00412E45" w:rsidRPr="00CF1737">
        <w:rPr>
          <w:rFonts w:ascii="Palatino Linotype" w:hAnsi="Palatino Linotype" w:cs="Times New Roman"/>
          <w:sz w:val="22"/>
          <w:szCs w:val="22"/>
        </w:rPr>
        <w:t xml:space="preserve"> and </w:t>
      </w:r>
      <w:r w:rsidR="00CF1737" w:rsidRPr="00CF1737">
        <w:rPr>
          <w:rFonts w:ascii="Palatino Linotype" w:hAnsi="Palatino Linotype" w:cs="Times New Roman"/>
          <w:sz w:val="22"/>
          <w:szCs w:val="22"/>
        </w:rPr>
        <w:t>the</w:t>
      </w:r>
      <w:r w:rsidR="00412E45" w:rsidRPr="00CF1737">
        <w:rPr>
          <w:rFonts w:ascii="Palatino Linotype" w:hAnsi="Palatino Linotype" w:cs="Times New Roman"/>
          <w:sz w:val="22"/>
          <w:szCs w:val="22"/>
        </w:rPr>
        <w:t xml:space="preserve"> understory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primarily composed of </w:t>
      </w:r>
      <w:r w:rsidR="0085572C">
        <w:rPr>
          <w:rFonts w:ascii="Palatino Linotype" w:hAnsi="Palatino Linotype" w:cs="Times New Roman"/>
          <w:sz w:val="22"/>
          <w:szCs w:val="22"/>
        </w:rPr>
        <w:t>spicebush (</w:t>
      </w:r>
      <w:r w:rsidR="0085572C">
        <w:rPr>
          <w:rFonts w:ascii="Palatino Linotype" w:hAnsi="Palatino Linotype" w:cs="Times New Roman"/>
          <w:i/>
          <w:iCs/>
          <w:sz w:val="22"/>
          <w:szCs w:val="22"/>
        </w:rPr>
        <w:t>Lindera benzoin</w:t>
      </w:r>
      <w:r w:rsidR="0085572C">
        <w:rPr>
          <w:rFonts w:ascii="Palatino Linotype" w:hAnsi="Palatino Linotype" w:cs="Times New Roman"/>
          <w:sz w:val="22"/>
          <w:szCs w:val="22"/>
        </w:rPr>
        <w:t>), paw-paw (</w:t>
      </w:r>
      <w:r w:rsidR="0085572C">
        <w:rPr>
          <w:rFonts w:ascii="Palatino Linotype" w:hAnsi="Palatino Linotype" w:cs="Times New Roman"/>
          <w:i/>
          <w:iCs/>
          <w:sz w:val="22"/>
          <w:szCs w:val="22"/>
        </w:rPr>
        <w:t>Asimina triloba</w:t>
      </w:r>
      <w:r w:rsidR="0085572C">
        <w:rPr>
          <w:rFonts w:ascii="Palatino Linotype" w:hAnsi="Palatino Linotype" w:cs="Times New Roman"/>
          <w:sz w:val="22"/>
          <w:szCs w:val="22"/>
        </w:rPr>
        <w:t>), American hornbeam (</w:t>
      </w:r>
      <w:r w:rsidR="0085572C">
        <w:rPr>
          <w:rFonts w:ascii="Palatino Linotype" w:hAnsi="Palatino Linotype" w:cs="Times New Roman"/>
          <w:i/>
          <w:iCs/>
          <w:sz w:val="22"/>
          <w:szCs w:val="22"/>
        </w:rPr>
        <w:t>Carpinus carolinianai</w:t>
      </w:r>
      <w:r w:rsidR="0085572C">
        <w:rPr>
          <w:rFonts w:ascii="Palatino Linotype" w:hAnsi="Palatino Linotype" w:cs="Times New Roman"/>
          <w:sz w:val="22"/>
          <w:szCs w:val="22"/>
        </w:rPr>
        <w:t>) and witch hazel (</w:t>
      </w:r>
      <w:r w:rsidR="0085572C">
        <w:rPr>
          <w:rFonts w:ascii="Palatino Linotype" w:hAnsi="Palatino Linotype" w:cs="Times New Roman"/>
          <w:i/>
          <w:iCs/>
          <w:sz w:val="22"/>
          <w:szCs w:val="22"/>
        </w:rPr>
        <w:t>Hamamelis virginiana</w:t>
      </w:r>
      <w:r w:rsidR="0085572C">
        <w:rPr>
          <w:rFonts w:ascii="Palatino Linotype" w:hAnsi="Palatino Linotype" w:cs="Times New Roman"/>
          <w:sz w:val="22"/>
          <w:szCs w:val="22"/>
        </w:rPr>
        <w:t xml:space="preserve">) </w:t>
      </w:r>
      <w:r w:rsidR="00A36995">
        <w:rPr>
          <w:rFonts w:ascii="Palatino Linotype" w:hAnsi="Palatino Linotype" w:cs="Times New Roman"/>
          <w:sz w:val="22"/>
          <w:szCs w:val="22"/>
        </w:rPr>
        <w:t>(SCBI site description).</w:t>
      </w:r>
      <w:r w:rsidR="00412E45" w:rsidRPr="00CF1737">
        <w:rPr>
          <w:rFonts w:ascii="Palatino Linotype" w:hAnsi="Palatino Linotype" w:cs="Times New Roman"/>
          <w:sz w:val="22"/>
          <w:szCs w:val="22"/>
        </w:rPr>
        <w:t xml:space="preserve"> The land-use history of the site is varied, including periods of agricultural development and intensive logging, with dendrological data estimating canopy tree establishment around 1900 (SI archives, Bourg et al. 2013).  Natural disturbances at the plot consist of wind and infrequent ice storms (Anderson-Teixiera 2015).</w:t>
      </w:r>
      <w:r w:rsidR="00CF1737">
        <w:rPr>
          <w:rFonts w:ascii="Palatino Linotype" w:hAnsi="Palatino Linotype" w:cs="Times New Roman"/>
          <w:sz w:val="22"/>
          <w:szCs w:val="22"/>
        </w:rPr>
        <w:t xml:space="preserve">  </w:t>
      </w:r>
      <w:r w:rsidR="00A36995" w:rsidRPr="00CF1737">
        <w:rPr>
          <w:rFonts w:ascii="Palatino Linotype" w:hAnsi="Palatino Linotype" w:cs="Times New Roman"/>
          <w:sz w:val="22"/>
          <w:szCs w:val="22"/>
        </w:rPr>
        <w:t>The plot</w:t>
      </w:r>
      <w:r w:rsidR="001766E7">
        <w:rPr>
          <w:rFonts w:ascii="Palatino Linotype" w:hAnsi="Palatino Linotype" w:cs="Times New Roman"/>
          <w:sz w:val="22"/>
          <w:szCs w:val="22"/>
        </w:rPr>
        <w:t xml:space="preserve">, which includes a </w:t>
      </w:r>
      <w:r w:rsidR="003912AD">
        <w:rPr>
          <w:rFonts w:ascii="Palatino Linotype" w:hAnsi="Palatino Linotype" w:cs="Times New Roman"/>
          <w:sz w:val="22"/>
          <w:szCs w:val="22"/>
        </w:rPr>
        <w:t>4-hectare</w:t>
      </w:r>
      <w:r w:rsidR="001766E7">
        <w:rPr>
          <w:rFonts w:ascii="Palatino Linotype" w:hAnsi="Palatino Linotype" w:cs="Times New Roman"/>
          <w:sz w:val="22"/>
          <w:szCs w:val="22"/>
        </w:rPr>
        <w:t xml:space="preserve"> deer exclosure that has decreased the presence of deer since 1990, </w:t>
      </w:r>
      <w:r w:rsidR="007C53EF">
        <w:rPr>
          <w:rFonts w:ascii="Palatino Linotype" w:hAnsi="Palatino Linotype" w:cs="Times New Roman"/>
          <w:sz w:val="22"/>
          <w:szCs w:val="22"/>
        </w:rPr>
        <w:t xml:space="preserve">is divided into 640 quadrats, each measuring 20 x 20 meters. It </w:t>
      </w:r>
      <w:r w:rsidR="001766E7">
        <w:rPr>
          <w:rFonts w:ascii="Palatino Linotype" w:hAnsi="Palatino Linotype" w:cs="Times New Roman"/>
          <w:sz w:val="22"/>
          <w:szCs w:val="22"/>
        </w:rPr>
        <w:t xml:space="preserve">is one of </w:t>
      </w:r>
      <w:r w:rsidR="00CF1737">
        <w:rPr>
          <w:rFonts w:ascii="Palatino Linotype" w:hAnsi="Palatino Linotype" w:cs="Times New Roman"/>
          <w:sz w:val="22"/>
          <w:szCs w:val="22"/>
        </w:rPr>
        <w:t>78 sites in the Forest Global Earth Observatory</w:t>
      </w:r>
      <w:r w:rsidR="007C53EF">
        <w:rPr>
          <w:rFonts w:ascii="Palatino Linotype" w:hAnsi="Palatino Linotype" w:cs="Times New Roman"/>
          <w:sz w:val="22"/>
          <w:szCs w:val="22"/>
        </w:rPr>
        <w:t xml:space="preserve"> (ForestGEO)</w:t>
      </w:r>
      <w:r w:rsidR="00CF1737">
        <w:rPr>
          <w:rFonts w:ascii="Palatino Linotype" w:hAnsi="Palatino Linotype" w:cs="Times New Roman"/>
          <w:sz w:val="22"/>
          <w:szCs w:val="22"/>
        </w:rPr>
        <w:t>, a global network of forest dynamic plots that</w:t>
      </w:r>
      <w:r w:rsidR="00A36995">
        <w:rPr>
          <w:rFonts w:ascii="Palatino Linotype" w:hAnsi="Palatino Linotype" w:cs="Times New Roman"/>
          <w:sz w:val="22"/>
          <w:szCs w:val="22"/>
        </w:rPr>
        <w:t xml:space="preserve"> promotes</w:t>
      </w:r>
      <w:r w:rsidR="00CF1737">
        <w:rPr>
          <w:rFonts w:ascii="Palatino Linotype" w:hAnsi="Palatino Linotype" w:cs="Times New Roman"/>
          <w:sz w:val="22"/>
          <w:szCs w:val="22"/>
        </w:rPr>
        <w:t xml:space="preserve"> comparative forest ecology studies</w:t>
      </w:r>
      <w:r w:rsidR="00FD2D86">
        <w:rPr>
          <w:rFonts w:ascii="Palatino Linotype" w:hAnsi="Palatino Linotype" w:cs="Times New Roman"/>
          <w:sz w:val="22"/>
          <w:szCs w:val="22"/>
        </w:rPr>
        <w:t xml:space="preserve"> around the World</w:t>
      </w:r>
      <w:r w:rsidR="00484DE9">
        <w:rPr>
          <w:rFonts w:ascii="Palatino Linotype" w:hAnsi="Palatino Linotype" w:cs="Times New Roman"/>
          <w:sz w:val="22"/>
          <w:szCs w:val="22"/>
        </w:rPr>
        <w:t xml:space="preserve">. </w:t>
      </w:r>
    </w:p>
    <w:p w14:paraId="0335562D" w14:textId="77777777" w:rsidR="00853651" w:rsidRPr="00CF1737" w:rsidRDefault="00853651">
      <w:pPr>
        <w:rPr>
          <w:rFonts w:ascii="Palatino Linotype" w:hAnsi="Palatino Linotype" w:cs="Times New Roman"/>
          <w:sz w:val="22"/>
          <w:szCs w:val="22"/>
        </w:rPr>
      </w:pPr>
    </w:p>
    <w:p w14:paraId="6AA6529A" w14:textId="77777777" w:rsidR="00B45C81" w:rsidRDefault="00B45C81">
      <w:pPr>
        <w:rPr>
          <w:rFonts w:ascii="Palatino Linotype" w:hAnsi="Palatino Linotype" w:cs="Times New Roman"/>
          <w:sz w:val="22"/>
          <w:szCs w:val="22"/>
        </w:rPr>
      </w:pPr>
    </w:p>
    <w:p w14:paraId="035816BF" w14:textId="32B548A9" w:rsidR="00B45C81" w:rsidRPr="00B45C81" w:rsidRDefault="00B45C81">
      <w:pPr>
        <w:rPr>
          <w:rFonts w:ascii="Palatino Linotype" w:hAnsi="Palatino Linotype" w:cs="Times New Roman"/>
        </w:rPr>
      </w:pPr>
      <w:r>
        <w:rPr>
          <w:rFonts w:ascii="Palatino Linotype" w:hAnsi="Palatino Linotype" w:cs="Times New Roman"/>
        </w:rPr>
        <w:t>ForestGEO Census</w:t>
      </w:r>
    </w:p>
    <w:p w14:paraId="2030057C" w14:textId="3AA3BC53" w:rsidR="0008525F" w:rsidRDefault="007C53EF">
      <w:pPr>
        <w:rPr>
          <w:rFonts w:ascii="Palatino Linotype" w:hAnsi="Palatino Linotype" w:cs="Times New Roman"/>
          <w:sz w:val="22"/>
          <w:szCs w:val="22"/>
        </w:rPr>
      </w:pPr>
      <w:r>
        <w:rPr>
          <w:rFonts w:ascii="Palatino Linotype" w:hAnsi="Palatino Linotype" w:cs="Times New Roman"/>
          <w:sz w:val="22"/>
          <w:szCs w:val="22"/>
        </w:rPr>
        <w:t xml:space="preserve">A number of surveys are regularly conducted at the site, four of which are included in our analysis.  As part of the ForestGEO network, the plot undergoes a comprehensive woody plant inventory every five years, according to the protocol outlined in Condit (1998).  </w:t>
      </w:r>
      <w:r w:rsidR="00B45C81">
        <w:rPr>
          <w:rFonts w:ascii="Palatino Linotype" w:hAnsi="Palatino Linotype" w:cs="Times New Roman"/>
          <w:sz w:val="22"/>
          <w:szCs w:val="22"/>
        </w:rPr>
        <w:t>This inventory, hereby referred to as the census, includes all stems greater than 1 centimeter in diameter at 1.3 meters in height (referred to as diameter at breast height or dbh).  The census records information regarding the dbh, species, status and location of each stem</w:t>
      </w:r>
      <w:r w:rsidR="00600351">
        <w:rPr>
          <w:rFonts w:ascii="Palatino Linotype" w:hAnsi="Palatino Linotype" w:cs="Times New Roman"/>
          <w:sz w:val="22"/>
          <w:szCs w:val="22"/>
        </w:rPr>
        <w:t xml:space="preserve"> included</w:t>
      </w:r>
      <w:r w:rsidR="009B28BF">
        <w:rPr>
          <w:rFonts w:ascii="Palatino Linotype" w:hAnsi="Palatino Linotype" w:cs="Times New Roman"/>
          <w:sz w:val="22"/>
          <w:szCs w:val="22"/>
        </w:rPr>
        <w:t xml:space="preserve"> </w:t>
      </w:r>
      <w:r w:rsidR="00B45C81">
        <w:rPr>
          <w:rFonts w:ascii="Palatino Linotype" w:hAnsi="Palatino Linotype" w:cs="Times New Roman"/>
          <w:sz w:val="22"/>
          <w:szCs w:val="22"/>
        </w:rPr>
        <w:t>in the survey.  Each plant is assigned an identifying number for sequential data collection in subsequent censuses and outfitted with a metal tag in the field. For multi-stemmed individuals, each additional stem that surpasses the 1 cm dbh threshold receives a stem number and associated tag.  The location of each individual within its</w:t>
      </w:r>
      <w:r w:rsidR="00346E7B">
        <w:rPr>
          <w:rFonts w:ascii="Palatino Linotype" w:hAnsi="Palatino Linotype" w:cs="Times New Roman"/>
          <w:sz w:val="22"/>
          <w:szCs w:val="22"/>
        </w:rPr>
        <w:t xml:space="preserve"> respective</w:t>
      </w:r>
      <w:r w:rsidR="00B45C81">
        <w:rPr>
          <w:rFonts w:ascii="Palatino Linotype" w:hAnsi="Palatino Linotype" w:cs="Times New Roman"/>
          <w:sz w:val="22"/>
          <w:szCs w:val="22"/>
        </w:rPr>
        <w:t xml:space="preserve"> </w:t>
      </w:r>
      <w:r w:rsidR="00D80258">
        <w:rPr>
          <w:rFonts w:ascii="Palatino Linotype" w:hAnsi="Palatino Linotype" w:cs="Times New Roman"/>
          <w:sz w:val="22"/>
          <w:szCs w:val="22"/>
        </w:rPr>
        <w:t xml:space="preserve">20 x </w:t>
      </w:r>
      <w:proofErr w:type="gramStart"/>
      <w:r w:rsidR="00D80258">
        <w:rPr>
          <w:rFonts w:ascii="Palatino Linotype" w:hAnsi="Palatino Linotype" w:cs="Times New Roman"/>
          <w:sz w:val="22"/>
          <w:szCs w:val="22"/>
        </w:rPr>
        <w:t>20 meter</w:t>
      </w:r>
      <w:proofErr w:type="gramEnd"/>
      <w:r w:rsidR="00D80258">
        <w:rPr>
          <w:rFonts w:ascii="Palatino Linotype" w:hAnsi="Palatino Linotype" w:cs="Times New Roman"/>
          <w:sz w:val="22"/>
          <w:szCs w:val="22"/>
        </w:rPr>
        <w:t xml:space="preserve"> </w:t>
      </w:r>
      <w:r w:rsidR="00B45C81">
        <w:rPr>
          <w:rFonts w:ascii="Palatino Linotype" w:hAnsi="Palatino Linotype" w:cs="Times New Roman"/>
          <w:sz w:val="22"/>
          <w:szCs w:val="22"/>
        </w:rPr>
        <w:t xml:space="preserve">quadrat is recorded on a map of the plot on </w:t>
      </w:r>
      <w:r w:rsidR="00FD2D86">
        <w:rPr>
          <w:rFonts w:ascii="Palatino Linotype" w:hAnsi="Palatino Linotype" w:cs="Times New Roman"/>
          <w:sz w:val="22"/>
          <w:szCs w:val="22"/>
        </w:rPr>
        <w:t>ArcGIS FieldMaps</w:t>
      </w:r>
      <w:r w:rsidR="00D80258">
        <w:rPr>
          <w:rFonts w:ascii="Palatino Linotype" w:hAnsi="Palatino Linotype" w:cs="Times New Roman"/>
          <w:sz w:val="22"/>
          <w:szCs w:val="22"/>
        </w:rPr>
        <w:t>.</w:t>
      </w:r>
      <w:r w:rsidR="00611F16">
        <w:rPr>
          <w:rFonts w:ascii="Palatino Linotype" w:hAnsi="Palatino Linotype" w:cs="Times New Roman"/>
          <w:sz w:val="22"/>
          <w:szCs w:val="22"/>
        </w:rPr>
        <w:t xml:space="preserve">  </w:t>
      </w:r>
      <w:r w:rsidR="00611F16" w:rsidRPr="00611F16">
        <w:rPr>
          <w:rFonts w:ascii="Palatino Linotype" w:hAnsi="Palatino Linotype" w:cs="Times New Roman"/>
          <w:sz w:val="22"/>
          <w:szCs w:val="22"/>
        </w:rPr>
        <w:t>Established in 2008, there have been 4 censuses at the site, comprising 20 years of detailed forest dynamics data.</w:t>
      </w:r>
    </w:p>
    <w:p w14:paraId="4BAAE59F" w14:textId="77777777" w:rsidR="00B45C81" w:rsidRDefault="00B45C81">
      <w:pPr>
        <w:rPr>
          <w:rFonts w:ascii="Palatino Linotype" w:hAnsi="Palatino Linotype" w:cs="Times New Roman"/>
          <w:sz w:val="22"/>
          <w:szCs w:val="22"/>
        </w:rPr>
      </w:pPr>
    </w:p>
    <w:p w14:paraId="64BE3BD4" w14:textId="79B187B0" w:rsidR="00B45C81" w:rsidRDefault="00B45C81">
      <w:pPr>
        <w:rPr>
          <w:rFonts w:ascii="Palatino Linotype" w:hAnsi="Palatino Linotype" w:cs="Times New Roman"/>
          <w:sz w:val="22"/>
          <w:szCs w:val="22"/>
        </w:rPr>
      </w:pPr>
      <w:r>
        <w:rPr>
          <w:rFonts w:ascii="Palatino Linotype" w:hAnsi="Palatino Linotype" w:cs="Times New Roman"/>
          <w:sz w:val="22"/>
          <w:szCs w:val="22"/>
        </w:rPr>
        <w:t>*Is dbh considered common knowledge? Does it need to be defined?*</w:t>
      </w:r>
    </w:p>
    <w:p w14:paraId="2EA4C3FA" w14:textId="77777777" w:rsidR="00B45C81" w:rsidRDefault="00B45C81">
      <w:pPr>
        <w:rPr>
          <w:rFonts w:ascii="Palatino Linotype" w:hAnsi="Palatino Linotype" w:cs="Times New Roman"/>
          <w:sz w:val="22"/>
          <w:szCs w:val="22"/>
        </w:rPr>
      </w:pPr>
    </w:p>
    <w:p w14:paraId="59E4BA49" w14:textId="710A2E72" w:rsidR="00B45C81" w:rsidRDefault="00B45C81">
      <w:pPr>
        <w:rPr>
          <w:rFonts w:ascii="Palatino Linotype" w:hAnsi="Palatino Linotype" w:cs="Times New Roman"/>
          <w:sz w:val="22"/>
          <w:szCs w:val="22"/>
        </w:rPr>
      </w:pPr>
      <w:r>
        <w:rPr>
          <w:rFonts w:ascii="Palatino Linotype" w:hAnsi="Palatino Linotype" w:cs="Times New Roman"/>
          <w:sz w:val="22"/>
          <w:szCs w:val="22"/>
        </w:rPr>
        <w:t>*Check with Luca to use consistent terminology here and in the analysis portion of the methods for ID tag, stem tag, etc.*</w:t>
      </w:r>
    </w:p>
    <w:p w14:paraId="47E685BD" w14:textId="7E8E221C" w:rsidR="008E3FDD" w:rsidRPr="008E3FDD" w:rsidRDefault="008E3FDD" w:rsidP="008E3FDD">
      <w:pPr>
        <w:rPr>
          <w:rFonts w:ascii="Palatino Linotype" w:hAnsi="Palatino Linotype" w:cs="Times New Roman"/>
          <w:sz w:val="22"/>
          <w:szCs w:val="22"/>
        </w:rPr>
      </w:pPr>
    </w:p>
    <w:p w14:paraId="3299F90C" w14:textId="77777777" w:rsidR="00B45C81" w:rsidRDefault="00B45C81">
      <w:pPr>
        <w:rPr>
          <w:rFonts w:ascii="Palatino Linotype" w:hAnsi="Palatino Linotype" w:cs="Times New Roman"/>
          <w:sz w:val="22"/>
          <w:szCs w:val="22"/>
        </w:rPr>
      </w:pPr>
    </w:p>
    <w:p w14:paraId="76461758" w14:textId="77777777" w:rsidR="00B45C81" w:rsidRDefault="00B45C81" w:rsidP="00B45C81">
      <w:pPr>
        <w:rPr>
          <w:rFonts w:ascii="Palatino Linotype" w:hAnsi="Palatino Linotype" w:cs="Times New Roman"/>
          <w:sz w:val="22"/>
          <w:szCs w:val="22"/>
        </w:rPr>
      </w:pPr>
    </w:p>
    <w:p w14:paraId="17981853" w14:textId="77777777" w:rsidR="00B45C81" w:rsidRDefault="00B45C81" w:rsidP="00B45C81">
      <w:pPr>
        <w:rPr>
          <w:rFonts w:ascii="Palatino Linotype" w:hAnsi="Palatino Linotype" w:cs="Times New Roman"/>
          <w:sz w:val="22"/>
          <w:szCs w:val="22"/>
        </w:rPr>
      </w:pPr>
    </w:p>
    <w:p w14:paraId="4AA09938" w14:textId="4459CF98" w:rsidR="0057746A" w:rsidRDefault="00B45C81" w:rsidP="0057746A">
      <w:pPr>
        <w:rPr>
          <w:rFonts w:ascii="Palatino Linotype" w:hAnsi="Palatino Linotype" w:cs="Times New Roman"/>
          <w:sz w:val="22"/>
          <w:szCs w:val="22"/>
        </w:rPr>
      </w:pPr>
      <w:r>
        <w:rPr>
          <w:rFonts w:ascii="Palatino Linotype" w:hAnsi="Palatino Linotype" w:cs="Times New Roman"/>
          <w:sz w:val="22"/>
          <w:szCs w:val="22"/>
        </w:rPr>
        <w:t xml:space="preserve">A number of surveys are regularly conducted at the site, four of which are included in our analysis.  As part of the ForestGEO network, the plot undergoes a comprehensive woody plant inventory every five years, according to the protocol outlined in Condit (1998).  </w:t>
      </w:r>
      <w:r w:rsidR="007C53EF">
        <w:rPr>
          <w:rFonts w:ascii="Palatino Linotype" w:hAnsi="Palatino Linotype" w:cs="Times New Roman"/>
          <w:sz w:val="22"/>
          <w:szCs w:val="22"/>
        </w:rPr>
        <w:t>This census, which includes all stems greater than or equivalent to 1 centimeters in diameter at 1.3 meters, records information regarding the status, species</w:t>
      </w:r>
      <w:r w:rsidR="00D80258">
        <w:rPr>
          <w:rFonts w:ascii="Palatino Linotype" w:hAnsi="Palatino Linotype" w:cs="Times New Roman"/>
          <w:sz w:val="22"/>
          <w:szCs w:val="22"/>
        </w:rPr>
        <w:t>,</w:t>
      </w:r>
      <w:r w:rsidR="007C53EF">
        <w:rPr>
          <w:rFonts w:ascii="Palatino Linotype" w:hAnsi="Palatino Linotype" w:cs="Times New Roman"/>
          <w:sz w:val="22"/>
          <w:szCs w:val="22"/>
        </w:rPr>
        <w:t xml:space="preserve"> </w:t>
      </w:r>
      <w:r w:rsidR="00D80258">
        <w:rPr>
          <w:rFonts w:ascii="Palatino Linotype" w:hAnsi="Palatino Linotype" w:cs="Times New Roman"/>
          <w:sz w:val="22"/>
          <w:szCs w:val="22"/>
        </w:rPr>
        <w:t>diameter at breast height</w:t>
      </w:r>
      <w:r w:rsidR="007C53EF">
        <w:rPr>
          <w:rFonts w:ascii="Palatino Linotype" w:hAnsi="Palatino Linotype" w:cs="Times New Roman"/>
          <w:sz w:val="22"/>
          <w:szCs w:val="22"/>
        </w:rPr>
        <w:t xml:space="preserve"> and location of each stem.  Each plant is assigned an identifying number for sequential data collection in subsequent censuses and outfitted with a metal tag in the field. </w:t>
      </w:r>
      <w:r>
        <w:rPr>
          <w:rFonts w:ascii="Palatino Linotype" w:hAnsi="Palatino Linotype" w:cs="Times New Roman"/>
          <w:sz w:val="22"/>
          <w:szCs w:val="22"/>
        </w:rPr>
        <w:t xml:space="preserve">For multi-stemmed individuals, each additional stem that surpasses the 1 cm dbh threshold receives a stem number and associated tag. </w:t>
      </w:r>
      <w:r w:rsidR="0057746A">
        <w:rPr>
          <w:rFonts w:ascii="Palatino Linotype" w:hAnsi="Palatino Linotype" w:cs="Times New Roman"/>
          <w:sz w:val="22"/>
          <w:szCs w:val="22"/>
        </w:rPr>
        <w:t>The location of each individual within its respective 20 x 20-meter quadrat is recorded on a map of the plot on ArcGIS FieldMaps.</w:t>
      </w:r>
    </w:p>
    <w:p w14:paraId="00A04636" w14:textId="77777777" w:rsidR="005C5662" w:rsidRDefault="005C5662" w:rsidP="0057746A">
      <w:pPr>
        <w:rPr>
          <w:rFonts w:ascii="Palatino Linotype" w:hAnsi="Palatino Linotype" w:cs="Times New Roman"/>
          <w:sz w:val="22"/>
          <w:szCs w:val="22"/>
        </w:rPr>
      </w:pPr>
    </w:p>
    <w:p w14:paraId="1184B392" w14:textId="77777777" w:rsidR="005C5662" w:rsidRDefault="005C5662" w:rsidP="0057746A">
      <w:pPr>
        <w:rPr>
          <w:rFonts w:ascii="Palatino Linotype" w:hAnsi="Palatino Linotype" w:cs="Times New Roman"/>
          <w:sz w:val="22"/>
          <w:szCs w:val="22"/>
        </w:rPr>
      </w:pPr>
    </w:p>
    <w:p w14:paraId="02FB00E6" w14:textId="29989797" w:rsidR="007B3B13" w:rsidRDefault="007B3B13" w:rsidP="0057746A">
      <w:pPr>
        <w:rPr>
          <w:rFonts w:ascii="Palatino Linotype" w:hAnsi="Palatino Linotype" w:cs="Times New Roman"/>
        </w:rPr>
      </w:pPr>
      <w:r>
        <w:rPr>
          <w:rFonts w:ascii="Palatino Linotype" w:hAnsi="Palatino Linotype" w:cs="Times New Roman"/>
        </w:rPr>
        <w:t>Mortality Survey</w:t>
      </w:r>
      <w:r w:rsidR="008E3FDD">
        <w:rPr>
          <w:rFonts w:ascii="Palatino Linotype" w:hAnsi="Palatino Linotype" w:cs="Times New Roman"/>
        </w:rPr>
        <w:t xml:space="preserve"> and </w:t>
      </w:r>
      <w:r w:rsidR="00D80258">
        <w:rPr>
          <w:rFonts w:ascii="Palatino Linotype" w:hAnsi="Palatino Linotype" w:cs="Times New Roman"/>
        </w:rPr>
        <w:t>Invasive Species Survey</w:t>
      </w:r>
    </w:p>
    <w:p w14:paraId="666CBB51" w14:textId="66498E12" w:rsidR="00D80258" w:rsidRDefault="007B3B13">
      <w:pPr>
        <w:rPr>
          <w:rFonts w:ascii="Palatino Linotype" w:hAnsi="Palatino Linotype" w:cs="Times New Roman"/>
          <w:sz w:val="22"/>
          <w:szCs w:val="22"/>
        </w:rPr>
      </w:pPr>
      <w:r>
        <w:rPr>
          <w:rFonts w:ascii="Palatino Linotype" w:hAnsi="Palatino Linotype" w:cs="Times New Roman"/>
          <w:sz w:val="22"/>
          <w:szCs w:val="22"/>
        </w:rPr>
        <w:t xml:space="preserve">In addition to the ForestGEO census, an annual mortality survey is </w:t>
      </w:r>
      <w:r w:rsidR="00D80258">
        <w:rPr>
          <w:rFonts w:ascii="Palatino Linotype" w:hAnsi="Palatino Linotype" w:cs="Times New Roman"/>
          <w:sz w:val="22"/>
          <w:szCs w:val="22"/>
        </w:rPr>
        <w:t xml:space="preserve">conducted </w:t>
      </w:r>
      <w:r>
        <w:rPr>
          <w:rFonts w:ascii="Palatino Linotype" w:hAnsi="Palatino Linotype" w:cs="Times New Roman"/>
          <w:sz w:val="22"/>
          <w:szCs w:val="22"/>
        </w:rPr>
        <w:t>on the site.</w:t>
      </w:r>
      <w:r w:rsidR="00403ED3">
        <w:rPr>
          <w:rFonts w:ascii="Palatino Linotype" w:hAnsi="Palatino Linotype" w:cs="Times New Roman"/>
          <w:sz w:val="22"/>
          <w:szCs w:val="22"/>
        </w:rPr>
        <w:t xml:space="preserve">  </w:t>
      </w:r>
      <w:r>
        <w:rPr>
          <w:rFonts w:ascii="Palatino Linotype" w:hAnsi="Palatino Linotype" w:cs="Times New Roman"/>
          <w:sz w:val="22"/>
          <w:szCs w:val="22"/>
        </w:rPr>
        <w:t xml:space="preserve"> </w:t>
      </w:r>
      <w:r w:rsidR="00403ED3">
        <w:rPr>
          <w:rFonts w:ascii="Palatino Linotype" w:hAnsi="Palatino Linotype" w:cs="Times New Roman"/>
          <w:sz w:val="22"/>
          <w:szCs w:val="22"/>
        </w:rPr>
        <w:t xml:space="preserve">Through assessing individual tree health, this study illustrates trends in </w:t>
      </w:r>
      <w:r w:rsidR="00D80258">
        <w:rPr>
          <w:rFonts w:ascii="Palatino Linotype" w:hAnsi="Palatino Linotype" w:cs="Times New Roman"/>
          <w:sz w:val="22"/>
          <w:szCs w:val="22"/>
        </w:rPr>
        <w:t xml:space="preserve">forest </w:t>
      </w:r>
      <w:r w:rsidR="00403ED3">
        <w:rPr>
          <w:rFonts w:ascii="Palatino Linotype" w:hAnsi="Palatino Linotype" w:cs="Times New Roman"/>
          <w:sz w:val="22"/>
          <w:szCs w:val="22"/>
        </w:rPr>
        <w:t xml:space="preserve">mortality and identifies factors </w:t>
      </w:r>
      <w:r w:rsidR="008E3FDD">
        <w:rPr>
          <w:rFonts w:ascii="Palatino Linotype" w:hAnsi="Palatino Linotype" w:cs="Times New Roman"/>
          <w:sz w:val="22"/>
          <w:szCs w:val="22"/>
        </w:rPr>
        <w:t>that are associated with death</w:t>
      </w:r>
      <w:r w:rsidR="00403ED3">
        <w:rPr>
          <w:rFonts w:ascii="Palatino Linotype" w:hAnsi="Palatino Linotype" w:cs="Times New Roman"/>
          <w:sz w:val="22"/>
          <w:szCs w:val="22"/>
        </w:rPr>
        <w:t xml:space="preserve">.  </w:t>
      </w:r>
      <w:r w:rsidR="008E3FDD">
        <w:rPr>
          <w:rFonts w:ascii="Palatino Linotype" w:hAnsi="Palatino Linotype" w:cs="Times New Roman"/>
          <w:sz w:val="22"/>
          <w:szCs w:val="22"/>
        </w:rPr>
        <w:t>Data is collected</w:t>
      </w:r>
      <w:r w:rsidR="00403ED3">
        <w:rPr>
          <w:rFonts w:ascii="Palatino Linotype" w:hAnsi="Palatino Linotype" w:cs="Times New Roman"/>
          <w:sz w:val="22"/>
          <w:szCs w:val="22"/>
        </w:rPr>
        <w:t xml:space="preserve"> on </w:t>
      </w:r>
      <w:r w:rsidR="008E3FDD">
        <w:rPr>
          <w:rFonts w:ascii="Palatino Linotype" w:hAnsi="Palatino Linotype" w:cs="Times New Roman"/>
          <w:sz w:val="22"/>
          <w:szCs w:val="22"/>
        </w:rPr>
        <w:t xml:space="preserve">the current status, canopy position, percentage of crown living and intact, and visible indicators of poor tree health, such as physical damage, potential pathogens and insect infestation.  Furthermore, an invasive plant survey is conducted in conjunction with [the mortality survey or the census].  This study </w:t>
      </w:r>
      <w:r w:rsidR="00D80258">
        <w:rPr>
          <w:rFonts w:ascii="Palatino Linotype" w:hAnsi="Palatino Linotype" w:cs="Times New Roman"/>
          <w:sz w:val="22"/>
          <w:szCs w:val="22"/>
        </w:rPr>
        <w:t xml:space="preserve">evaluates the establishment of non-endemic plant species and patterns of spatial distribution. Quadrats are visually examined for non-endemic plant species, with an estimation of the area covered by each species represented on a 1-5 numeric scale. </w:t>
      </w:r>
    </w:p>
    <w:p w14:paraId="2A8FB892" w14:textId="77777777" w:rsidR="008E3FDD" w:rsidRDefault="008E3FDD">
      <w:pPr>
        <w:rPr>
          <w:rFonts w:ascii="Palatino Linotype" w:hAnsi="Palatino Linotype" w:cs="Times New Roman"/>
          <w:sz w:val="22"/>
          <w:szCs w:val="22"/>
        </w:rPr>
      </w:pPr>
    </w:p>
    <w:p w14:paraId="676EA914" w14:textId="79474AD3" w:rsidR="008E3FDD" w:rsidRDefault="008E3FDD">
      <w:pPr>
        <w:rPr>
          <w:rFonts w:ascii="Palatino Linotype" w:hAnsi="Palatino Linotype" w:cs="Times New Roman"/>
        </w:rPr>
      </w:pPr>
      <w:r>
        <w:rPr>
          <w:rFonts w:ascii="Palatino Linotype" w:hAnsi="Palatino Linotype" w:cs="Times New Roman"/>
          <w:sz w:val="22"/>
          <w:szCs w:val="22"/>
        </w:rPr>
        <w:t xml:space="preserve">*Is the invasive plant survey conducted every year or every five </w:t>
      </w:r>
      <w:proofErr w:type="gramStart"/>
      <w:r>
        <w:rPr>
          <w:rFonts w:ascii="Palatino Linotype" w:hAnsi="Palatino Linotype" w:cs="Times New Roman"/>
          <w:sz w:val="22"/>
          <w:szCs w:val="22"/>
        </w:rPr>
        <w:t>years?*</w:t>
      </w:r>
      <w:proofErr w:type="gramEnd"/>
    </w:p>
    <w:p w14:paraId="2602EC64" w14:textId="77777777" w:rsidR="00FD2D86" w:rsidRDefault="00FD2D86">
      <w:pPr>
        <w:rPr>
          <w:rFonts w:ascii="Palatino Linotype" w:hAnsi="Palatino Linotype" w:cs="Times New Roman"/>
          <w:sz w:val="22"/>
          <w:szCs w:val="22"/>
        </w:rPr>
      </w:pPr>
    </w:p>
    <w:p w14:paraId="1463FFD9" w14:textId="0DF119F9" w:rsidR="00346E7B" w:rsidRDefault="00346E7B">
      <w:pPr>
        <w:rPr>
          <w:rFonts w:ascii="Palatino Linotype" w:hAnsi="Palatino Linotype" w:cs="Times New Roman"/>
        </w:rPr>
      </w:pPr>
      <w:r>
        <w:rPr>
          <w:rFonts w:ascii="Palatino Linotype" w:hAnsi="Palatino Linotype" w:cs="Times New Roman"/>
        </w:rPr>
        <w:t>Notes</w:t>
      </w:r>
    </w:p>
    <w:p w14:paraId="01DCF702" w14:textId="32EBB3B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in the Oak Chestnut forest region</w:t>
      </w:r>
      <w:r w:rsidR="00EC4B0D">
        <w:rPr>
          <w:rFonts w:ascii="Palatino Linotype" w:hAnsi="Palatino Linotype" w:cs="Times New Roman"/>
          <w:sz w:val="22"/>
          <w:szCs w:val="22"/>
        </w:rPr>
        <w:t xml:space="preserve"> (SCBI Github)</w:t>
      </w:r>
    </w:p>
    <w:p w14:paraId="552FD612" w14:textId="256AFE9D"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at the intersection of the Blue Ridge, Valley and Ridge and Piedmont physiographic provinces</w:t>
      </w:r>
      <w:r w:rsidR="00EC4B0D">
        <w:rPr>
          <w:rFonts w:ascii="Palatino Linotype" w:hAnsi="Palatino Linotype" w:cs="Times New Roman"/>
          <w:sz w:val="22"/>
          <w:szCs w:val="22"/>
        </w:rPr>
        <w:t xml:space="preserve"> (SCBI Github)</w:t>
      </w:r>
    </w:p>
    <w:p w14:paraId="703559D3" w14:textId="44D1B2DF"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Annual mean temp of 12 C</w:t>
      </w:r>
      <w:r w:rsidRPr="00CF1737">
        <w:rPr>
          <w:rFonts w:ascii="Palatino Linotype" w:hAnsi="Palatino Linotype" w:cs="Times New Roman"/>
          <w:sz w:val="22"/>
          <w:szCs w:val="22"/>
        </w:rPr>
        <w:sym w:font="Symbol" w:char="F0B0"/>
      </w:r>
      <w:r w:rsidR="00EC4B0D">
        <w:rPr>
          <w:rFonts w:ascii="Palatino Linotype" w:hAnsi="Palatino Linotype" w:cs="Times New Roman"/>
          <w:sz w:val="22"/>
          <w:szCs w:val="22"/>
        </w:rPr>
        <w:t xml:space="preserve"> (SCBI Github)</w:t>
      </w:r>
    </w:p>
    <w:p w14:paraId="26E1A0DF" w14:textId="4A79F40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Annual precipitation of </w:t>
      </w:r>
      <w:r w:rsidR="00EC4B0D">
        <w:rPr>
          <w:rFonts w:ascii="Palatino Linotype" w:hAnsi="Palatino Linotype" w:cs="Times New Roman"/>
          <w:sz w:val="22"/>
          <w:szCs w:val="22"/>
        </w:rPr>
        <w:t>1001 mm (SCBI Github)</w:t>
      </w:r>
    </w:p>
    <w:p w14:paraId="4406DB32" w14:textId="2FF1920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Elevation ranging from 273 to 338 meters, with a topographic relief of 65 meters (SCBI Github)</w:t>
      </w:r>
    </w:p>
    <w:p w14:paraId="1CB22D91" w14:textId="4C3EDBCF"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Composed of secondary eastern deciduous forest (SCBI Github)</w:t>
      </w:r>
    </w:p>
    <w:p w14:paraId="29C84D4D" w14:textId="43B9B18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Biome class of </w:t>
      </w:r>
      <w:proofErr w:type="spellStart"/>
      <w:r>
        <w:rPr>
          <w:rFonts w:ascii="Palatino Linotype" w:hAnsi="Palatino Linotype" w:cs="Times New Roman"/>
          <w:sz w:val="22"/>
          <w:szCs w:val="22"/>
        </w:rPr>
        <w:t>Cfa</w:t>
      </w:r>
      <w:proofErr w:type="spellEnd"/>
      <w:r>
        <w:rPr>
          <w:rFonts w:ascii="Palatino Linotype" w:hAnsi="Palatino Linotype" w:cs="Times New Roman"/>
          <w:sz w:val="22"/>
          <w:szCs w:val="22"/>
        </w:rPr>
        <w:t xml:space="preserve"> (humid subtropical/mid-latitude with significant precipitation all year) (SCBI Github)</w:t>
      </w:r>
    </w:p>
    <w:p w14:paraId="7F353211" w14:textId="3AB1D482"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Natural disturbances consist of wind and ice storms (Anderson-Teixeira 2015)</w:t>
      </w:r>
    </w:p>
    <w:p w14:paraId="0D26512A" w14:textId="5332585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640 20 x </w:t>
      </w:r>
      <w:proofErr w:type="gramStart"/>
      <w:r>
        <w:rPr>
          <w:rFonts w:ascii="Palatino Linotype" w:hAnsi="Palatino Linotype" w:cs="Times New Roman"/>
          <w:sz w:val="22"/>
          <w:szCs w:val="22"/>
        </w:rPr>
        <w:t>20 meter</w:t>
      </w:r>
      <w:proofErr w:type="gramEnd"/>
      <w:r>
        <w:rPr>
          <w:rFonts w:ascii="Palatino Linotype" w:hAnsi="Palatino Linotype" w:cs="Times New Roman"/>
          <w:sz w:val="22"/>
          <w:szCs w:val="22"/>
        </w:rPr>
        <w:t xml:space="preserve"> plots </w:t>
      </w:r>
    </w:p>
    <w:p w14:paraId="4E0CE550" w14:textId="435108C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Land use includes agriculture and logging (SI Archives)</w:t>
      </w:r>
    </w:p>
    <w:p w14:paraId="1C27E6CD" w14:textId="02012A3A" w:rsidR="00EC4B0D" w:rsidRPr="00346E7B"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lastRenderedPageBreak/>
        <w:t>Most canopy trees were established circa 1900 (Bourg et al. 2013)</w:t>
      </w:r>
    </w:p>
    <w:p w14:paraId="6A058A90" w14:textId="77777777" w:rsidR="00346E7B" w:rsidRDefault="00346E7B">
      <w:pPr>
        <w:rPr>
          <w:rFonts w:ascii="Palatino Linotype" w:hAnsi="Palatino Linotype" w:cs="Times New Roman"/>
          <w:sz w:val="22"/>
          <w:szCs w:val="22"/>
        </w:rPr>
      </w:pPr>
    </w:p>
    <w:p w14:paraId="340A79AA" w14:textId="77777777" w:rsidR="00B45C81" w:rsidRDefault="00B45C81">
      <w:pPr>
        <w:rPr>
          <w:rFonts w:ascii="Palatino Linotype" w:hAnsi="Palatino Linotype" w:cs="Times New Roman"/>
          <w:sz w:val="22"/>
          <w:szCs w:val="22"/>
        </w:rPr>
      </w:pPr>
    </w:p>
    <w:p w14:paraId="0DC3309A" w14:textId="41F37634" w:rsidR="006D2CC9" w:rsidRDefault="006D2CC9">
      <w:pPr>
        <w:rPr>
          <w:rFonts w:ascii="Palatino Linotype" w:hAnsi="Palatino Linotype" w:cs="Times New Roman"/>
          <w:sz w:val="22"/>
          <w:szCs w:val="22"/>
        </w:rPr>
      </w:pPr>
      <w:r>
        <w:rPr>
          <w:rFonts w:ascii="Palatino Linotype" w:hAnsi="Palatino Linotype" w:cs="Times New Roman"/>
          <w:sz w:val="22"/>
          <w:szCs w:val="22"/>
        </w:rPr>
        <w:t>References</w:t>
      </w:r>
    </w:p>
    <w:p w14:paraId="14F28245" w14:textId="77777777" w:rsidR="006D2CC9" w:rsidRDefault="006D2CC9">
      <w:pPr>
        <w:rPr>
          <w:rFonts w:ascii="Palatino Linotype" w:hAnsi="Palatino Linotype" w:cs="Times New Roman"/>
          <w:sz w:val="22"/>
          <w:szCs w:val="22"/>
        </w:rPr>
      </w:pPr>
    </w:p>
    <w:p w14:paraId="076B5A05" w14:textId="2D838A4F"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t>SCBI site description (Github)</w:t>
      </w:r>
    </w:p>
    <w:p w14:paraId="59ABCB2A" w14:textId="5DDF2AE7" w:rsidR="006D2CC9" w:rsidRPr="007B3B13" w:rsidRDefault="00000000">
      <w:pPr>
        <w:rPr>
          <w:rFonts w:ascii="Palatino Linotype" w:hAnsi="Palatino Linotype" w:cs="Times New Roman"/>
          <w:color w:val="0070C0"/>
          <w:sz w:val="20"/>
          <w:szCs w:val="20"/>
        </w:rPr>
      </w:pPr>
      <w:hyperlink r:id="rId5" w:history="1">
        <w:r w:rsidR="006D2CC9" w:rsidRPr="007B3B13">
          <w:rPr>
            <w:rStyle w:val="Hyperlink"/>
            <w:rFonts w:ascii="Palatino Linotype" w:hAnsi="Palatino Linotype" w:cs="Times New Roman"/>
            <w:color w:val="0070C0"/>
            <w:sz w:val="20"/>
            <w:szCs w:val="20"/>
          </w:rPr>
          <w:t>https://scbi-forestgeo.github.io/SCBI-Plot-Book/physical-environment.html</w:t>
        </w:r>
      </w:hyperlink>
    </w:p>
    <w:p w14:paraId="5678AD6B" w14:textId="77777777" w:rsidR="006D2CC9" w:rsidRPr="008B6B03" w:rsidRDefault="006D2CC9">
      <w:pPr>
        <w:rPr>
          <w:rFonts w:ascii="Palatino Linotype" w:hAnsi="Palatino Linotype" w:cs="Times New Roman"/>
          <w:sz w:val="20"/>
          <w:szCs w:val="20"/>
        </w:rPr>
      </w:pPr>
    </w:p>
    <w:p w14:paraId="27FFF098" w14:textId="49609BCD"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t>Bourg et al. 2013</w:t>
      </w:r>
    </w:p>
    <w:p w14:paraId="4CD6505C" w14:textId="3A10B56B" w:rsidR="006D2CC9" w:rsidRPr="007B3B13" w:rsidRDefault="00000000">
      <w:pPr>
        <w:rPr>
          <w:rFonts w:ascii="Palatino Linotype" w:hAnsi="Palatino Linotype" w:cs="Times New Roman"/>
          <w:color w:val="0070C0"/>
          <w:sz w:val="20"/>
          <w:szCs w:val="20"/>
        </w:rPr>
      </w:pPr>
      <w:hyperlink r:id="rId6" w:history="1">
        <w:r w:rsidR="000D6059" w:rsidRPr="007B3B13">
          <w:rPr>
            <w:rStyle w:val="Hyperlink"/>
            <w:rFonts w:ascii="Palatino Linotype" w:hAnsi="Palatino Linotype" w:cs="Times New Roman"/>
            <w:color w:val="0070C0"/>
            <w:sz w:val="20"/>
            <w:szCs w:val="20"/>
          </w:rPr>
          <w:t>https://www.researchgate.net/publication/257296875_Initial_census_woody_seedling_seed_rain_and_stand_structure_data_for_the_SCBI_SIGEO_Large_Forest_Dynamics_Plot</w:t>
        </w:r>
      </w:hyperlink>
    </w:p>
    <w:p w14:paraId="5BB0B196" w14:textId="77777777" w:rsidR="006D2CC9" w:rsidRPr="008B6B03" w:rsidRDefault="006D2CC9">
      <w:pPr>
        <w:rPr>
          <w:rFonts w:ascii="Palatino Linotype" w:hAnsi="Palatino Linotype" w:cs="Times New Roman"/>
          <w:sz w:val="20"/>
          <w:szCs w:val="20"/>
        </w:rPr>
      </w:pPr>
    </w:p>
    <w:p w14:paraId="3BCDE5FB" w14:textId="1E6EC1A6" w:rsidR="008B6B03" w:rsidRPr="008B6B03" w:rsidRDefault="008B6B03">
      <w:pPr>
        <w:rPr>
          <w:rFonts w:ascii="Palatino Linotype" w:hAnsi="Palatino Linotype" w:cs="Times New Roman"/>
          <w:sz w:val="20"/>
          <w:szCs w:val="20"/>
        </w:rPr>
      </w:pPr>
      <w:r w:rsidRPr="008B6B03">
        <w:rPr>
          <w:rFonts w:ascii="Palatino Linotype" w:hAnsi="Palatino Linotype" w:cs="Times New Roman"/>
          <w:sz w:val="20"/>
          <w:szCs w:val="20"/>
        </w:rPr>
        <w:t>SI Archives</w:t>
      </w:r>
    </w:p>
    <w:p w14:paraId="4BCC7F98" w14:textId="291AED8D" w:rsidR="008B6B03" w:rsidRDefault="00000000">
      <w:pPr>
        <w:rPr>
          <w:rFonts w:ascii="Palatino Linotype" w:hAnsi="Palatino Linotype" w:cs="Times New Roman"/>
          <w:sz w:val="20"/>
          <w:szCs w:val="20"/>
        </w:rPr>
      </w:pPr>
      <w:hyperlink r:id="rId7" w:history="1">
        <w:r w:rsidR="008B6B03" w:rsidRPr="007B3B13">
          <w:rPr>
            <w:rStyle w:val="Hyperlink"/>
            <w:rFonts w:ascii="Palatino Linotype" w:hAnsi="Palatino Linotype" w:cs="Times New Roman"/>
            <w:color w:val="0070C0"/>
            <w:sz w:val="20"/>
            <w:szCs w:val="20"/>
          </w:rPr>
          <w:t>https://siarchives.si.edu/history/smithsonian-conservation-biology-institute-scbi</w:t>
        </w:r>
      </w:hyperlink>
    </w:p>
    <w:p w14:paraId="4FC5BF10" w14:textId="77777777" w:rsidR="000D6059" w:rsidRDefault="000D6059">
      <w:pPr>
        <w:rPr>
          <w:rFonts w:ascii="Palatino Linotype" w:hAnsi="Palatino Linotype" w:cs="Times New Roman"/>
          <w:sz w:val="20"/>
          <w:szCs w:val="20"/>
        </w:rPr>
      </w:pPr>
    </w:p>
    <w:p w14:paraId="52F1021E" w14:textId="5E30F81B" w:rsidR="000D6059" w:rsidRDefault="000D6059">
      <w:pPr>
        <w:rPr>
          <w:rFonts w:ascii="Palatino Linotype" w:hAnsi="Palatino Linotype" w:cs="Times New Roman"/>
          <w:sz w:val="20"/>
          <w:szCs w:val="20"/>
        </w:rPr>
      </w:pPr>
      <w:r>
        <w:rPr>
          <w:rFonts w:ascii="Palatino Linotype" w:hAnsi="Palatino Linotype" w:cs="Times New Roman"/>
          <w:sz w:val="20"/>
          <w:szCs w:val="20"/>
        </w:rPr>
        <w:t>Anderson-Teixeira 2015</w:t>
      </w:r>
    </w:p>
    <w:p w14:paraId="16FC8D88" w14:textId="450BB4CC" w:rsidR="000D6059" w:rsidRPr="000D6059" w:rsidRDefault="000D6059">
      <w:pPr>
        <w:rPr>
          <w:rFonts w:ascii="Palatino Linotype" w:hAnsi="Palatino Linotype" w:cs="Times New Roman"/>
          <w:sz w:val="20"/>
          <w:szCs w:val="20"/>
        </w:rPr>
      </w:pPr>
      <w:r w:rsidRPr="000D6059">
        <w:rPr>
          <w:rFonts w:ascii="Palatino Linotype" w:hAnsi="Palatino Linotype"/>
          <w:color w:val="333333"/>
          <w:spacing w:val="3"/>
          <w:sz w:val="20"/>
          <w:szCs w:val="20"/>
          <w:shd w:val="clear" w:color="auto" w:fill="FFFFFF"/>
        </w:rPr>
        <w:t>Anderson‐Teixeira, Kristina J., Stuart J. Davies, Amy C. Bennett, Erika B. Gonzalez‐</w:t>
      </w:r>
      <w:proofErr w:type="spellStart"/>
      <w:r w:rsidRPr="000D6059">
        <w:rPr>
          <w:rFonts w:ascii="Palatino Linotype" w:hAnsi="Palatino Linotype"/>
          <w:color w:val="333333"/>
          <w:spacing w:val="3"/>
          <w:sz w:val="20"/>
          <w:szCs w:val="20"/>
          <w:shd w:val="clear" w:color="auto" w:fill="FFFFFF"/>
        </w:rPr>
        <w:t>Akre</w:t>
      </w:r>
      <w:proofErr w:type="spellEnd"/>
      <w:r w:rsidRPr="000D6059">
        <w:rPr>
          <w:rFonts w:ascii="Palatino Linotype" w:hAnsi="Palatino Linotype"/>
          <w:color w:val="333333"/>
          <w:spacing w:val="3"/>
          <w:sz w:val="20"/>
          <w:szCs w:val="20"/>
          <w:shd w:val="clear" w:color="auto" w:fill="FFFFFF"/>
        </w:rPr>
        <w:t xml:space="preserve">, Helene C. Muller‐Landau, S. Joseph Wright, </w:t>
      </w:r>
      <w:proofErr w:type="spellStart"/>
      <w:r w:rsidRPr="000D6059">
        <w:rPr>
          <w:rFonts w:ascii="Palatino Linotype" w:hAnsi="Palatino Linotype"/>
          <w:color w:val="333333"/>
          <w:spacing w:val="3"/>
          <w:sz w:val="20"/>
          <w:szCs w:val="20"/>
          <w:shd w:val="clear" w:color="auto" w:fill="FFFFFF"/>
        </w:rPr>
        <w:t>Kamariah</w:t>
      </w:r>
      <w:proofErr w:type="spellEnd"/>
      <w:r w:rsidRPr="000D6059">
        <w:rPr>
          <w:rFonts w:ascii="Palatino Linotype" w:hAnsi="Palatino Linotype"/>
          <w:color w:val="333333"/>
          <w:spacing w:val="3"/>
          <w:sz w:val="20"/>
          <w:szCs w:val="20"/>
          <w:shd w:val="clear" w:color="auto" w:fill="FFFFFF"/>
        </w:rPr>
        <w:t xml:space="preserve"> Abu Salim, et al. 2015. “CTFS-ForestGEO: A Worldwide Network Monitoring Forests in an Era of Global Change.” </w:t>
      </w:r>
      <w:r w:rsidRPr="000D6059">
        <w:rPr>
          <w:rStyle w:val="Emphasis"/>
          <w:rFonts w:ascii="Palatino Linotype" w:hAnsi="Palatino Linotype"/>
          <w:color w:val="333333"/>
          <w:spacing w:val="3"/>
          <w:sz w:val="20"/>
          <w:szCs w:val="20"/>
          <w:shd w:val="clear" w:color="auto" w:fill="FFFFFF"/>
        </w:rPr>
        <w:t>Global Change Biology</w:t>
      </w:r>
      <w:r w:rsidRPr="000D6059">
        <w:rPr>
          <w:rFonts w:ascii="Palatino Linotype" w:hAnsi="Palatino Linotype"/>
          <w:color w:val="333333"/>
          <w:spacing w:val="3"/>
          <w:sz w:val="20"/>
          <w:szCs w:val="20"/>
          <w:shd w:val="clear" w:color="auto" w:fill="FFFFFF"/>
        </w:rPr>
        <w:t> 21 (2): 528–49. </w:t>
      </w:r>
      <w:hyperlink r:id="rId8" w:history="1">
        <w:r w:rsidRPr="000D6059">
          <w:rPr>
            <w:rStyle w:val="Hyperlink"/>
            <w:rFonts w:ascii="Palatino Linotype" w:hAnsi="Palatino Linotype"/>
            <w:color w:val="4183C4"/>
            <w:spacing w:val="3"/>
            <w:sz w:val="20"/>
            <w:szCs w:val="20"/>
            <w:shd w:val="clear" w:color="auto" w:fill="FFFFFF"/>
          </w:rPr>
          <w:t>https://doi.org/10.1111/gcb.12712</w:t>
        </w:r>
      </w:hyperlink>
      <w:r w:rsidRPr="000D6059">
        <w:rPr>
          <w:rFonts w:ascii="Palatino Linotype" w:hAnsi="Palatino Linotype"/>
          <w:color w:val="333333"/>
          <w:spacing w:val="3"/>
          <w:sz w:val="20"/>
          <w:szCs w:val="20"/>
          <w:shd w:val="clear" w:color="auto" w:fill="FFFFFF"/>
        </w:rPr>
        <w:t>.</w:t>
      </w:r>
    </w:p>
    <w:p w14:paraId="36DB84CB" w14:textId="77777777" w:rsidR="008B6B03" w:rsidRPr="006D2CC9" w:rsidRDefault="008B6B03">
      <w:pPr>
        <w:rPr>
          <w:rFonts w:ascii="Palatino Linotype" w:hAnsi="Palatino Linotype" w:cs="Times New Roman"/>
          <w:sz w:val="22"/>
          <w:szCs w:val="22"/>
        </w:rPr>
      </w:pPr>
    </w:p>
    <w:p w14:paraId="56F43EFF" w14:textId="77777777" w:rsidR="006D2CC9" w:rsidRDefault="006D2CC9">
      <w:pPr>
        <w:rPr>
          <w:rFonts w:ascii="Palatino Linotype" w:hAnsi="Palatino Linotype" w:cs="Times New Roman"/>
        </w:rPr>
      </w:pPr>
    </w:p>
    <w:p w14:paraId="6EB58887" w14:textId="77777777" w:rsidR="006D2CC9" w:rsidRDefault="006D2CC9">
      <w:pPr>
        <w:rPr>
          <w:rFonts w:ascii="Palatino Linotype" w:hAnsi="Palatino Linotype" w:cs="Times New Roman"/>
        </w:rPr>
      </w:pPr>
    </w:p>
    <w:p w14:paraId="588D9319" w14:textId="77777777" w:rsidR="00784715" w:rsidRDefault="00784715">
      <w:pPr>
        <w:rPr>
          <w:rFonts w:ascii="Palatino Linotype" w:hAnsi="Palatino Linotype" w:cs="Times New Roman"/>
        </w:rPr>
      </w:pPr>
    </w:p>
    <w:p w14:paraId="2406C359" w14:textId="447F091E" w:rsidR="006D2CC9" w:rsidRDefault="006D2CC9">
      <w:pPr>
        <w:rPr>
          <w:rFonts w:ascii="Palatino Linotype" w:hAnsi="Palatino Linotype" w:cs="Times New Roman"/>
        </w:rPr>
      </w:pPr>
      <w:r>
        <w:rPr>
          <w:rFonts w:ascii="Palatino Linotype" w:hAnsi="Palatino Linotype" w:cs="Times New Roman"/>
        </w:rPr>
        <w:t>Recruitment Failure</w:t>
      </w:r>
    </w:p>
    <w:p w14:paraId="7BA1C134" w14:textId="77777777" w:rsidR="006D2CC9" w:rsidRDefault="006D2CC9">
      <w:pPr>
        <w:rPr>
          <w:rFonts w:ascii="Palatino Linotype" w:hAnsi="Palatino Linotype" w:cs="Times New Roman"/>
          <w:sz w:val="22"/>
          <w:szCs w:val="22"/>
        </w:rPr>
      </w:pPr>
    </w:p>
    <w:p w14:paraId="6D30ADA3" w14:textId="58151585" w:rsidR="00F67D9A" w:rsidRPr="008867B0" w:rsidRDefault="00F67D9A">
      <w:pPr>
        <w:rPr>
          <w:rFonts w:ascii="Palatino Linotype" w:hAnsi="Palatino Linotype" w:cs="Times New Roman"/>
          <w:sz w:val="22"/>
          <w:szCs w:val="22"/>
        </w:rPr>
      </w:pPr>
      <w:r w:rsidRPr="008867B0">
        <w:rPr>
          <w:rFonts w:ascii="Palatino Linotype" w:hAnsi="Palatino Linotype" w:cs="Times New Roman"/>
          <w:sz w:val="22"/>
          <w:szCs w:val="22"/>
        </w:rPr>
        <w:t>Outline</w:t>
      </w:r>
    </w:p>
    <w:p w14:paraId="4C6CCD0D" w14:textId="77777777" w:rsidR="00F67D9A" w:rsidRPr="008867B0" w:rsidRDefault="00F67D9A" w:rsidP="00F67D9A">
      <w:pPr>
        <w:rPr>
          <w:rFonts w:ascii="Palatino Linotype" w:hAnsi="Palatino Linotype" w:cs="Kailasa"/>
          <w:sz w:val="22"/>
          <w:szCs w:val="22"/>
        </w:rPr>
      </w:pPr>
    </w:p>
    <w:p w14:paraId="73CEA6E7" w14:textId="77777777" w:rsidR="00F67D9A" w:rsidRDefault="00F67D9A" w:rsidP="00F67D9A">
      <w:pPr>
        <w:pStyle w:val="Compact"/>
        <w:numPr>
          <w:ilvl w:val="0"/>
          <w:numId w:val="1"/>
        </w:numPr>
      </w:pPr>
      <w:r>
        <w:t>Nuisance species have a profound impact on regional ecosystems</w:t>
      </w:r>
    </w:p>
    <w:p w14:paraId="59E5D3C4" w14:textId="77777777" w:rsidR="00F67D9A" w:rsidRDefault="00F67D9A" w:rsidP="00F67D9A">
      <w:pPr>
        <w:pStyle w:val="Compact"/>
        <w:numPr>
          <w:ilvl w:val="0"/>
          <w:numId w:val="1"/>
        </w:numPr>
      </w:pPr>
      <w:r>
        <w:t>There is a documented overabundance of white-tailed deer (</w:t>
      </w:r>
      <w:r>
        <w:rPr>
          <w:i/>
          <w:iCs/>
        </w:rPr>
        <w:t>Odocoileus virginianus</w:t>
      </w:r>
      <w:r>
        <w:t>) (</w:t>
      </w:r>
      <w:r>
        <w:rPr>
          <w:i/>
          <w:iCs/>
        </w:rPr>
        <w:t xml:space="preserve">Publication referenced in </w:t>
      </w:r>
      <w:proofErr w:type="spellStart"/>
      <w:r>
        <w:rPr>
          <w:i/>
          <w:iCs/>
        </w:rPr>
        <w:t>McGravey</w:t>
      </w:r>
      <w:proofErr w:type="spellEnd"/>
      <w:r>
        <w:rPr>
          <w:i/>
          <w:iCs/>
        </w:rPr>
        <w:t xml:space="preserve"> et al. 2013</w:t>
      </w:r>
      <w:r>
        <w:t>) which can be attributed to human influence (</w:t>
      </w:r>
      <w:r>
        <w:rPr>
          <w:i/>
          <w:iCs/>
        </w:rPr>
        <w:t xml:space="preserve">Publication referenced in </w:t>
      </w:r>
      <w:proofErr w:type="spellStart"/>
      <w:r>
        <w:rPr>
          <w:i/>
          <w:iCs/>
        </w:rPr>
        <w:t>McGravey</w:t>
      </w:r>
      <w:proofErr w:type="spellEnd"/>
      <w:r>
        <w:rPr>
          <w:i/>
          <w:iCs/>
        </w:rPr>
        <w:t xml:space="preserve"> et al 2013</w:t>
      </w:r>
      <w:r>
        <w:t>)</w:t>
      </w:r>
    </w:p>
    <w:p w14:paraId="60F9FD1D" w14:textId="77777777" w:rsidR="00F67D9A" w:rsidRDefault="00F67D9A" w:rsidP="00F67D9A">
      <w:pPr>
        <w:pStyle w:val="Compact"/>
        <w:numPr>
          <w:ilvl w:val="0"/>
          <w:numId w:val="1"/>
        </w:numPr>
      </w:pPr>
      <w:r>
        <w:t>White-tailed deer consume seedlings and saplings, negatively impacting seedling and sapling survival, density and growth (</w:t>
      </w:r>
      <w:r>
        <w:rPr>
          <w:i/>
          <w:iCs/>
        </w:rPr>
        <w:t xml:space="preserve">Publications referenced in </w:t>
      </w:r>
      <w:proofErr w:type="spellStart"/>
      <w:r>
        <w:rPr>
          <w:i/>
          <w:iCs/>
        </w:rPr>
        <w:t>McGravey</w:t>
      </w:r>
      <w:proofErr w:type="spellEnd"/>
      <w:r>
        <w:rPr>
          <w:i/>
          <w:iCs/>
        </w:rPr>
        <w:t xml:space="preserve"> et al. 2013</w:t>
      </w:r>
      <w:r>
        <w:t xml:space="preserve">, </w:t>
      </w:r>
      <w:r>
        <w:rPr>
          <w:i/>
          <w:iCs/>
        </w:rPr>
        <w:t>Holm et al. 2013</w:t>
      </w:r>
      <w:r>
        <w:t>)</w:t>
      </w:r>
    </w:p>
    <w:p w14:paraId="7170257D" w14:textId="6B6F9A7E" w:rsidR="00F67D9A" w:rsidRDefault="00F67D9A" w:rsidP="00F67D9A">
      <w:pPr>
        <w:pStyle w:val="Compact"/>
        <w:numPr>
          <w:ilvl w:val="0"/>
          <w:numId w:val="1"/>
        </w:numPr>
      </w:pPr>
      <w:r>
        <w:t xml:space="preserve">This can lead to decreased understory diversity, </w:t>
      </w:r>
      <w:r w:rsidR="0067636D">
        <w:t xml:space="preserve">decreased canopy diversity and </w:t>
      </w:r>
      <w:r>
        <w:t>species richness and decreased abundance of dominant species in a typical forest (in this case Quercus spp.) (</w:t>
      </w:r>
      <w:r>
        <w:rPr>
          <w:i/>
          <w:iCs/>
        </w:rPr>
        <w:t>Holm et al. 2013</w:t>
      </w:r>
      <w:r>
        <w:t>)</w:t>
      </w:r>
    </w:p>
    <w:p w14:paraId="765B1216" w14:textId="77777777" w:rsidR="00F67D9A" w:rsidRDefault="00F67D9A" w:rsidP="00F67D9A">
      <w:pPr>
        <w:pStyle w:val="Compact"/>
        <w:numPr>
          <w:ilvl w:val="0"/>
          <w:numId w:val="1"/>
        </w:numPr>
      </w:pPr>
      <w:r>
        <w:t>Define or contextualize non-endemic plants (Look for a reference)</w:t>
      </w:r>
    </w:p>
    <w:p w14:paraId="1ED1C291" w14:textId="77777777" w:rsidR="00F67D9A" w:rsidRDefault="00F67D9A" w:rsidP="00F67D9A">
      <w:pPr>
        <w:pStyle w:val="Compact"/>
        <w:numPr>
          <w:ilvl w:val="1"/>
          <w:numId w:val="1"/>
        </w:numPr>
      </w:pPr>
      <w:r>
        <w:t>Working definition: Plants that were not historically present in an area, region or ecosystem or were found at different abundances or densities</w:t>
      </w:r>
    </w:p>
    <w:p w14:paraId="7021EFCB" w14:textId="77777777" w:rsidR="00F67D9A" w:rsidRDefault="00F67D9A" w:rsidP="00F67D9A">
      <w:pPr>
        <w:pStyle w:val="Compact"/>
        <w:numPr>
          <w:ilvl w:val="0"/>
          <w:numId w:val="1"/>
        </w:numPr>
      </w:pPr>
      <w:r>
        <w:lastRenderedPageBreak/>
        <w:t>Deer selectively browse on palatable species, and some non-endemic species, including pawpaw, are considered non-palatable by deer (</w:t>
      </w:r>
      <w:proofErr w:type="spellStart"/>
      <w:r>
        <w:rPr>
          <w:i/>
          <w:iCs/>
        </w:rPr>
        <w:t>McGravey</w:t>
      </w:r>
      <w:proofErr w:type="spellEnd"/>
      <w:r>
        <w:rPr>
          <w:i/>
          <w:iCs/>
        </w:rPr>
        <w:t xml:space="preserve"> et al. 2013</w:t>
      </w:r>
      <w:r>
        <w:t>) This can create dense stands of non-endemic species (</w:t>
      </w:r>
      <w:r>
        <w:rPr>
          <w:i/>
          <w:iCs/>
        </w:rPr>
        <w:t>Knauer et al. 2023</w:t>
      </w:r>
      <w:r>
        <w:t>)</w:t>
      </w:r>
    </w:p>
    <w:p w14:paraId="60F924A6" w14:textId="77777777" w:rsidR="00F67D9A" w:rsidRDefault="00F67D9A" w:rsidP="00F67D9A">
      <w:pPr>
        <w:pStyle w:val="Compact"/>
        <w:numPr>
          <w:ilvl w:val="0"/>
          <w:numId w:val="1"/>
        </w:numPr>
      </w:pPr>
      <w:r>
        <w:t>Non-endemic species may be able to utilize niche space in a forest faster or more efficiently (Reference - considered common knowledge?)</w:t>
      </w:r>
    </w:p>
    <w:p w14:paraId="50FFCF58" w14:textId="77777777" w:rsidR="00F67D9A" w:rsidRDefault="00F67D9A" w:rsidP="00F67D9A">
      <w:pPr>
        <w:pStyle w:val="Compact"/>
        <w:numPr>
          <w:ilvl w:val="0"/>
          <w:numId w:val="1"/>
        </w:numPr>
      </w:pPr>
      <w:r>
        <w:t>As a result, they may be able to out compete endemic species</w:t>
      </w:r>
    </w:p>
    <w:p w14:paraId="00C2310C" w14:textId="77777777" w:rsidR="00F67D9A" w:rsidRDefault="00F67D9A" w:rsidP="00F67D9A">
      <w:pPr>
        <w:pStyle w:val="Compact"/>
        <w:numPr>
          <w:ilvl w:val="0"/>
          <w:numId w:val="1"/>
        </w:numPr>
      </w:pPr>
      <w:r>
        <w:t>These nuisance species can contribute to recruitment failure</w:t>
      </w:r>
    </w:p>
    <w:p w14:paraId="34E0572D" w14:textId="77777777" w:rsidR="00F67D9A" w:rsidRDefault="00F67D9A" w:rsidP="00F67D9A">
      <w:pPr>
        <w:pStyle w:val="Compact"/>
        <w:numPr>
          <w:ilvl w:val="1"/>
          <w:numId w:val="1"/>
        </w:numPr>
      </w:pPr>
      <w:r>
        <w:t>Consider defining and contextualizing recruitment failure a little more here</w:t>
      </w:r>
    </w:p>
    <w:p w14:paraId="1D7D2D92" w14:textId="77777777" w:rsidR="00F67D9A" w:rsidRDefault="00F67D9A" w:rsidP="00F67D9A">
      <w:pPr>
        <w:pStyle w:val="Compact"/>
        <w:numPr>
          <w:ilvl w:val="1"/>
          <w:numId w:val="1"/>
        </w:numPr>
      </w:pPr>
      <w:r>
        <w:t>The effects of these recruitment failure on species composition and forest structure are often not apparent for decades (</w:t>
      </w:r>
      <w:proofErr w:type="spellStart"/>
      <w:r>
        <w:rPr>
          <w:i/>
          <w:iCs/>
        </w:rPr>
        <w:t>McGravey</w:t>
      </w:r>
      <w:proofErr w:type="spellEnd"/>
      <w:r>
        <w:rPr>
          <w:i/>
          <w:iCs/>
        </w:rPr>
        <w:t xml:space="preserve"> et al. 2013</w:t>
      </w:r>
      <w:r>
        <w:t xml:space="preserve"> - potentially move to regeneration debt paragraph).</w:t>
      </w:r>
    </w:p>
    <w:p w14:paraId="1014937A" w14:textId="182560EC" w:rsidR="00F67D9A" w:rsidRDefault="00F67D9A" w:rsidP="00F67D9A">
      <w:pPr>
        <w:rPr>
          <w:rFonts w:ascii="Cambria" w:hAnsi="Cambria" w:cs="Kailasa"/>
          <w:sz w:val="22"/>
          <w:szCs w:val="22"/>
        </w:rPr>
      </w:pPr>
      <w:r w:rsidRPr="00F67D9A">
        <w:rPr>
          <w:rFonts w:ascii="Cambria" w:hAnsi="Cambria" w:cs="Kailasa"/>
          <w:sz w:val="22"/>
          <w:szCs w:val="22"/>
        </w:rPr>
        <w:t xml:space="preserve">  </w:t>
      </w:r>
    </w:p>
    <w:p w14:paraId="026FCE26" w14:textId="77777777" w:rsidR="008867B0" w:rsidRDefault="008867B0" w:rsidP="00F67D9A">
      <w:pPr>
        <w:rPr>
          <w:rFonts w:ascii="Cambria" w:hAnsi="Cambria" w:cs="Kailasa"/>
          <w:sz w:val="22"/>
          <w:szCs w:val="22"/>
        </w:rPr>
      </w:pPr>
    </w:p>
    <w:p w14:paraId="3EAD845D" w14:textId="1F3ACA9E" w:rsidR="008867B0" w:rsidRDefault="0040290A" w:rsidP="00F67D9A">
      <w:pPr>
        <w:rPr>
          <w:rFonts w:ascii="Palatino Linotype" w:hAnsi="Palatino Linotype" w:cs="Kailasa"/>
          <w:sz w:val="22"/>
          <w:szCs w:val="22"/>
        </w:rPr>
      </w:pPr>
      <w:r>
        <w:rPr>
          <w:rFonts w:ascii="Palatino Linotype" w:hAnsi="Palatino Linotype" w:cs="Kailasa"/>
          <w:sz w:val="22"/>
          <w:szCs w:val="22"/>
        </w:rPr>
        <w:t xml:space="preserve">Recruitment Failure </w:t>
      </w:r>
      <w:r w:rsidR="008867B0">
        <w:rPr>
          <w:rFonts w:ascii="Palatino Linotype" w:hAnsi="Palatino Linotype" w:cs="Kailasa"/>
          <w:sz w:val="22"/>
          <w:szCs w:val="22"/>
        </w:rPr>
        <w:t>Literature</w:t>
      </w:r>
    </w:p>
    <w:p w14:paraId="3907C493" w14:textId="77777777" w:rsidR="008867B0" w:rsidRDefault="008867B0" w:rsidP="00F67D9A">
      <w:pPr>
        <w:rPr>
          <w:rFonts w:ascii="Palatino Linotype" w:hAnsi="Palatino Linotype" w:cs="Kailasa"/>
          <w:sz w:val="22"/>
          <w:szCs w:val="22"/>
        </w:rPr>
      </w:pPr>
    </w:p>
    <w:p w14:paraId="2DA066AD" w14:textId="21BBB47C"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McGarvey et al. 2013</w:t>
      </w:r>
    </w:p>
    <w:p w14:paraId="5A7E2D9A" w14:textId="09CC5E2D"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Chronic over-browsing by white tailed deer can influence the life history of forests</w:t>
      </w:r>
    </w:p>
    <w:p w14:paraId="0848D20E" w14:textId="23ED5367"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had the greatest effect on seedling establishment</w:t>
      </w:r>
    </w:p>
    <w:p w14:paraId="7CFEE61B" w14:textId="6A25EB6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Browsing has an effect with smaller stems and saplings, but less of an effect on larger stems</w:t>
      </w:r>
    </w:p>
    <w:p w14:paraId="61D40CBB" w14:textId="5EFB9D9A"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The effects of deer browsing might not be apparent in species composition and forest canopy for decades</w:t>
      </w:r>
    </w:p>
    <w:p w14:paraId="462DCB12" w14:textId="0CE23C6D"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An increase in white deer over the past 50 years, which can be attributed to human influence</w:t>
      </w:r>
    </w:p>
    <w:p w14:paraId="2C0D0982" w14:textId="03DBB750"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reduces seedling survival rates and densities</w:t>
      </w:r>
    </w:p>
    <w:p w14:paraId="6452B93E" w14:textId="1026DCFF"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selectively browse on palatable species</w:t>
      </w:r>
    </w:p>
    <w:p w14:paraId="0E210960" w14:textId="56BE4EC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Some non-endemic species, including pawpaw, are considered to be unpalatable to deer</w:t>
      </w:r>
    </w:p>
    <w:p w14:paraId="2B63D403" w14:textId="5676521A"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Seedling height and small-sapling abundance were most effected</w:t>
      </w:r>
    </w:p>
    <w:p w14:paraId="5CA9B1A6" w14:textId="77777777" w:rsidR="00F67D9A" w:rsidRPr="008867B0" w:rsidRDefault="00F67D9A" w:rsidP="00F67D9A">
      <w:pPr>
        <w:rPr>
          <w:rFonts w:ascii="Palatino Linotype" w:hAnsi="Palatino Linotype" w:cs="Kailasa"/>
          <w:sz w:val="22"/>
          <w:szCs w:val="22"/>
        </w:rPr>
      </w:pPr>
    </w:p>
    <w:p w14:paraId="0AC9995B" w14:textId="5F19AACB"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Knauer et al. 2023</w:t>
      </w:r>
    </w:p>
    <w:p w14:paraId="5B4BA572" w14:textId="201B37F8"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Heavy browsing by deer reduces palatable species, which can create ideal conditions for dense stands of </w:t>
      </w:r>
      <w:r w:rsidR="00B4113A">
        <w:rPr>
          <w:rFonts w:ascii="Palatino Linotype" w:hAnsi="Palatino Linotype" w:cs="Kailasa"/>
          <w:sz w:val="22"/>
          <w:szCs w:val="22"/>
        </w:rPr>
        <w:t xml:space="preserve">unpalatable native, non-native and browse-resistant stands </w:t>
      </w:r>
      <w:r w:rsidRPr="008867B0">
        <w:rPr>
          <w:rFonts w:ascii="Palatino Linotype" w:hAnsi="Palatino Linotype" w:cs="Kailasa"/>
          <w:sz w:val="22"/>
          <w:szCs w:val="22"/>
        </w:rPr>
        <w:t>to form</w:t>
      </w:r>
    </w:p>
    <w:p w14:paraId="08B7AA7F" w14:textId="0C9CEBB4"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Removing deer for long periods of time (</w:t>
      </w:r>
      <w:r w:rsidR="008867B0">
        <w:rPr>
          <w:rFonts w:ascii="Palatino Linotype" w:hAnsi="Palatino Linotype" w:cs="Kailasa"/>
          <w:sz w:val="22"/>
          <w:szCs w:val="22"/>
        </w:rPr>
        <w:t>8</w:t>
      </w:r>
      <w:r w:rsidRPr="008867B0">
        <w:rPr>
          <w:rFonts w:ascii="Palatino Linotype" w:hAnsi="Palatino Linotype" w:cs="Kailasa"/>
          <w:sz w:val="22"/>
          <w:szCs w:val="22"/>
        </w:rPr>
        <w:t>-20 years) does not lead to increased species diversity</w:t>
      </w:r>
      <w:r w:rsidR="00B4113A">
        <w:rPr>
          <w:rFonts w:ascii="Palatino Linotype" w:hAnsi="Palatino Linotype" w:cs="Kailasa"/>
          <w:sz w:val="22"/>
          <w:szCs w:val="22"/>
        </w:rPr>
        <w:t xml:space="preserve"> (in the understory?); the understory remains depauperate (poorly or imperfectly developed)</w:t>
      </w:r>
    </w:p>
    <w:p w14:paraId="494387E7" w14:textId="513C58C8" w:rsidR="00F67D9A" w:rsidRDefault="00F67D9A" w:rsidP="00F67D9A">
      <w:pPr>
        <w:pStyle w:val="ListParagraph"/>
        <w:numPr>
          <w:ilvl w:val="1"/>
          <w:numId w:val="2"/>
        </w:numPr>
        <w:rPr>
          <w:rFonts w:ascii="Palatino Linotype" w:hAnsi="Palatino Linotype" w:cs="Kailasa"/>
          <w:sz w:val="22"/>
          <w:szCs w:val="22"/>
        </w:rPr>
      </w:pPr>
      <w:r w:rsidRPr="008867B0">
        <w:rPr>
          <w:rFonts w:ascii="Palatino Linotype" w:hAnsi="Palatino Linotype" w:cs="Kailasa"/>
          <w:sz w:val="22"/>
          <w:szCs w:val="22"/>
        </w:rPr>
        <w:t>Once browsing has reduced species to low levels of abundance, it can take decades for them to recover</w:t>
      </w:r>
    </w:p>
    <w:p w14:paraId="72518FA1" w14:textId="5DED345D" w:rsidR="00B4113A" w:rsidRPr="008867B0" w:rsidRDefault="00B4113A" w:rsidP="00B4113A">
      <w:pPr>
        <w:pStyle w:val="ListParagraph"/>
        <w:numPr>
          <w:ilvl w:val="0"/>
          <w:numId w:val="2"/>
        </w:numPr>
        <w:rPr>
          <w:rFonts w:ascii="Palatino Linotype" w:hAnsi="Palatino Linotype" w:cs="Kailasa"/>
          <w:sz w:val="22"/>
          <w:szCs w:val="22"/>
        </w:rPr>
      </w:pPr>
      <w:r>
        <w:rPr>
          <w:rFonts w:ascii="Palatino Linotype" w:hAnsi="Palatino Linotype" w:cs="Kailasa"/>
          <w:sz w:val="22"/>
          <w:szCs w:val="22"/>
        </w:rPr>
        <w:t>Browsing can lead to species being extirpated or be sparsely distributed locally or regionally</w:t>
      </w:r>
    </w:p>
    <w:p w14:paraId="559D147E" w14:textId="5397862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Many forest understories, especially in urban-fringe forests, and infested with non-endemic plants</w:t>
      </w:r>
    </w:p>
    <w:p w14:paraId="3CAF39B6" w14:textId="77777777" w:rsidR="00F67D9A" w:rsidRPr="008867B0" w:rsidRDefault="00F67D9A" w:rsidP="00F67D9A">
      <w:pPr>
        <w:rPr>
          <w:rFonts w:ascii="Palatino Linotype" w:hAnsi="Palatino Linotype" w:cs="Kailasa"/>
          <w:sz w:val="22"/>
          <w:szCs w:val="22"/>
        </w:rPr>
      </w:pPr>
    </w:p>
    <w:p w14:paraId="7C208C58" w14:textId="5B81DBCB"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Holm et al. 2013</w:t>
      </w:r>
    </w:p>
    <w:p w14:paraId="030DCC8C" w14:textId="02A5317C"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lastRenderedPageBreak/>
        <w:t>In a model predicting the effects of deer browsing on forest composition in 200 years, deer browsing decreased understory diversity, decreased species richness and decreased the abundance of Quercus spp. (a dominant species in this forest type)</w:t>
      </w:r>
    </w:p>
    <w:p w14:paraId="2FEC5FED" w14:textId="0B0F03C0"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Gap disturbances exacerbated these impacts (could tie into </w:t>
      </w:r>
      <w:r w:rsidR="008867B0" w:rsidRPr="008867B0">
        <w:rPr>
          <w:rFonts w:ascii="Palatino Linotype" w:hAnsi="Palatino Linotype" w:cs="Kailasa"/>
          <w:sz w:val="22"/>
          <w:szCs w:val="22"/>
        </w:rPr>
        <w:t>paragraph on non-endemic pests and pathogens and tree mortality)</w:t>
      </w:r>
    </w:p>
    <w:p w14:paraId="239841AC" w14:textId="211DB61E" w:rsidR="008867B0" w:rsidRPr="008867B0" w:rsidRDefault="008867B0"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can reduce survival and growth of several woody species and change the dominance rank of species at the sapling stage</w:t>
      </w:r>
    </w:p>
    <w:p w14:paraId="3932F0A2" w14:textId="492D6A6E" w:rsidR="008867B0" w:rsidRPr="008867B0" w:rsidRDefault="008867B0"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Impacts of browsing are likely to be greater in areas with high gap disturbance</w:t>
      </w:r>
    </w:p>
    <w:p w14:paraId="5DF33A55" w14:textId="77777777" w:rsidR="006D2CC9" w:rsidRDefault="008867B0" w:rsidP="00521240">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Deer herbivory on saplings reduced tree diversity in the </w:t>
      </w:r>
      <w:proofErr w:type="spellStart"/>
      <w:r w:rsidRPr="008867B0">
        <w:rPr>
          <w:rFonts w:ascii="Palatino Linotype" w:hAnsi="Palatino Linotype" w:cs="Kailasa"/>
          <w:sz w:val="22"/>
          <w:szCs w:val="22"/>
        </w:rPr>
        <w:t>understor</w:t>
      </w:r>
      <w:proofErr w:type="spellEnd"/>
    </w:p>
    <w:p w14:paraId="62C2F112" w14:textId="77777777" w:rsidR="006D2CC9" w:rsidRDefault="006D2CC9" w:rsidP="006D2CC9">
      <w:pPr>
        <w:rPr>
          <w:rFonts w:ascii="Palatino Linotype" w:hAnsi="Palatino Linotype" w:cs="Kailasa"/>
          <w:i/>
          <w:iCs/>
          <w:sz w:val="22"/>
          <w:szCs w:val="22"/>
        </w:rPr>
      </w:pPr>
    </w:p>
    <w:p w14:paraId="3358A3D5" w14:textId="77777777" w:rsidR="006D2CC9" w:rsidRDefault="006D2CC9" w:rsidP="006D2CC9">
      <w:pPr>
        <w:rPr>
          <w:rFonts w:ascii="Palatino Linotype" w:hAnsi="Palatino Linotype" w:cs="Kailasa"/>
          <w:i/>
          <w:iCs/>
          <w:sz w:val="22"/>
          <w:szCs w:val="22"/>
        </w:rPr>
      </w:pPr>
    </w:p>
    <w:p w14:paraId="7745E13C" w14:textId="04776633" w:rsidR="00073D01" w:rsidRPr="006D2CC9" w:rsidRDefault="00073D01" w:rsidP="006D2CC9">
      <w:pPr>
        <w:rPr>
          <w:rFonts w:ascii="Palatino Linotype" w:hAnsi="Palatino Linotype" w:cs="Kailasa"/>
          <w:sz w:val="22"/>
          <w:szCs w:val="22"/>
        </w:rPr>
      </w:pPr>
      <w:r w:rsidRPr="006D2CC9">
        <w:rPr>
          <w:rFonts w:ascii="Palatino Linotype" w:hAnsi="Palatino Linotype" w:cs="Kailasa"/>
          <w:i/>
          <w:iCs/>
          <w:sz w:val="22"/>
          <w:szCs w:val="22"/>
        </w:rPr>
        <w:t>Read this source for pawpaw life history traits</w:t>
      </w:r>
      <w:r w:rsidR="00D80258">
        <w:rPr>
          <w:rFonts w:ascii="Palatino Linotype" w:hAnsi="Palatino Linotype" w:cs="Kailasa"/>
          <w:i/>
          <w:iCs/>
          <w:sz w:val="22"/>
          <w:szCs w:val="22"/>
        </w:rPr>
        <w:t xml:space="preserve"> – potential reference</w:t>
      </w:r>
    </w:p>
    <w:p w14:paraId="15282207" w14:textId="77777777" w:rsidR="00073D01" w:rsidRDefault="00073D01" w:rsidP="00521240">
      <w:pPr>
        <w:rPr>
          <w:rFonts w:ascii="Palatino Linotype" w:hAnsi="Palatino Linotype" w:cs="Kailasa"/>
          <w:i/>
          <w:iCs/>
          <w:sz w:val="22"/>
          <w:szCs w:val="22"/>
        </w:rPr>
      </w:pPr>
    </w:p>
    <w:p w14:paraId="336AF076" w14:textId="7AB208CC" w:rsidR="00073D01" w:rsidRPr="00073D01" w:rsidRDefault="00073D01" w:rsidP="00521240">
      <w:pPr>
        <w:rPr>
          <w:rFonts w:ascii="Palatino Linotype" w:hAnsi="Palatino Linotype" w:cs="Kailasa"/>
          <w:sz w:val="22"/>
          <w:szCs w:val="22"/>
        </w:rPr>
      </w:pPr>
      <w:r>
        <w:rPr>
          <w:rFonts w:ascii="Palatino Linotype" w:hAnsi="Palatino Linotype" w:cs="Kailasa"/>
          <w:sz w:val="22"/>
          <w:szCs w:val="22"/>
        </w:rPr>
        <w:t xml:space="preserve">Intensive Selective Deer Browsing Favors Success of </w:t>
      </w:r>
      <w:proofErr w:type="spellStart"/>
      <w:r>
        <w:rPr>
          <w:rFonts w:ascii="Palatino Linotype" w:hAnsi="Palatino Linotype" w:cs="Kailasa"/>
          <w:i/>
          <w:iCs/>
          <w:sz w:val="22"/>
          <w:szCs w:val="22"/>
        </w:rPr>
        <w:t>Asminia</w:t>
      </w:r>
      <w:proofErr w:type="spellEnd"/>
      <w:r>
        <w:rPr>
          <w:rFonts w:ascii="Palatino Linotype" w:hAnsi="Palatino Linotype" w:cs="Kailasa"/>
          <w:i/>
          <w:iCs/>
          <w:sz w:val="22"/>
          <w:szCs w:val="22"/>
        </w:rPr>
        <w:t xml:space="preserve"> </w:t>
      </w:r>
      <w:proofErr w:type="spellStart"/>
      <w:r>
        <w:rPr>
          <w:rFonts w:ascii="Palatino Linotype" w:hAnsi="Palatino Linotype" w:cs="Kailasa"/>
          <w:i/>
          <w:iCs/>
          <w:sz w:val="22"/>
          <w:szCs w:val="22"/>
        </w:rPr>
        <w:t>trloba</w:t>
      </w:r>
      <w:proofErr w:type="spellEnd"/>
      <w:r>
        <w:rPr>
          <w:rFonts w:ascii="Palatino Linotype" w:hAnsi="Palatino Linotype" w:cs="Kailasa"/>
          <w:sz w:val="22"/>
          <w:szCs w:val="22"/>
        </w:rPr>
        <w:t xml:space="preserve"> (Paw paw) a Native Tree Species</w:t>
      </w:r>
    </w:p>
    <w:p w14:paraId="4FC49740" w14:textId="77777777" w:rsidR="00073D01" w:rsidRDefault="00073D01" w:rsidP="00521240">
      <w:pPr>
        <w:rPr>
          <w:rFonts w:ascii="Palatino Linotype" w:hAnsi="Palatino Linotype" w:cs="Kailasa"/>
          <w:i/>
          <w:iCs/>
          <w:sz w:val="22"/>
          <w:szCs w:val="22"/>
        </w:rPr>
      </w:pPr>
    </w:p>
    <w:p w14:paraId="10E7B154" w14:textId="4EDEADF6" w:rsidR="00831A3E" w:rsidRDefault="00831A3E" w:rsidP="00521240">
      <w:pPr>
        <w:rPr>
          <w:rFonts w:ascii="Palatino Linotype" w:hAnsi="Palatino Linotype" w:cs="Kailasa"/>
          <w:i/>
          <w:iCs/>
          <w:sz w:val="22"/>
          <w:szCs w:val="22"/>
        </w:rPr>
      </w:pPr>
      <w:r>
        <w:rPr>
          <w:rFonts w:ascii="Palatino Linotype" w:hAnsi="Palatino Linotype" w:cs="Kailasa"/>
          <w:i/>
          <w:iCs/>
          <w:sz w:val="22"/>
          <w:szCs w:val="22"/>
        </w:rPr>
        <w:t xml:space="preserve">Cut-out sentences </w:t>
      </w:r>
    </w:p>
    <w:p w14:paraId="76BD0230" w14:textId="77777777" w:rsidR="00831A3E" w:rsidRDefault="00831A3E" w:rsidP="00521240">
      <w:pPr>
        <w:rPr>
          <w:rFonts w:ascii="Palatino Linotype" w:hAnsi="Palatino Linotype" w:cs="Kailasa"/>
          <w:sz w:val="22"/>
          <w:szCs w:val="22"/>
        </w:rPr>
      </w:pPr>
    </w:p>
    <w:p w14:paraId="428DDDDA" w14:textId="4A0ED327" w:rsidR="005352B5" w:rsidRPr="009D3978" w:rsidRDefault="008D3D73" w:rsidP="00521240">
      <w:pPr>
        <w:rPr>
          <w:rFonts w:ascii="Palatino Linotype" w:hAnsi="Palatino Linotype" w:cs="Kailasa"/>
          <w:sz w:val="22"/>
          <w:szCs w:val="22"/>
        </w:rPr>
      </w:pPr>
      <w:r>
        <w:rPr>
          <w:rFonts w:ascii="Palatino Linotype" w:hAnsi="Palatino Linotype" w:cs="Kailasa"/>
          <w:sz w:val="22"/>
          <w:szCs w:val="22"/>
        </w:rPr>
        <w:t xml:space="preserve">White-tailed deer preferentially browse on woody herbaceous species in their earliest life stages (Reference), with overabundant herbivory negatively impacting seedling and sapling survival, growth and density (Reference).  </w:t>
      </w:r>
      <w:r w:rsidR="005352B5">
        <w:rPr>
          <w:rFonts w:ascii="Palatino Linotype" w:hAnsi="Palatino Linotype" w:cs="Kailasa"/>
          <w:sz w:val="22"/>
          <w:szCs w:val="22"/>
        </w:rPr>
        <w:t xml:space="preserve">Long-term/chronic </w:t>
      </w:r>
      <w:r>
        <w:rPr>
          <w:rFonts w:ascii="Palatino Linotype" w:hAnsi="Palatino Linotype" w:cs="Kailasa"/>
          <w:sz w:val="22"/>
          <w:szCs w:val="22"/>
        </w:rPr>
        <w:t xml:space="preserve">overabundance </w:t>
      </w:r>
      <w:r w:rsidR="001E1A98">
        <w:rPr>
          <w:rFonts w:ascii="Palatino Linotype" w:hAnsi="Palatino Linotype" w:cs="Kailasa"/>
          <w:sz w:val="22"/>
          <w:szCs w:val="22"/>
        </w:rPr>
        <w:t>could c</w:t>
      </w:r>
      <w:r>
        <w:rPr>
          <w:rFonts w:ascii="Palatino Linotype" w:hAnsi="Palatino Linotype" w:cs="Kailasa"/>
          <w:sz w:val="22"/>
          <w:szCs w:val="22"/>
        </w:rPr>
        <w:t>ontribute to decreased understory diversity</w:t>
      </w:r>
      <w:r w:rsidR="0067636D">
        <w:rPr>
          <w:rFonts w:ascii="Palatino Linotype" w:hAnsi="Palatino Linotype" w:cs="Kailasa"/>
          <w:sz w:val="22"/>
          <w:szCs w:val="22"/>
        </w:rPr>
        <w:t xml:space="preserve"> and </w:t>
      </w:r>
      <w:r w:rsidR="005352B5">
        <w:rPr>
          <w:rFonts w:ascii="Palatino Linotype" w:hAnsi="Palatino Linotype" w:cs="Kailasa"/>
          <w:sz w:val="22"/>
          <w:szCs w:val="22"/>
        </w:rPr>
        <w:t>fewer individuals from traditionally dominant species (Reference)./ Models predict that chronic overabundance will reduce understory diversity and decrease the abundance of traditionally dominant species (Reference).</w:t>
      </w:r>
      <w:r w:rsidR="009D3978">
        <w:rPr>
          <w:rFonts w:ascii="Palatino Linotype" w:hAnsi="Palatino Linotype" w:cs="Kailasa"/>
          <w:sz w:val="22"/>
          <w:szCs w:val="22"/>
        </w:rPr>
        <w:t xml:space="preserve">/Models of mid-Atlantic mesic forests predict that chronic overabundance of white-tailed deer will reduce </w:t>
      </w:r>
      <w:r w:rsidR="001E1A98">
        <w:rPr>
          <w:rFonts w:ascii="Palatino Linotype" w:hAnsi="Palatino Linotype" w:cs="Kailasa"/>
          <w:sz w:val="22"/>
          <w:szCs w:val="22"/>
        </w:rPr>
        <w:t xml:space="preserve">future </w:t>
      </w:r>
      <w:r w:rsidR="009D3978">
        <w:rPr>
          <w:rFonts w:ascii="Palatino Linotype" w:hAnsi="Palatino Linotype" w:cs="Kailasa"/>
          <w:sz w:val="22"/>
          <w:szCs w:val="22"/>
        </w:rPr>
        <w:t>understory diversity and decrease the abundance of traditionally dominant species</w:t>
      </w:r>
      <w:r w:rsidR="00A46A90">
        <w:rPr>
          <w:rFonts w:ascii="Palatino Linotype" w:hAnsi="Palatino Linotype" w:cs="Kailasa"/>
          <w:sz w:val="22"/>
          <w:szCs w:val="22"/>
        </w:rPr>
        <w:t xml:space="preserve"> </w:t>
      </w:r>
      <w:r w:rsidR="009D3978">
        <w:rPr>
          <w:rFonts w:ascii="Palatino Linotype" w:hAnsi="Palatino Linotype" w:cs="Kailasa"/>
          <w:sz w:val="22"/>
          <w:szCs w:val="22"/>
        </w:rPr>
        <w:t>(Reference).</w:t>
      </w:r>
      <w:r w:rsidR="00FC338C">
        <w:rPr>
          <w:rFonts w:ascii="Palatino Linotype" w:hAnsi="Palatino Linotype" w:cs="Kailasa"/>
          <w:sz w:val="22"/>
          <w:szCs w:val="22"/>
        </w:rPr>
        <w:t xml:space="preserve">  </w:t>
      </w:r>
    </w:p>
    <w:p w14:paraId="2786B77A" w14:textId="1FA5FD11" w:rsidR="006D3A25" w:rsidRPr="00521240" w:rsidRDefault="006D3A25" w:rsidP="00521240">
      <w:pPr>
        <w:rPr>
          <w:rFonts w:ascii="Palatino Linotype" w:hAnsi="Palatino Linotype" w:cs="Kailasa"/>
          <w:sz w:val="22"/>
          <w:szCs w:val="22"/>
        </w:rPr>
      </w:pPr>
    </w:p>
    <w:sectPr w:rsidR="006D3A25" w:rsidRPr="0052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Kailasa">
    <w:panose1 w:val="02000500000000020004"/>
    <w:charset w:val="00"/>
    <w:family w:val="auto"/>
    <w:pitch w:val="variable"/>
    <w:sig w:usb0="00000003" w:usb1="00000000" w:usb2="0000004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E788E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D61C94"/>
    <w:multiLevelType w:val="hybridMultilevel"/>
    <w:tmpl w:val="73C483B6"/>
    <w:lvl w:ilvl="0" w:tplc="74F2EB68">
      <w:numFmt w:val="bullet"/>
      <w:lvlText w:val="-"/>
      <w:lvlJc w:val="left"/>
      <w:pPr>
        <w:ind w:left="720" w:hanging="360"/>
      </w:pPr>
      <w:rPr>
        <w:rFonts w:ascii="Cambria" w:eastAsiaTheme="minorHAnsi" w:hAnsi="Cambria" w:cs="Kailas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1766A"/>
    <w:multiLevelType w:val="hybridMultilevel"/>
    <w:tmpl w:val="E0246136"/>
    <w:lvl w:ilvl="0" w:tplc="185CE5DC">
      <w:numFmt w:val="bullet"/>
      <w:lvlText w:val="-"/>
      <w:lvlJc w:val="left"/>
      <w:pPr>
        <w:ind w:left="720" w:hanging="360"/>
      </w:pPr>
      <w:rPr>
        <w:rFonts w:ascii="Palatino Linotype" w:eastAsiaTheme="minorHAnsi" w:hAnsi="Palatino Linotype"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F01D1"/>
    <w:multiLevelType w:val="hybridMultilevel"/>
    <w:tmpl w:val="6F266EF4"/>
    <w:lvl w:ilvl="0" w:tplc="C48484DC">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053C3"/>
    <w:multiLevelType w:val="hybridMultilevel"/>
    <w:tmpl w:val="816800C0"/>
    <w:lvl w:ilvl="0" w:tplc="1BD04EA4">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05B99"/>
    <w:multiLevelType w:val="hybridMultilevel"/>
    <w:tmpl w:val="2BE2ECDC"/>
    <w:lvl w:ilvl="0" w:tplc="55C82DE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541144">
    <w:abstractNumId w:val="0"/>
  </w:num>
  <w:num w:numId="2" w16cid:durableId="1481924422">
    <w:abstractNumId w:val="1"/>
  </w:num>
  <w:num w:numId="3" w16cid:durableId="1579366582">
    <w:abstractNumId w:val="3"/>
  </w:num>
  <w:num w:numId="4" w16cid:durableId="2101295057">
    <w:abstractNumId w:val="4"/>
  </w:num>
  <w:num w:numId="5" w16cid:durableId="1691641455">
    <w:abstractNumId w:val="2"/>
  </w:num>
  <w:num w:numId="6" w16cid:durableId="17826488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9A"/>
    <w:rsid w:val="00006D89"/>
    <w:rsid w:val="00073D01"/>
    <w:rsid w:val="0008525F"/>
    <w:rsid w:val="000D6059"/>
    <w:rsid w:val="00162057"/>
    <w:rsid w:val="001766E7"/>
    <w:rsid w:val="001E1A98"/>
    <w:rsid w:val="0025095B"/>
    <w:rsid w:val="002B0907"/>
    <w:rsid w:val="00346E7B"/>
    <w:rsid w:val="003636B8"/>
    <w:rsid w:val="003912AD"/>
    <w:rsid w:val="0040290A"/>
    <w:rsid w:val="00403ED3"/>
    <w:rsid w:val="00412E45"/>
    <w:rsid w:val="004348E5"/>
    <w:rsid w:val="0043721F"/>
    <w:rsid w:val="00484DE9"/>
    <w:rsid w:val="00490286"/>
    <w:rsid w:val="004A3047"/>
    <w:rsid w:val="004C574B"/>
    <w:rsid w:val="004D5C78"/>
    <w:rsid w:val="00514584"/>
    <w:rsid w:val="00521240"/>
    <w:rsid w:val="005352B5"/>
    <w:rsid w:val="0057746A"/>
    <w:rsid w:val="005C5662"/>
    <w:rsid w:val="005F2C49"/>
    <w:rsid w:val="00600351"/>
    <w:rsid w:val="00611F16"/>
    <w:rsid w:val="0067636D"/>
    <w:rsid w:val="006B39F0"/>
    <w:rsid w:val="006D2CC9"/>
    <w:rsid w:val="006D3A25"/>
    <w:rsid w:val="00784715"/>
    <w:rsid w:val="007B3B13"/>
    <w:rsid w:val="007C53EF"/>
    <w:rsid w:val="007D23B3"/>
    <w:rsid w:val="007E005E"/>
    <w:rsid w:val="00831A3E"/>
    <w:rsid w:val="00853651"/>
    <w:rsid w:val="0085572C"/>
    <w:rsid w:val="008867B0"/>
    <w:rsid w:val="008B6B03"/>
    <w:rsid w:val="008D3D73"/>
    <w:rsid w:val="008E3FDD"/>
    <w:rsid w:val="00917434"/>
    <w:rsid w:val="009B28BF"/>
    <w:rsid w:val="009D3978"/>
    <w:rsid w:val="00A36995"/>
    <w:rsid w:val="00A46A90"/>
    <w:rsid w:val="00AB62CA"/>
    <w:rsid w:val="00AF010F"/>
    <w:rsid w:val="00AF6C2A"/>
    <w:rsid w:val="00B2699D"/>
    <w:rsid w:val="00B4113A"/>
    <w:rsid w:val="00B45C81"/>
    <w:rsid w:val="00BE57B9"/>
    <w:rsid w:val="00CF1737"/>
    <w:rsid w:val="00CF1914"/>
    <w:rsid w:val="00D80258"/>
    <w:rsid w:val="00EC4B0D"/>
    <w:rsid w:val="00F67D9A"/>
    <w:rsid w:val="00FA1EAA"/>
    <w:rsid w:val="00FC338C"/>
    <w:rsid w:val="00FD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66724"/>
  <w15:chartTrackingRefBased/>
  <w15:docId w15:val="{BD0DBC3E-3A5E-E644-A245-7283BBAC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F67D9A"/>
    <w:pPr>
      <w:spacing w:before="180" w:after="180"/>
    </w:pPr>
    <w:rPr>
      <w:rFonts w:ascii="Palatino Linotype" w:hAnsi="Palatino Linotype"/>
      <w:kern w:val="0"/>
      <w:sz w:val="22"/>
      <w:szCs w:val="22"/>
      <w14:ligatures w14:val="none"/>
    </w:rPr>
  </w:style>
  <w:style w:type="paragraph" w:customStyle="1" w:styleId="Compact">
    <w:name w:val="Compact"/>
    <w:basedOn w:val="BodyText"/>
    <w:qFormat/>
    <w:rsid w:val="00F67D9A"/>
    <w:pPr>
      <w:spacing w:before="36" w:after="36"/>
    </w:pPr>
    <w:rPr>
      <w:rFonts w:ascii="Palatino Linotype" w:hAnsi="Palatino Linotype"/>
      <w:kern w:val="0"/>
      <w:sz w:val="22"/>
      <w:szCs w:val="22"/>
      <w14:ligatures w14:val="none"/>
    </w:rPr>
  </w:style>
  <w:style w:type="paragraph" w:styleId="BodyText">
    <w:name w:val="Body Text"/>
    <w:basedOn w:val="Normal"/>
    <w:link w:val="BodyTextChar"/>
    <w:uiPriority w:val="99"/>
    <w:semiHidden/>
    <w:unhideWhenUsed/>
    <w:rsid w:val="00F67D9A"/>
    <w:pPr>
      <w:spacing w:after="120"/>
    </w:pPr>
  </w:style>
  <w:style w:type="character" w:customStyle="1" w:styleId="BodyTextChar">
    <w:name w:val="Body Text Char"/>
    <w:basedOn w:val="DefaultParagraphFont"/>
    <w:link w:val="BodyText"/>
    <w:uiPriority w:val="99"/>
    <w:semiHidden/>
    <w:rsid w:val="00F67D9A"/>
  </w:style>
  <w:style w:type="paragraph" w:styleId="ListParagraph">
    <w:name w:val="List Paragraph"/>
    <w:basedOn w:val="Normal"/>
    <w:uiPriority w:val="34"/>
    <w:qFormat/>
    <w:rsid w:val="00F67D9A"/>
    <w:pPr>
      <w:ind w:left="720"/>
      <w:contextualSpacing/>
    </w:pPr>
  </w:style>
  <w:style w:type="character" w:styleId="Hyperlink">
    <w:name w:val="Hyperlink"/>
    <w:basedOn w:val="DefaultParagraphFont"/>
    <w:uiPriority w:val="99"/>
    <w:unhideWhenUsed/>
    <w:rsid w:val="006D2CC9"/>
    <w:rPr>
      <w:color w:val="0563C1" w:themeColor="hyperlink"/>
      <w:u w:val="single"/>
    </w:rPr>
  </w:style>
  <w:style w:type="character" w:styleId="UnresolvedMention">
    <w:name w:val="Unresolved Mention"/>
    <w:basedOn w:val="DefaultParagraphFont"/>
    <w:uiPriority w:val="99"/>
    <w:semiHidden/>
    <w:unhideWhenUsed/>
    <w:rsid w:val="006D2CC9"/>
    <w:rPr>
      <w:color w:val="605E5C"/>
      <w:shd w:val="clear" w:color="auto" w:fill="E1DFDD"/>
    </w:rPr>
  </w:style>
  <w:style w:type="character" w:styleId="FollowedHyperlink">
    <w:name w:val="FollowedHyperlink"/>
    <w:basedOn w:val="DefaultParagraphFont"/>
    <w:uiPriority w:val="99"/>
    <w:semiHidden/>
    <w:unhideWhenUsed/>
    <w:rsid w:val="000D6059"/>
    <w:rPr>
      <w:color w:val="954F72" w:themeColor="followedHyperlink"/>
      <w:u w:val="single"/>
    </w:rPr>
  </w:style>
  <w:style w:type="character" w:styleId="Emphasis">
    <w:name w:val="Emphasis"/>
    <w:basedOn w:val="DefaultParagraphFont"/>
    <w:uiPriority w:val="20"/>
    <w:qFormat/>
    <w:rsid w:val="000D6059"/>
    <w:rPr>
      <w:i/>
      <w:iCs/>
    </w:rPr>
  </w:style>
  <w:style w:type="character" w:customStyle="1" w:styleId="mjx-char">
    <w:name w:val="mjx-char"/>
    <w:basedOn w:val="DefaultParagraphFont"/>
    <w:rsid w:val="00490286"/>
  </w:style>
  <w:style w:type="character" w:customStyle="1" w:styleId="mjxassistivemathml">
    <w:name w:val="mjx_assistive_mathml"/>
    <w:basedOn w:val="DefaultParagraphFont"/>
    <w:rsid w:val="0049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gcb.12712" TargetMode="External"/><Relationship Id="rId3" Type="http://schemas.openxmlformats.org/officeDocument/2006/relationships/settings" Target="settings.xml"/><Relationship Id="rId7" Type="http://schemas.openxmlformats.org/officeDocument/2006/relationships/hyperlink" Target="https://siarchives.si.edu/history/smithsonian-conservation-biology-institute-sc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57296875_Initial_census_woody_seedling_seed_rain_and_stand_structure_data_for_the_SCBI_SIGEO_Large_Forest_Dynamics_Plot" TargetMode="External"/><Relationship Id="rId5" Type="http://schemas.openxmlformats.org/officeDocument/2006/relationships/hyperlink" Target="https://scbi-forestgeo.github.io/SCBI-Plot-Book/physical-environmen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Rachel</dc:creator>
  <cp:keywords/>
  <dc:description/>
  <cp:lastModifiedBy>Hoffman, Rachel</cp:lastModifiedBy>
  <cp:revision>18</cp:revision>
  <dcterms:created xsi:type="dcterms:W3CDTF">2024-02-09T15:19:00Z</dcterms:created>
  <dcterms:modified xsi:type="dcterms:W3CDTF">2024-02-13T05:27:00Z</dcterms:modified>
</cp:coreProperties>
</file>