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response-to-reviews"/>
    <w:p>
      <w:pPr>
        <w:pStyle w:val="Heading1"/>
      </w:pPr>
      <w:r>
        <w:t xml:space="preserve">RESPONSE TO REVIEWS</w:t>
      </w:r>
    </w:p>
    <w:p>
      <w:pPr>
        <w:pStyle w:val="FirstParagraph"/>
      </w:pPr>
      <w:r>
        <w:t xml:space="preserve">NPH-MS-2024-46851 Nuisance species compromise carbon sequestration potential in an Eastern US temperate deciduous forest by Morreale, Luca; Hoffman, Rachel; Bagnaschi, Krystal; Kennedy, Iris; MacMonigle, Erin; Troy, Caroline; Dow, Cameron; Gonzalez-Akre, Erika; Herrmann, Valentine; Jordan, Jennifer; Magee, Lukas; Mitre, David; Pate, Christopher; Shue, Jessica; Bourg, Norman; McShea, William; Anderson-Teixeira, Kristina</w:t>
      </w:r>
    </w:p>
    <w:p>
      <w:pPr>
        <w:pStyle w:val="BodyText"/>
      </w:pPr>
      <w:r>
        <w:t xml:space="preserve">We thank the editor and the three reviewers for their careful and constructive comments, which have substantially improved the manuscript. The main changes are:</w:t>
      </w:r>
    </w:p>
    <w:p>
      <w:pPr>
        <w:pStyle w:val="Compact"/>
        <w:numPr>
          <w:ilvl w:val="0"/>
          <w:numId w:val="1001"/>
        </w:numPr>
      </w:pPr>
      <w:r>
        <w:rPr>
          <w:b/>
          <w:bCs/>
        </w:rPr>
        <w:t xml:space="preserve">Statistics.</w:t>
      </w:r>
      <w:r>
        <w:t xml:space="preserve"> </w:t>
      </w:r>
      <w:r>
        <w:t xml:space="preserve">All quantitative claims are now supported by 95% bootstrap confidence intervals, using 20 × 20 m quadrats as replicates and accounting for spatial autocorrelation (new Methods subsection,</w:t>
      </w:r>
      <w:r>
        <w:t xml:space="preserve"> </w:t>
      </w:r>
      <w:r>
        <w:rPr>
          <w:i/>
          <w:iCs/>
        </w:rPr>
        <w:t xml:space="preserve">Statistical analysis</w:t>
      </w:r>
      <w:r>
        <w:t xml:space="preserve">).</w:t>
      </w:r>
    </w:p>
    <w:p>
      <w:pPr>
        <w:pStyle w:val="Compact"/>
        <w:numPr>
          <w:ilvl w:val="0"/>
          <w:numId w:val="1001"/>
        </w:numPr>
      </w:pPr>
      <w:r>
        <w:rPr>
          <w:b/>
          <w:bCs/>
        </w:rPr>
        <w:t xml:space="preserve">New analyses.</w:t>
      </w:r>
      <w:r>
        <w:t xml:space="preserve"> </w:t>
      </w:r>
      <w:r>
        <w:t xml:space="preserve">We extended the annual mortality record to 2026 and added per-stem mortality and growth by taxon, sapling densities and replacement ratios (rebuilt Fig. 6), a comparison across the exclosure fence line, and a topography-matched robustness check.</w:t>
      </w:r>
    </w:p>
    <w:p>
      <w:pPr>
        <w:pStyle w:val="Compact"/>
        <w:numPr>
          <w:ilvl w:val="0"/>
          <w:numId w:val="1001"/>
        </w:numPr>
      </w:pPr>
      <w:r>
        <w:rPr>
          <w:b/>
          <w:bCs/>
        </w:rPr>
        <w:t xml:space="preserve">Framing.</w:t>
      </w:r>
      <w:r>
        <w:t xml:space="preserve"> </w:t>
      </w:r>
      <w:r>
        <w:t xml:space="preserve">The paper now concerns C uptake and storage by living trees. We removed the tipping-point language and the Earth System Model paragraph, made statements about the future conditional on stated assumptions, and added Discussion paragraphs on dead wood and soil C, non-indigenous plants, the American chestnut analogy and the study’s limitations.</w:t>
      </w:r>
    </w:p>
    <w:p>
      <w:pPr>
        <w:pStyle w:val="FirstParagraph"/>
      </w:pPr>
      <w:r>
        <w:t xml:space="preserve">Below, the editor’s and reviewers’ comments are reproduced in full, each followed by our response.</w:t>
      </w:r>
    </w:p>
    <w:bookmarkEnd w:id="19"/>
    <w:bookmarkStart w:id="20" w:name="editor"/>
    <w:p>
      <w:pPr>
        <w:pStyle w:val="Heading1"/>
      </w:pPr>
      <w:r>
        <w:t xml:space="preserve">Editor</w:t>
      </w:r>
    </w:p>
    <w:p>
      <w:pPr>
        <w:pStyle w:val="FirstParagraph"/>
      </w:pPr>
      <w:r>
        <w:t xml:space="preserve">The paper you submitted to New Phytologist, “ Nuisance species compromise carbon sequestration potential in an Eastern US temperate deciduous forest” (NPH-MS-2024-46851) has been read by three reviewers, whose comments are below. The reviewers agreed that this is a well written paper on an interesting and important topic, and they recognize the value of long-term observations at a well characterized site. Nevertheless, they identified some substantial problems with the current analysis that preclude publication in New Phytologist. However, if you are able to fully address the current shortcomings, you are invited to submit a revised manuscript as a new paper for consideration.</w:t>
      </w:r>
    </w:p>
    <w:p>
      <w:pPr>
        <w:pStyle w:val="BodyText"/>
      </w:pPr>
      <w:r>
        <w:t xml:space="preserve">Although your focus is on temporal trends in carbon storage sequestration, you do not present quantitative data on ecosystem C. Reviewer 1 points out that you have said little about the fate of C in dead trees and have not considered soil C at all. Reviewer 2 discusses the lack of any consideration of variability or any statistical support for your conclusions. The reviewer suggests analyzing variation among quadrants – yes, this would be pseudoreplication, but that is probably better than no replication at all.</w:t>
      </w:r>
    </w:p>
    <w:p>
      <w:pPr>
        <w:pStyle w:val="Compact"/>
        <w:numPr>
          <w:ilvl w:val="0"/>
          <w:numId w:val="1002"/>
        </w:numPr>
      </w:pPr>
      <w:r>
        <w:rPr>
          <w:b/>
          <w:bCs/>
        </w:rPr>
        <w:t xml:space="preserve">Statistics and variability.</w:t>
      </w:r>
      <w:r>
        <w:t xml:space="preserve"> </w:t>
      </w:r>
      <w:r>
        <w:t xml:space="preserve">We now report 95% confidence intervals (CIs) for our quantitative results and test each change over time and each difference between plot regions on which our conclusions rest (new Methods subsection,</w:t>
      </w:r>
      <w:r>
        <w:t xml:space="preserve"> </w:t>
      </w:r>
      <w:r>
        <w:rPr>
          <w:i/>
          <w:iCs/>
        </w:rPr>
        <w:t xml:space="preserve">Statistical analysis</w:t>
      </w:r>
      <w:r>
        <w:t xml:space="preserve">). The rebuilt regeneration results (Fig. 6) are also reported with CIs.</w:t>
      </w:r>
    </w:p>
    <w:p>
      <w:pPr>
        <w:pStyle w:val="Compact"/>
        <w:numPr>
          <w:ilvl w:val="1"/>
          <w:numId w:val="1003"/>
        </w:numPr>
      </w:pPr>
      <w:r>
        <w:t xml:space="preserve">We treat the 20 × 20 m quadrats as replicates, acknowledging that this is pseudoreplication, as the editor anticipated.</w:t>
      </w:r>
    </w:p>
    <w:p>
      <w:pPr>
        <w:pStyle w:val="Compact"/>
        <w:numPr>
          <w:ilvl w:val="1"/>
          <w:numId w:val="1003"/>
        </w:numPr>
      </w:pPr>
      <w:r>
        <w:t xml:space="preserve">We estimate 95% confidence intervals (CIs) with a studentized (bootstrap-t) bootstrap of quadrat means with 10,000 resamples. In simulations based on our data it gave close to nominal coverage for skewed quadrat-level fluxes.</w:t>
      </w:r>
    </w:p>
    <w:p>
      <w:pPr>
        <w:pStyle w:val="Compact"/>
        <w:numPr>
          <w:ilvl w:val="1"/>
          <w:numId w:val="1003"/>
        </w:numPr>
      </w:pPr>
      <w:r>
        <w:t xml:space="preserve">Changes over time are tested as paired, within-quadrat differences, and differences between plot regions as bootstrapped differences (and, for recruitment, ratios).</w:t>
      </w:r>
    </w:p>
    <w:p>
      <w:pPr>
        <w:pStyle w:val="Compact"/>
        <w:numPr>
          <w:ilvl w:val="1"/>
          <w:numId w:val="1003"/>
        </w:numPr>
      </w:pPr>
      <w:r>
        <w:t xml:space="preserve">Spatial autocorrelation was assessed with Moran’s I correlograms. Variables that were spatially clustered (AGB stocks, AWR and recruitment) are resampled in 60 × 60 m blocks. Understory recruitment and AWR were clustered over longer distances, so their differences between regions are described without CIs, and recruitment CIs are given for group totals only.</w:t>
      </w:r>
    </w:p>
    <w:p>
      <w:pPr>
        <w:pStyle w:val="Compact"/>
        <w:numPr>
          <w:ilvl w:val="1"/>
          <w:numId w:val="1003"/>
        </w:numPr>
      </w:pPr>
      <w:r>
        <w:t xml:space="preserve">Figs 2, 4 and 5 show 95% CIs, and Fig. 3b shows CIs for mean annual mortality in each period. Annual values by species (Fig. 3a) are shown without CIs, as a description of which species drove the changes. Fig. 6 is now a pair of maps; its values by plot region are given with CIs in the Results.</w:t>
      </w:r>
    </w:p>
    <w:p>
      <w:pPr>
        <w:pStyle w:val="Compact"/>
        <w:numPr>
          <w:ilvl w:val="0"/>
          <w:numId w:val="1002"/>
        </w:numPr>
      </w:pPr>
      <w:r>
        <w:rPr>
          <w:b/>
          <w:bCs/>
        </w:rPr>
        <w:t xml:space="preserve">Fate of C in dead trees and soil C.</w:t>
      </w:r>
      <w:r>
        <w:t xml:space="preserve"> </w:t>
      </w:r>
      <w:r>
        <w:t xml:space="preserve">We now state throughout that our analysis concerns C uptake (growth and active sequestration) and storage by living trees, not a full C accounting (Summary, Introduction, Discussion). A new Discussion paragraph explains that trees killed by nuisance species stop taking up C while the C in their wood moves to standing dead trees and coarse woody debris, which decompose over decades, a pool we do not account for; that belowground biomass is expected to change roughly in proportion to aboveground biomass; and that soil respiration is likely to increase under canopy gaps (see Reviewer 1).</w:t>
      </w:r>
    </w:p>
    <w:p>
      <w:pPr>
        <w:pStyle w:val="FirstParagraph"/>
      </w:pPr>
      <w:r>
        <w:t xml:space="preserve">Reviewer 2 and 3 both question your unsubstantiated statements about long-term trends and the provocative conclusion about a tipping point or possible transition to a net C source. I think that in this regard, some analysis of both near-term and long-term trends of forest growth and dynamics at the site prior to the current study could be useful (site history, tree-ring analysis?). For example, had you done this study a century ago when a nuisance species was decimating the American chestnut (perhaps not at this particular site, but certainly at similar Appalachian forests), would you have made similar conclusions about transition to lower biomass forest and perhaps a C source?</w:t>
      </w:r>
    </w:p>
    <w:p>
      <w:pPr>
        <w:pStyle w:val="Compact"/>
        <w:numPr>
          <w:ilvl w:val="0"/>
          <w:numId w:val="1004"/>
        </w:numPr>
      </w:pPr>
      <w:r>
        <w:rPr>
          <w:b/>
          <w:bCs/>
        </w:rPr>
        <w:t xml:space="preserve">Near-term trends.</w:t>
      </w:r>
      <w:r>
        <w:t xml:space="preserve"> </w:t>
      </w:r>
      <w:r>
        <w:t xml:space="preserve">We extended the annual tree-mortality record from 2023 to 2026 (Fig. 3).</w:t>
      </w:r>
    </w:p>
    <w:p>
      <w:pPr>
        <w:pStyle w:val="Compact"/>
        <w:numPr>
          <w:ilvl w:val="1"/>
          <w:numId w:val="1005"/>
        </w:numPr>
      </w:pPr>
      <w:r>
        <w:t xml:space="preserve">Mortality of</w:t>
      </w:r>
      <w:r>
        <w:t xml:space="preserve"> </w:t>
      </w:r>
      <w:r>
        <w:rPr>
          <w:i/>
          <w:iCs/>
        </w:rPr>
        <w:t xml:space="preserve">Fraxinus americana</w:t>
      </w:r>
      <w:r>
        <w:t xml:space="preserve">, the largest single contributor to the 2018–2023 increase in mortality (55% of the rise from 2014–2018 to 2019–2023), peaked at 2.55 Mg C ha</w:t>
      </w:r>
      <w:r>
        <w:rPr>
          <w:vertAlign w:val="superscript"/>
        </w:rPr>
        <w:t xml:space="preserve">-1</w:t>
      </w:r>
      <w:r>
        <w:t xml:space="preserve"> </w:t>
      </w:r>
      <w:r>
        <w:t xml:space="preserve">yr</w:t>
      </w:r>
      <w:r>
        <w:rPr>
          <w:vertAlign w:val="superscript"/>
        </w:rPr>
        <w:t xml:space="preserve">-1</w:t>
      </w:r>
      <w:r>
        <w:t xml:space="preserve"> </w:t>
      </w:r>
      <w:r>
        <w:t xml:space="preserve">in 2020. Because most ash ≥ 10 cm have now died (433 live stems in 2008, 71 in 2023 and 51 in the 2026 survey), it fell to 0.09, 0.01 and 0.03 Mg C ha</w:t>
      </w:r>
      <w:r>
        <w:rPr>
          <w:vertAlign w:val="superscript"/>
        </w:rPr>
        <w:t xml:space="preserve">-1</w:t>
      </w:r>
      <w:r>
        <w:t xml:space="preserve"> </w:t>
      </w:r>
      <w:r>
        <w:t xml:space="preserve">yr</w:t>
      </w:r>
      <w:r>
        <w:rPr>
          <w:vertAlign w:val="superscript"/>
        </w:rPr>
        <w:t xml:space="preserve">-1</w:t>
      </w:r>
      <w:r>
        <w:t xml:space="preserve"> </w:t>
      </w:r>
      <w:r>
        <w:t xml:space="preserve">in 2024, 2025 and 2026.</w:t>
      </w:r>
    </w:p>
    <w:p>
      <w:pPr>
        <w:pStyle w:val="Compact"/>
        <w:numPr>
          <w:ilvl w:val="1"/>
          <w:numId w:val="1005"/>
        </w:numPr>
      </w:pPr>
      <w:r>
        <w:t xml:space="preserve">By 2024–2026, plot-wide mortality did not differ detectably from its 2014–2018 level: the change was 0.31 (−0.14 to 0.89) Mg C ha</w:t>
      </w:r>
      <w:r>
        <w:rPr>
          <w:vertAlign w:val="superscript"/>
        </w:rPr>
        <w:t xml:space="preserve">-1</w:t>
      </w:r>
      <w:r>
        <w:t xml:space="preserve"> </w:t>
      </w:r>
      <w:r>
        <w:t xml:space="preserve">yr</w:t>
      </w:r>
      <w:r>
        <w:rPr>
          <w:vertAlign w:val="superscript"/>
        </w:rPr>
        <w:t xml:space="preserve">-1</w:t>
      </w:r>
      <w:r>
        <w:t xml:space="preserve">.</w:t>
      </w:r>
    </w:p>
    <w:p>
      <w:pPr>
        <w:pStyle w:val="Compact"/>
        <w:numPr>
          <w:ilvl w:val="1"/>
          <w:numId w:val="1005"/>
        </w:numPr>
      </w:pPr>
      <w:r>
        <w:t xml:space="preserve">Inside the deer exclosure, mortality was higher in 2024–2026 than in 2014–2018, by 2.26 (0.65–6.09) Mg C ha</w:t>
      </w:r>
      <w:r>
        <w:rPr>
          <w:vertAlign w:val="superscript"/>
        </w:rPr>
        <w:t xml:space="preserve">-1</w:t>
      </w:r>
      <w:r>
        <w:t xml:space="preserve"> </w:t>
      </w:r>
      <w:r>
        <w:t xml:space="preserve">yr</w:t>
      </w:r>
      <w:r>
        <w:rPr>
          <w:vertAlign w:val="superscript"/>
        </w:rPr>
        <w:t xml:space="preserve">-1</w:t>
      </w:r>
      <w:r>
        <w:t xml:space="preserve">, driven mainly by the deaths of a few large oaks.</w:t>
      </w:r>
    </w:p>
    <w:p>
      <w:pPr>
        <w:pStyle w:val="Compact"/>
        <w:numPr>
          <w:ilvl w:val="1"/>
          <w:numId w:val="1005"/>
        </w:numPr>
      </w:pPr>
      <w:r>
        <w:t xml:space="preserve">The elevated mortality of 2018–2023 therefore does not by itself imply continued high mortality, and we revised our statements about future trends accordingly (below).</w:t>
      </w:r>
    </w:p>
    <w:p>
      <w:pPr>
        <w:pStyle w:val="Compact"/>
        <w:numPr>
          <w:ilvl w:val="0"/>
          <w:numId w:val="1004"/>
        </w:numPr>
      </w:pPr>
      <w:r>
        <w:rPr>
          <w:b/>
          <w:bCs/>
        </w:rPr>
        <w:t xml:space="preserve">Tipping point and net C source.</w:t>
      </w:r>
      <w:r>
        <w:t xml:space="preserve"> </w:t>
      </w:r>
      <w:r>
        <w:t xml:space="preserve">We removed the</w:t>
      </w:r>
      <w:r>
        <w:t xml:space="preserve"> </w:t>
      </w:r>
      <w:r>
        <w:t xml:space="preserve">“critical transition”</w:t>
      </w:r>
      <w:r>
        <w:t xml:space="preserve"> </w:t>
      </w:r>
      <w:r>
        <w:t xml:space="preserve">and</w:t>
      </w:r>
      <w:r>
        <w:t xml:space="preserve"> </w:t>
      </w:r>
      <w:r>
        <w:t xml:space="preserve">“net source of C”</w:t>
      </w:r>
      <w:r>
        <w:t xml:space="preserve"> </w:t>
      </w:r>
      <w:r>
        <w:t xml:space="preserve">statements from the Summary. Its last bullet is now conditional and states its assumptions: if deer densities remain high and pests and pathogens continue to remove canopy species, canopy trees that die may not be replaced, and the C sequestration of these forests is potentially endangered by nuisance species. In the Introduction, we replaced the tipping-point framing with the regeneration debt: a forest’s recovery from disturbance depends on whether enough juveniles are present to replace the canopy trees that die. Hypothesis 3 now states its assumption (</w:t>
      </w:r>
      <w:r>
        <w:t xml:space="preserve">“while deer densities remain high”</w:t>
      </w:r>
      <w:r>
        <w:t xml:space="preserve">). In the Discussion, statements about the future are now conditional and state their assumptions, presenting alternative scenarios: if oak decline continues and further pests and pathogens arrive, mortality may rise again, and if deer densities also remain high, canopy trees that die are unlikely to be replaced by canopy species; if deer densities fall, the recruitment of canopy species inside the exclosure suggests that canopy species could regenerate in the gaps.</w:t>
      </w:r>
    </w:p>
    <w:p>
      <w:pPr>
        <w:pStyle w:val="Compact"/>
        <w:numPr>
          <w:ilvl w:val="0"/>
          <w:numId w:val="1004"/>
        </w:numPr>
      </w:pPr>
      <w:r>
        <w:rPr>
          <w:b/>
          <w:bCs/>
        </w:rPr>
        <w:t xml:space="preserve">Site history and the American chestnut.</w:t>
      </w:r>
      <w:r>
        <w:t xml:space="preserve"> </w:t>
      </w:r>
      <w:r>
        <w:t xml:space="preserve">We added a Discussion paragraph on this analogy. A census during chestnut’s decline would likely also have recorded falling live biomass, yet those forests kept a closed canopy, largely because oaks and other species already present grew into the gaps. Two differences make a similar recovery less certain today: deer were then scarce across much of the eastern US, whereas we found few canopy-species saplings outside the exclosure; and oaks, which largely replaced chestnut, are now themselves recruiting poorly and experiencing rising mortality. Other non-indigenous pests and pathogens also threaten the remaining canopy species, including beech leaf disease, recently discovered in our plot. Rather than a new tree-ring analysis, we summarize the published tree-ring record of woody productivity at this plot (CITE: Helcoski et al. 2019) and compare our 2008–2023 trends with it.</w:t>
      </w:r>
      <w:r>
        <w:t xml:space="preserve"> </w:t>
      </w:r>
      <w:r>
        <w:rPr>
          <w:rStyle w:val="RevisedText"/>
          <w:b/>
          <w:bCs/>
        </w:rPr>
        <w:t xml:space="preserve">[CHECK: Luca adds this comparison here and in the Discussion paragraph.]</w:t>
      </w:r>
    </w:p>
    <w:p>
      <w:pPr>
        <w:pStyle w:val="FirstParagraph"/>
      </w:pPr>
      <w:r>
        <w:t xml:space="preserve">You emphasize that the effect of nuisance species should be included in models, but you provide no guidance on how this might be accomplished.</w:t>
      </w:r>
    </w:p>
    <w:p>
      <w:pPr>
        <w:pStyle w:val="Compact"/>
        <w:numPr>
          <w:ilvl w:val="0"/>
          <w:numId w:val="1006"/>
        </w:numPr>
      </w:pPr>
      <w:r>
        <w:t xml:space="preserve">We removed the paragraph on incorporating nuisance species into Earth System Models, keeping only a brief statement that models projecting continued C accumulation in these forests do not account for these processes.</w:t>
      </w:r>
    </w:p>
    <w:p>
      <w:pPr>
        <w:pStyle w:val="FirstParagraph"/>
      </w:pPr>
      <w:r>
        <w:t xml:space="preserve">If you choose to revise your manuscript for reconsideration by New Phytologist, please address the other suggestions and concerns of the reviewers in addition to the major ones highlighted above. You should submit your revision via Manuscript Central as a new paper (see instructions below), and it will be sent out for review again. You will be asked to include a detailed description of how you responded to each of the reviewers’ comments. Please note that it is the policy of New Phytologist to permit only one such resubmission, and I think that in this case the bar is high for a revision that meets all of these concerns. If on the other hand you decide instead to send your paper to another journal, I do hope you will find these reviewers’ comments helpful.</w:t>
      </w:r>
    </w:p>
    <w:p>
      <w:pPr>
        <w:pStyle w:val="BodyText"/>
      </w:pPr>
      <w:r>
        <w:t xml:space="preserve">Thank you for submitting your work to New Phytologist.</w:t>
      </w:r>
    </w:p>
    <w:p>
      <w:pPr>
        <w:pStyle w:val="BodyText"/>
      </w:pPr>
      <w:r>
        <w:t xml:space="preserve">Sincerely,</w:t>
      </w:r>
    </w:p>
    <w:p>
      <w:pPr>
        <w:pStyle w:val="BodyText"/>
      </w:pPr>
      <w:r>
        <w:t xml:space="preserve">Richard Norby</w:t>
      </w:r>
      <w:r>
        <w:br/>
      </w:r>
      <w:r>
        <w:t xml:space="preserve">Editor, New Phytologist</w:t>
      </w:r>
    </w:p>
    <w:bookmarkEnd w:id="20"/>
    <w:bookmarkStart w:id="21" w:name="referee-1"/>
    <w:p>
      <w:pPr>
        <w:pStyle w:val="Heading1"/>
      </w:pPr>
      <w:r>
        <w:t xml:space="preserve">Referee: 1</w:t>
      </w:r>
    </w:p>
    <w:p>
      <w:pPr>
        <w:pStyle w:val="FirstParagraph"/>
      </w:pPr>
      <w:r>
        <w:t xml:space="preserve">In this paper titled “Nuisance species compromise carbon sequestration potential in an Eastern US temperate deciduous forest” Morreale et al. describe different aspects of carbon accumulation at a 25.6-hectare Forest plot that are very well studied. Results are very interesting and eye opening, since they found that problematic animals and microbes can drastically reduce carbon sequestration and storage. I have some questions about the paper and some suggestions.</w:t>
      </w:r>
    </w:p>
    <w:p>
      <w:pPr>
        <w:pStyle w:val="Compact"/>
        <w:numPr>
          <w:ilvl w:val="0"/>
          <w:numId w:val="1007"/>
        </w:numPr>
      </w:pPr>
      <w:r>
        <w:t xml:space="preserve">Thank you.</w:t>
      </w:r>
    </w:p>
    <w:p>
      <w:pPr>
        <w:pStyle w:val="FirstParagraph"/>
      </w:pPr>
      <w:r>
        <w:t xml:space="preserve">My main concern is how some of these numbers were calculated. Based on my reading (but I may be confused) they seem to imply that dead trees do not sequester carbon. Although it is clear that dead trees stop increasing their biomass, they keep their carbon for decades (carbon storage) and in the meantime younger trees occupy their space since more light reach the understory. The authors show a 50% decrease in late succession species in areas with high density of deer. But you only need one tree to replace another, so even a 50% decrease may not imply that there will not be replacement. I am not an expert on the models used here (and I guess that most readers are not), so some clarification on this can be important.</w:t>
      </w:r>
    </w:p>
    <w:p>
      <w:pPr>
        <w:pStyle w:val="Compact"/>
        <w:numPr>
          <w:ilvl w:val="0"/>
          <w:numId w:val="1008"/>
        </w:numPr>
      </w:pPr>
      <w:r>
        <w:rPr>
          <w:b/>
          <w:bCs/>
        </w:rPr>
        <w:t xml:space="preserve">How the numbers were calculated.</w:t>
      </w:r>
      <w:r>
        <w:t xml:space="preserve"> </w:t>
      </w:r>
      <w:r>
        <w:t xml:space="preserve">The Methods now define each biomass flux:</w:t>
      </w:r>
    </w:p>
    <w:p>
      <w:pPr>
        <w:pStyle w:val="Compact"/>
        <w:numPr>
          <w:ilvl w:val="1"/>
          <w:numId w:val="1009"/>
        </w:numPr>
      </w:pPr>
      <w:r>
        <w:t xml:space="preserve">growth of surviving stems (AWG);</w:t>
      </w:r>
    </w:p>
    <w:p>
      <w:pPr>
        <w:pStyle w:val="Compact"/>
        <w:numPr>
          <w:ilvl w:val="1"/>
          <w:numId w:val="1009"/>
        </w:numPr>
      </w:pPr>
      <w:r>
        <w:t xml:space="preserve">mortality (AWM), now also including stems that broke below breast height;</w:t>
      </w:r>
    </w:p>
    <w:p>
      <w:pPr>
        <w:pStyle w:val="Compact"/>
        <w:numPr>
          <w:ilvl w:val="1"/>
          <w:numId w:val="1009"/>
        </w:numPr>
      </w:pPr>
      <w:r>
        <w:t xml:space="preserve">recruitment (AWR);</w:t>
      </w:r>
    </w:p>
    <w:p>
      <w:pPr>
        <w:pStyle w:val="Compact"/>
        <w:numPr>
          <w:ilvl w:val="1"/>
          <w:numId w:val="1009"/>
        </w:numPr>
      </w:pPr>
      <w:r>
        <w:t xml:space="preserve">the carbon fraction (0.47);</w:t>
      </w:r>
    </w:p>
    <w:p>
      <w:pPr>
        <w:pStyle w:val="Compact"/>
        <w:numPr>
          <w:ilvl w:val="1"/>
          <w:numId w:val="1009"/>
        </w:numPr>
      </w:pPr>
      <w:r>
        <w:t xml:space="preserve">annual mortality from the yearly surveys.</w:t>
      </w:r>
    </w:p>
    <w:p>
      <w:pPr>
        <w:pStyle w:val="Compact"/>
        <w:numPr>
          <w:ilvl w:val="0"/>
          <w:numId w:val="1008"/>
        </w:numPr>
      </w:pPr>
      <w:r>
        <w:rPr>
          <w:b/>
          <w:bCs/>
        </w:rPr>
        <w:t xml:space="preserve">Recruitment numbers.</w:t>
      </w:r>
      <w:r>
        <w:t xml:space="preserve"> </w:t>
      </w:r>
      <w:r>
        <w:t xml:space="preserve">Recruitment is now reported as new individuals per hectare of each plot region per year, averaged over all quadrats (the submitted figures averaged only over quadrats where a taxon recruited).</w:t>
      </w:r>
    </w:p>
    <w:p>
      <w:pPr>
        <w:pStyle w:val="Compact"/>
        <w:numPr>
          <w:ilvl w:val="1"/>
          <w:numId w:val="1010"/>
        </w:numPr>
      </w:pPr>
      <w:r>
        <w:t xml:space="preserve">Inside the deer exclosure, canopy species recruited at 15.52 new individuals ha</w:t>
      </w:r>
      <w:r>
        <w:rPr>
          <w:vertAlign w:val="superscript"/>
        </w:rPr>
        <w:t xml:space="preserve">-1</w:t>
      </w:r>
      <w:r>
        <w:t xml:space="preserve"> </w:t>
      </w:r>
      <w:r>
        <w:t xml:space="preserve">yr</w:t>
      </w:r>
      <w:r>
        <w:rPr>
          <w:vertAlign w:val="superscript"/>
        </w:rPr>
        <w:t xml:space="preserve">-1</w:t>
      </w:r>
      <w:r>
        <w:t xml:space="preserve">, compared with 0.50 and 0.68 outside it; the ratios are 31 (14–63) and 23 (9–51).</w:t>
      </w:r>
    </w:p>
    <w:p>
      <w:pPr>
        <w:pStyle w:val="Compact"/>
        <w:numPr>
          <w:ilvl w:val="1"/>
          <w:numId w:val="1010"/>
        </w:numPr>
      </w:pPr>
      <w:r>
        <w:t xml:space="preserve">For</w:t>
      </w:r>
      <w:r>
        <w:t xml:space="preserve"> </w:t>
      </w:r>
      <w:r>
        <w:rPr>
          <w:i/>
          <w:iCs/>
        </w:rPr>
        <w:t xml:space="preserve">Quercus</w:t>
      </w:r>
      <w:r>
        <w:t xml:space="preserve"> </w:t>
      </w:r>
      <w:r>
        <w:t xml:space="preserve">and</w:t>
      </w:r>
      <w:r>
        <w:t xml:space="preserve"> </w:t>
      </w:r>
      <w:r>
        <w:rPr>
          <w:i/>
          <w:iCs/>
        </w:rPr>
        <w:t xml:space="preserve">Carya</w:t>
      </w:r>
      <w:r>
        <w:t xml:space="preserve">, recruitment outside the exclosure was more than 90% lower (point estimates), not merely the</w:t>
      </w:r>
      <w:r>
        <w:t xml:space="preserve"> </w:t>
      </w:r>
      <w:r>
        <w:t xml:space="preserve">“&gt; 50%”</w:t>
      </w:r>
      <w:r>
        <w:t xml:space="preserve"> </w:t>
      </w:r>
      <w:r>
        <w:t xml:space="preserve">we reported. Because these taxa recruited in very few quadrats outside the fence (</w:t>
      </w:r>
      <w:r>
        <w:rPr>
          <w:i/>
          <w:iCs/>
        </w:rPr>
        <w:t xml:space="preserve">Quercus</w:t>
      </w:r>
      <w:r>
        <w:t xml:space="preserve"> </w:t>
      </w:r>
      <w:r>
        <w:t xml:space="preserve">in 2 of 408 and 2 of 56 quadrats), the exact percentages are uncertain.</w:t>
      </w:r>
    </w:p>
    <w:p>
      <w:pPr>
        <w:pStyle w:val="Compact"/>
        <w:numPr>
          <w:ilvl w:val="1"/>
          <w:numId w:val="1010"/>
        </w:numPr>
      </w:pPr>
      <w:r>
        <w:t xml:space="preserve">Excluding taxa vulnerable to non-indigenous pests and pathogens (mostly ash and elm), which are unlikely to reach the canopy, the contrast is similar.</w:t>
      </w:r>
    </w:p>
    <w:p>
      <w:pPr>
        <w:pStyle w:val="Compact"/>
        <w:numPr>
          <w:ilvl w:val="0"/>
          <w:numId w:val="1008"/>
        </w:numPr>
      </w:pPr>
      <w:r>
        <w:rPr>
          <w:b/>
          <w:bCs/>
        </w:rPr>
        <w:t xml:space="preserve">Dead trees keep their carbon.</w:t>
      </w:r>
      <w:r>
        <w:t xml:space="preserve"> </w:t>
      </w:r>
      <w:r>
        <w:t xml:space="preserve">We now make explicit that our results concern living aboveground biomass and its rate of C uptake: trees killed prematurely stop taking up C, while the C in their wood is released gradually as it decays. A new Discussion paragraph notes that dead trees retain C as standing dead trees and coarse woody debris for decades, and that this study does not account for that pool.</w:t>
      </w:r>
    </w:p>
    <w:p>
      <w:pPr>
        <w:pStyle w:val="Compact"/>
        <w:numPr>
          <w:ilvl w:val="0"/>
          <w:numId w:val="1008"/>
        </w:numPr>
      </w:pPr>
      <w:r>
        <w:rPr>
          <w:b/>
          <w:bCs/>
        </w:rPr>
        <w:t xml:space="preserve">“One tree to replace another.”</w:t>
      </w:r>
      <w:r>
        <w:t xml:space="preserve"> </w:t>
      </w:r>
      <w:r>
        <w:t xml:space="preserve">We now compare saplings with canopy trees (rebuilt Fig. 6; Results). Inside the exclosure there were 1.30 (0.90–1.88) canopy-species saplings (1–3 cm dbh) per canopy-species tree ≥ 20 cm dbh, but only 0.08 (0.06–0.12) and 0.16 (0.07–0.44) outside it, before any sapling mortality. Poles (3–10 cm dbh), which can fill gaps in the near term, did not differ detectably between the exclosure and the high deer, low canopy vulnerability forest, but were scarce in the high deer, high canopy vulnerability region, where the canopy lost the most biomass (47 [28–74] vs 125 [104–148] stems ha</w:t>
      </w:r>
      <w:r>
        <w:rPr>
          <w:vertAlign w:val="superscript"/>
        </w:rPr>
        <w:t xml:space="preserve">-1</w:t>
      </w:r>
      <w:r>
        <w:t xml:space="preserve">). We compare these values with published thresholds for adequate regeneration in the Discussion.</w:t>
      </w:r>
      <w:r>
        <w:t xml:space="preserve"> </w:t>
      </w:r>
      <w:r>
        <w:rPr>
          <w:rStyle w:val="RevisedText"/>
          <w:b/>
          <w:bCs/>
        </w:rPr>
        <w:t xml:space="preserve">[CHECK: threshold value and size class to be confirmed by Luca.]</w:t>
      </w:r>
    </w:p>
    <w:p>
      <w:pPr>
        <w:pStyle w:val="FirstParagraph"/>
      </w:pPr>
      <w:r>
        <w:t xml:space="preserve">The first thing I thought when I read the title was about invasive plants, not animals and pathogens. You are focused here only is a subset of “nuisance species”. I wonder if results would change if you considered weeds in the mix (including nonnative trees). We have done some research on related topics (tree invasion in treeless areas, see for example papers titled “Unintended consequences of planting native and non-native trees in treeless ecosystems to mitigate climate change” or “Should tree invasions be used in treeless ecosystems to mitigate climate change?”) and it likely that even in your sites invasive plants actually reduce carbon, but it would be interesting if you mention something about nonnative plants in the discussion. Alternatively, you can change the title to make it more clear to what you are referring to. Lots of readers of this journal are plant focused.</w:t>
      </w:r>
    </w:p>
    <w:p>
      <w:pPr>
        <w:pStyle w:val="Compact"/>
        <w:numPr>
          <w:ilvl w:val="0"/>
          <w:numId w:val="1011"/>
        </w:numPr>
      </w:pPr>
      <w:r>
        <w:t xml:space="preserve">We now note in the site description that non-native woody species, such as autumn olive (</w:t>
      </w:r>
      <w:r>
        <w:rPr>
          <w:i/>
          <w:iCs/>
        </w:rPr>
        <w:t xml:space="preserve">Elaeagnus umbellata</w:t>
      </w:r>
      <w:r>
        <w:t xml:space="preserve">), multiflora rose (</w:t>
      </w:r>
      <w:r>
        <w:rPr>
          <w:i/>
          <w:iCs/>
        </w:rPr>
        <w:t xml:space="preserve">Rosa multiflora</w:t>
      </w:r>
      <w:r>
        <w:t xml:space="preserve">), Japanese barberry (</w:t>
      </w:r>
      <w:r>
        <w:rPr>
          <w:i/>
          <w:iCs/>
        </w:rPr>
        <w:t xml:space="preserve">Berberis thunbergii</w:t>
      </w:r>
      <w:r>
        <w:t xml:space="preserve">) and the tree-of-heaven (</w:t>
      </w:r>
      <w:r>
        <w:rPr>
          <w:i/>
          <w:iCs/>
        </w:rPr>
        <w:t xml:space="preserve">Ailanthus altissima</w:t>
      </w:r>
      <w:r>
        <w:t xml:space="preserve">), occur in the plot, citing previous work at this site. We also added a Discussion paragraph on non-indigenous plants: they are an important group of nuisance species that we did not analyze; deer browsing favors their spread; invasive understory plants can further suppress the regeneration of canopy trees, adding to the effects of deer we observed; and their direct effect on forest C is less clear, as invasive shrubs and herbs hold far less biomass than the canopy trees whose regeneration they may suppress.</w:t>
      </w:r>
    </w:p>
    <w:p>
      <w:pPr>
        <w:pStyle w:val="Compact"/>
        <w:numPr>
          <w:ilvl w:val="0"/>
          <w:numId w:val="1011"/>
        </w:numPr>
      </w:pPr>
      <w:r>
        <w:t xml:space="preserve">We have kept the title, because</w:t>
      </w:r>
      <w:r>
        <w:t xml:space="preserve"> </w:t>
      </w:r>
      <w:r>
        <w:t xml:space="preserve">“nuisance species”</w:t>
      </w:r>
      <w:r>
        <w:t xml:space="preserve"> </w:t>
      </w:r>
      <w:r>
        <w:t xml:space="preserve">as we define it covers overabundant native herbivores as well as non-native pests and pathogens. The Introduction now states which nuisance species we analyze and that invasive plants are not among them:</w:t>
      </w:r>
      <w:r>
        <w:t xml:space="preserve"> </w:t>
      </w:r>
      <w:r>
        <w:t xml:space="preserve">“Here, we focus on two kinds of nuisance species: non-indigenous insect pests and pathogens of canopy trees, and an overabundant indigenous herbivore, white-tailed deer. Invasive non-indigenous plants are another group of nuisance species in these forests, but we do not analyze them here.”</w:t>
      </w:r>
    </w:p>
    <w:p>
      <w:pPr>
        <w:pStyle w:val="FirstParagraph"/>
      </w:pPr>
      <w:r>
        <w:t xml:space="preserve">The article highlighted the limitations that this was done only in one area, but there is another key limitation in my opinion. It is about the lack of data of soil carbon and belowground biomass. If we are curious about carbon sequestration in forests, soils are truly a fundamental part. Some discussion on this would be important.</w:t>
      </w:r>
    </w:p>
    <w:p>
      <w:pPr>
        <w:pStyle w:val="Compact"/>
        <w:numPr>
          <w:ilvl w:val="0"/>
          <w:numId w:val="1012"/>
        </w:numPr>
      </w:pPr>
      <w:r>
        <w:t xml:space="preserve">The same new Discussion paragraph discusses belowground biomass, which is expected to change roughly in proportion to aboveground biomass, and soil respiration, which is likely to increase under canopy gaps, and states that measurements of these pools would be needed to determine the net effect of nuisance species on ecosystem C.</w:t>
      </w:r>
    </w:p>
    <w:p>
      <w:pPr>
        <w:pStyle w:val="FirstParagraph"/>
      </w:pPr>
      <w:r>
        <w:t xml:space="preserve">All in all, this paper has some limitations but the data is indeed very interesting. I hope the authors can address these issues.</w:t>
      </w:r>
    </w:p>
    <w:p>
      <w:pPr>
        <w:pStyle w:val="Compact"/>
        <w:numPr>
          <w:ilvl w:val="0"/>
          <w:numId w:val="1013"/>
        </w:numPr>
      </w:pPr>
      <w:r>
        <w:t xml:space="preserve">Thank you.</w:t>
      </w:r>
    </w:p>
    <w:bookmarkEnd w:id="21"/>
    <w:bookmarkStart w:id="25" w:name="referee-2"/>
    <w:p>
      <w:pPr>
        <w:pStyle w:val="Heading1"/>
      </w:pPr>
      <w:r>
        <w:t xml:space="preserve">Referee: 2</w:t>
      </w:r>
    </w:p>
    <w:bookmarkStart w:id="22" w:name="synopsis"/>
    <w:p>
      <w:pPr>
        <w:pStyle w:val="Heading2"/>
      </w:pPr>
      <w:r>
        <w:t xml:space="preserve">Synopsis:</w:t>
      </w:r>
    </w:p>
    <w:p>
      <w:pPr>
        <w:pStyle w:val="FirstParagraph"/>
      </w:pPr>
      <w:r>
        <w:t xml:space="preserve">Morreale et al. present a study of forest carbon dynamics in portions of the SCBI ForestGEO plot representing different scenarios of canopy tree pest/pathogens and white-tailed deer browsing. They evaluate trends in biomass change, growth, mortality, and recruitment of both the canopy and understory in these different scenarios of pathogens and deer browsing. Overall, they provide evidence that biomass is declining at SCBI, primarily driven by high mortality of Ash trees due to emerald ash borer, that woody growth has not kept pace to offset the high mortality, and that the species dominating woody recruitment are being heavily influenced by deer browsing. The authors posit that this evidence suggest we are overestimating the future temperate forest C sink and that we should be directly incorporating nuisance species into our Earth System Models.</w:t>
      </w:r>
    </w:p>
    <w:bookmarkEnd w:id="22"/>
    <w:bookmarkStart w:id="23" w:name="general-comments"/>
    <w:p>
      <w:pPr>
        <w:pStyle w:val="Heading2"/>
      </w:pPr>
      <w:r>
        <w:t xml:space="preserve">General Comments:</w:t>
      </w:r>
    </w:p>
    <w:p>
      <w:pPr>
        <w:pStyle w:val="FirstParagraph"/>
      </w:pPr>
      <w:r>
        <w:t xml:space="preserve">Overall, I found this study very interesting and the paper to be extremely well written. The topic of nuisance species is an important one in temperate forests, and the interaction between pathogens and deer browsing is critical to the topic. That said, I had substantial concerns when reading the manuscript – mostly relating to the quantitative evidence for the claims made in the text. My largest concerns are the lack of statistical evidence for the claims made and the incomplete study design of the different “treatments” assessed. I have provided sets of general and specific comments that I hope assist the authors in improving the work:</w:t>
      </w:r>
    </w:p>
    <w:p>
      <w:pPr>
        <w:pStyle w:val="Compact"/>
        <w:numPr>
          <w:ilvl w:val="0"/>
          <w:numId w:val="1014"/>
        </w:numPr>
      </w:pPr>
      <w:r>
        <w:t xml:space="preserve">Thank you. We address the two main concerns, the statistical evidence and the incomplete design of the</w:t>
      </w:r>
      <w:r>
        <w:t xml:space="preserve"> </w:t>
      </w:r>
      <w:r>
        <w:t xml:space="preserve">“treatments”</w:t>
      </w:r>
      <w:r>
        <w:t xml:space="preserve">, in the responses below.</w:t>
      </w:r>
    </w:p>
    <w:p>
      <w:pPr>
        <w:pStyle w:val="FirstParagraph"/>
      </w:pPr>
      <w:r>
        <w:t xml:space="preserve">While I appreciate the challenges of running statistics within a single plot and single exclosure area, most of the results section feels weakened by the lack of statistical support for the claims you make. Using 20x20m quadrats as replicates, accounting for spatial autocorrelation, and rarefying to get equal sample sizes or something like that could allow you to run statistical models to evaluate the claims you make with the 4-group figures you currently present. An analysis and paper of this sort needs statistics behind it.</w:t>
      </w:r>
    </w:p>
    <w:p>
      <w:pPr>
        <w:pStyle w:val="Compact"/>
        <w:numPr>
          <w:ilvl w:val="0"/>
          <w:numId w:val="1015"/>
        </w:numPr>
      </w:pPr>
      <w:r>
        <w:rPr>
          <w:b/>
          <w:bCs/>
        </w:rPr>
        <w:t xml:space="preserve">Statistics.</w:t>
      </w:r>
      <w:r>
        <w:t xml:space="preserve"> </w:t>
      </w:r>
      <w:r>
        <w:t xml:space="preserve">We followed this suggestion (Methods,</w:t>
      </w:r>
      <w:r>
        <w:t xml:space="preserve"> </w:t>
      </w:r>
      <w:r>
        <w:rPr>
          <w:i/>
          <w:iCs/>
        </w:rPr>
        <w:t xml:space="preserve">Statistical analysis</w:t>
      </w:r>
      <w:r>
        <w:t xml:space="preserve">).</w:t>
      </w:r>
    </w:p>
    <w:p>
      <w:pPr>
        <w:pStyle w:val="Compact"/>
        <w:numPr>
          <w:ilvl w:val="1"/>
          <w:numId w:val="1016"/>
        </w:numPr>
      </w:pPr>
      <w:r>
        <w:rPr>
          <w:b/>
          <w:bCs/>
        </w:rPr>
        <w:t xml:space="preserve">Quadrats as replicates:</w:t>
      </w:r>
      <w:r>
        <w:t xml:space="preserve"> </w:t>
      </w:r>
      <w:r>
        <w:t xml:space="preserve">the changes over time and the differences between plot regions on which our conclusions rest are reported with 95% bootstrap-t CIs computed from 20 × 20 m quadrats (paired within quadrats for changes over time), and Figs 2, 4 and 5 show CIs for each region’s mean.</w:t>
      </w:r>
    </w:p>
    <w:p>
      <w:pPr>
        <w:pStyle w:val="Compact"/>
        <w:numPr>
          <w:ilvl w:val="1"/>
          <w:numId w:val="1016"/>
        </w:numPr>
      </w:pPr>
      <w:r>
        <w:rPr>
          <w:b/>
          <w:bCs/>
        </w:rPr>
        <w:t xml:space="preserve">Spatial autocorrelation:</w:t>
      </w:r>
      <w:r>
        <w:t xml:space="preserve"> </w:t>
      </w:r>
      <w:r>
        <w:t xml:space="preserve">we examined Moran’s I correlograms for each biomass flux, AGB stock and recruitment variable. Growth, mortality and net change showed negligible autocorrelation (Moran’s I of residuals ≤ 0.06) and are resampled by quadrat. AGB stocks, AWR and recruitment were spatially clustered and are resampled in 3 × 3-quadrat (60 × 60 m) blocks. We note that recruitment CIs may still be somewhat narrow because recruitment is strongly clustered; we therefore give CIs only for recruitment totals, and describe differences in understory recruitment and AWR between regions without CIs, because these were clustered over distances greater than the blocks. Sensitivity analyses of the census-based variables with the alternative resampling scheme are given in the Supporting Information.</w:t>
      </w:r>
    </w:p>
    <w:p>
      <w:pPr>
        <w:pStyle w:val="Compact"/>
        <w:numPr>
          <w:ilvl w:val="0"/>
          <w:numId w:val="1015"/>
        </w:numPr>
      </w:pPr>
      <w:r>
        <w:rPr>
          <w:b/>
          <w:bCs/>
        </w:rPr>
        <w:t xml:space="preserve">Unequal sample sizes.</w:t>
      </w:r>
      <w:r>
        <w:t xml:space="preserve"> </w:t>
      </w:r>
      <w:r>
        <w:t xml:space="preserve">Rather than rarefying, which would discard data, we report CIs, which reflect each region’s sample size directly.</w:t>
      </w:r>
    </w:p>
    <w:p>
      <w:pPr>
        <w:pStyle w:val="Compact"/>
        <w:numPr>
          <w:ilvl w:val="0"/>
          <w:numId w:val="1015"/>
        </w:numPr>
      </w:pPr>
      <w:r>
        <w:rPr>
          <w:b/>
          <w:bCs/>
        </w:rPr>
        <w:t xml:space="preserve">What changed.</w:t>
      </w:r>
      <w:r>
        <w:t xml:space="preserve"> </w:t>
      </w:r>
      <w:r>
        <w:t xml:space="preserve">Several claims were revised in light of the statistics. For example, AGB did not change detectably between 2018 and 2023 in either low canopy vulnerability region: the change was −1.0 (−5.9 to 2.7) Mg C ha</w:t>
      </w:r>
      <w:r>
        <w:rPr>
          <w:vertAlign w:val="superscript"/>
        </w:rPr>
        <w:t xml:space="preserve">-1</w:t>
      </w:r>
      <w:r>
        <w:t xml:space="preserve"> </w:t>
      </w:r>
      <w:r>
        <w:t xml:space="preserve">inside the exclosure and −1.0 (−3.8 to 1.1) outside it. We also removed the submitted statements that mortality of ash, black oak and three other oak species had increased significantly and that mortality was stable in most other species, which no statistical test supported (a rise in oak mortality is now supported by per-stem mortality rates; see our response on the rest of the forest below); the annual mortality series is now summarized by period means with CIs (Fig. 3b).</w:t>
      </w:r>
    </w:p>
    <w:p>
      <w:pPr>
        <w:pStyle w:val="FirstParagraph"/>
      </w:pPr>
      <w:r>
        <w:t xml:space="preserve">The lack of a “high canopy vulnerability, low deer” designation in your study creates some fundamental challenges when interpreting the results – particularly on the influence of deer. The fact that within the exclosure, it looks like 75% of your quadrats have healthy canopies (Fig 6), means that the dynamics within the exclosure could be some combination of few deer, and relatively little canopy mortality. Are there areas within the exclosure that you could use as “high canopy vulnerability” such as the ~17 light blue quadrats in Fig inside the exclosure, or is the reduced canopy biomass in these driven by Oaks?</w:t>
      </w:r>
    </w:p>
    <w:p>
      <w:pPr>
        <w:pStyle w:val="Compact"/>
        <w:numPr>
          <w:ilvl w:val="0"/>
          <w:numId w:val="1017"/>
        </w:numPr>
      </w:pPr>
      <w:r>
        <w:rPr>
          <w:b/>
          <w:bCs/>
        </w:rPr>
        <w:t xml:space="preserve">No</w:t>
      </w:r>
      <w:r>
        <w:rPr>
          <w:b/>
          <w:bCs/>
        </w:rPr>
        <w:t xml:space="preserve"> </w:t>
      </w:r>
      <w:r>
        <w:rPr>
          <w:b/>
          <w:bCs/>
        </w:rPr>
        <w:t xml:space="preserve">“low deer, high vulnerability”</w:t>
      </w:r>
      <w:r>
        <w:rPr>
          <w:b/>
          <w:bCs/>
        </w:rPr>
        <w:t xml:space="preserve"> </w:t>
      </w:r>
      <w:r>
        <w:rPr>
          <w:b/>
          <w:bCs/>
        </w:rPr>
        <w:t xml:space="preserve">group is possible.</w:t>
      </w:r>
      <w:r>
        <w:t xml:space="preserve"> </w:t>
      </w:r>
      <w:r>
        <w:t xml:space="preserve">Only 5 of the 99 exclosure quadrats had more than 20% of their 2008 basal area in vulnerable species (maximum 35%), too few to form such a group; we now say so in the Methods.</w:t>
      </w:r>
    </w:p>
    <w:p>
      <w:pPr>
        <w:pStyle w:val="Compact"/>
        <w:numPr>
          <w:ilvl w:val="0"/>
          <w:numId w:val="1017"/>
        </w:numPr>
      </w:pPr>
      <w:r>
        <w:rPr>
          <w:b/>
          <w:bCs/>
        </w:rPr>
        <w:t xml:space="preserve">The reduced canopy biomass inside the exclosure is driven by oaks.</w:t>
      </w:r>
      <w:r>
        <w:t xml:space="preserve"> </w:t>
      </w:r>
      <w:r>
        <w:t xml:space="preserve">27 exclosure quadrats lost canopy biomass between 2008 and 2023, and 80% (65–90%) of the canopy biomass that died in them was oak (</w:t>
      </w:r>
      <w:r>
        <w:rPr>
          <w:i/>
          <w:iCs/>
        </w:rPr>
        <w:t xml:space="preserve">Quercus velutina</w:t>
      </w:r>
      <w:r>
        <w:t xml:space="preserve"> </w:t>
      </w:r>
      <w:r>
        <w:t xml:space="preserve">46%,</w:t>
      </w:r>
      <w:r>
        <w:t xml:space="preserve"> </w:t>
      </w:r>
      <w:r>
        <w:rPr>
          <w:i/>
          <w:iCs/>
        </w:rPr>
        <w:t xml:space="preserve">Q. rubra</w:t>
      </w:r>
      <w:r>
        <w:t xml:space="preserve"> </w:t>
      </w:r>
      <w:r>
        <w:t xml:space="preserve">19%);</w:t>
      </w:r>
      <w:r>
        <w:t xml:space="preserve"> </w:t>
      </w:r>
      <w:r>
        <w:rPr>
          <w:i/>
          <w:iCs/>
        </w:rPr>
        <w:t xml:space="preserve">Fraxinus</w:t>
      </w:r>
      <w:r>
        <w:t xml:space="preserve"> </w:t>
      </w:r>
      <w:r>
        <w:t xml:space="preserve">accounted for 4% (Results).</w:t>
      </w:r>
    </w:p>
    <w:p>
      <w:pPr>
        <w:pStyle w:val="Compact"/>
        <w:numPr>
          <w:ilvl w:val="0"/>
          <w:numId w:val="1017"/>
        </w:numPr>
      </w:pPr>
      <w:r>
        <w:t xml:space="preserve">A new limitations paragraph in the Discussion states that, with a single exclosure containing few vulnerable trees, the interaction between deer and canopy vulnerability cannot be estimated. The design supports two contrasts: deer (exclosure vs high deer, low canopy vulnerability region) and canopy vulnerability (high vs low vulnerability under high deer density).</w:t>
      </w:r>
    </w:p>
    <w:p>
      <w:pPr>
        <w:pStyle w:val="Compact"/>
        <w:numPr>
          <w:ilvl w:val="0"/>
          <w:numId w:val="1017"/>
        </w:numPr>
      </w:pPr>
      <w:r>
        <w:rPr>
          <w:b/>
          <w:bCs/>
        </w:rPr>
        <w:t xml:space="preserve">Annual mortality inside the exclosure,</w:t>
      </w:r>
      <w:r>
        <w:t xml:space="preserve"> </w:t>
      </w:r>
      <w:r>
        <w:t xml:space="preserve">a different measure from canopy-biomass loss, was higher in 2024–2026 than in 2014–2018, by 2.26 (0.65–6.09) Mg C ha</w:t>
      </w:r>
      <w:r>
        <w:rPr>
          <w:vertAlign w:val="superscript"/>
        </w:rPr>
        <w:t xml:space="preserve">-1</w:t>
      </w:r>
      <w:r>
        <w:t xml:space="preserve"> </w:t>
      </w:r>
      <w:r>
        <w:t xml:space="preserve">yr</w:t>
      </w:r>
      <w:r>
        <w:rPr>
          <w:vertAlign w:val="superscript"/>
        </w:rPr>
        <w:t xml:space="preserve">-1</w:t>
      </w:r>
      <w:r>
        <w:t xml:space="preserve">. Most of the mortality in its 2022 and 2025 peaks was oak (77% and 71%; Results, Fig. 3b), from the deaths of a few large trees.</w:t>
      </w:r>
    </w:p>
    <w:p>
      <w:pPr>
        <w:pStyle w:val="FirstParagraph"/>
      </w:pPr>
      <w:r>
        <w:t xml:space="preserve">The substantial differences in plot area represented in your three “treatment” groups creates some challenges in the interpretation. While you don’t use statistics, in the broad sense you’re pulling information from groups with very different sample sizes. This makes it hard to know how much the deer story is attributable to the exclosure or to the limited area of the plot where the exlosure sits. This is even more prominent for the high-deer, high-vulnerability group, which is a few small portions of the plot with what look to be fairly unique topographic qualities (see additional general comment below).</w:t>
      </w:r>
    </w:p>
    <w:p>
      <w:pPr>
        <w:pStyle w:val="Compact"/>
        <w:numPr>
          <w:ilvl w:val="0"/>
          <w:numId w:val="1018"/>
        </w:numPr>
      </w:pPr>
      <w:r>
        <w:rPr>
          <w:b/>
          <w:bCs/>
        </w:rPr>
        <w:t xml:space="preserve">Different region sizes.</w:t>
      </w:r>
      <w:r>
        <w:t xml:space="preserve"> </w:t>
      </w:r>
      <w:r>
        <w:t xml:space="preserve">The regions comprise 99, 408 and 56 quadrats, and their CIs reflect these sample sizes. Canopy species recruited 31 (14–63) times as many new individuals per hectare inside the exclosure as in the high deer, low canopy vulnerability region, a contrast that is large relative to its uncertainty.</w:t>
      </w:r>
    </w:p>
    <w:p>
      <w:pPr>
        <w:pStyle w:val="Compact"/>
        <w:numPr>
          <w:ilvl w:val="0"/>
          <w:numId w:val="1018"/>
        </w:numPr>
      </w:pPr>
      <w:r>
        <w:rPr>
          <w:b/>
          <w:bCs/>
        </w:rPr>
        <w:t xml:space="preserve">Location of the exclosure.</w:t>
      </w:r>
      <w:r>
        <w:t xml:space="preserve"> </w:t>
      </w:r>
      <w:r>
        <w:t xml:space="preserve">To reduce the confounding of the exclosure’s effect with its location, we compared quadrats within 60 m of the fence line on either side (Methods, Results). The contrast held across the fence: canopy recruitment was 15.9 (9.7–25.0) new individuals ha</w:t>
      </w:r>
      <w:r>
        <w:rPr>
          <w:vertAlign w:val="superscript"/>
        </w:rPr>
        <w:t xml:space="preserve">-1</w:t>
      </w:r>
      <w:r>
        <w:t xml:space="preserve"> </w:t>
      </w:r>
      <w:r>
        <w:t xml:space="preserve">yr</w:t>
      </w:r>
      <w:r>
        <w:rPr>
          <w:vertAlign w:val="superscript"/>
        </w:rPr>
        <w:t xml:space="preserve">-1</w:t>
      </w:r>
      <w:r>
        <w:t xml:space="preserve"> </w:t>
      </w:r>
      <w:r>
        <w:t xml:space="preserve">inside and 0.40 (0.16–0.78) outside (ratio 40 [19–95]), and canopy-species saplings numbered 255 (162–382) and 10 (5–18) stems ha</w:t>
      </w:r>
      <w:r>
        <w:rPr>
          <w:vertAlign w:val="superscript"/>
        </w:rPr>
        <w:t xml:space="preserve">-1</w:t>
      </w:r>
      <w:r>
        <w:t xml:space="preserve"> </w:t>
      </w:r>
      <w:r>
        <w:t xml:space="preserve">(ratio 25 [13–52]). With a single exclosure this confounding cannot be removed entirely, and we state it as a limitation in the Discussion. On the topography of the high deer, high canopy vulnerability region, see our response to the comment on abiotic characteristics below.</w:t>
      </w:r>
    </w:p>
    <w:p>
      <w:pPr>
        <w:pStyle w:val="FirstParagraph"/>
      </w:pPr>
      <w:r>
        <w:t xml:space="preserve">I suggest that the assertion of a potential “tipping point” for these forests is too strong given the data presented here (and certainly too strong to be a bullet point in the Abstract). While I suspect many would agree with this assertion, at least qualitatively, the data presented here are a bit too site-specific and short term to evaluate this claim (the recruitment following Ash mortality just hasn’t had enough time to play out at this point in my opinion).</w:t>
      </w:r>
    </w:p>
    <w:p>
      <w:pPr>
        <w:pStyle w:val="Compact"/>
        <w:numPr>
          <w:ilvl w:val="0"/>
          <w:numId w:val="1019"/>
        </w:numPr>
      </w:pPr>
      <w:r>
        <w:t xml:space="preserve">We agree and removed the</w:t>
      </w:r>
      <w:r>
        <w:t xml:space="preserve"> </w:t>
      </w:r>
      <w:r>
        <w:t xml:space="preserve">“critical transition”</w:t>
      </w:r>
      <w:r>
        <w:t xml:space="preserve"> </w:t>
      </w:r>
      <w:r>
        <w:t xml:space="preserve">assertion from the Summary, which now states conditionally that the C sequestration of these forests is potentially endangered by nuisance species. We replaced the tipping-point framing in the Introduction with the regeneration debt, under which recovery from disturbance depends on whether enough juveniles are present to replace the canopy trees that die. In the Discussion, statements about the future are now conditional on deer densities and on the arrival of further pests and pathogens. Our extended mortality record (to 2026) supports the reviewer’s point: most ash ≥ 10 cm have now died (Fig. 3), and recovery depends on recruitment that is still unfolding.</w:t>
      </w:r>
    </w:p>
    <w:p>
      <w:pPr>
        <w:pStyle w:val="FirstParagraph"/>
      </w:pPr>
      <w:r>
        <w:t xml:space="preserve">I think the study would benefit a lot from analyses focusing on the trees that aren’t experiencing large mortality events. Figure 2 presents things in terms of plot-level C, which is certainly important. That said, assessing the growth and mortality rates of the non Ash/Oak canopy trees might give the reader a better impression of how the rest of the forest is doing (i.e. are these baseline mortality rates in other trees higher or lower than normal?)</w:t>
      </w:r>
    </w:p>
    <w:p>
      <w:pPr>
        <w:pStyle w:val="Compact"/>
        <w:numPr>
          <w:ilvl w:val="0"/>
          <w:numId w:val="1020"/>
        </w:numPr>
      </w:pPr>
      <w:r>
        <w:rPr>
          <w:b/>
          <w:bCs/>
        </w:rPr>
        <w:t xml:space="preserve">Per-stem mortality and growth by taxon.</w:t>
      </w:r>
      <w:r>
        <w:t xml:space="preserve"> </w:t>
      </w:r>
      <w:r>
        <w:t xml:space="preserve">We added annual stem mortality rates and relative growth for</w:t>
      </w:r>
      <w:r>
        <w:t xml:space="preserve"> </w:t>
      </w:r>
      <w:r>
        <w:rPr>
          <w:i/>
          <w:iCs/>
        </w:rPr>
        <w:t xml:space="preserve">Fraxinus</w:t>
      </w:r>
      <w:r>
        <w:t xml:space="preserve">,</w:t>
      </w:r>
      <w:r>
        <w:t xml:space="preserve"> </w:t>
      </w:r>
      <w:r>
        <w:rPr>
          <w:i/>
          <w:iCs/>
        </w:rPr>
        <w:t xml:space="preserve">Quercus</w:t>
      </w:r>
      <w:r>
        <w:t xml:space="preserve"> </w:t>
      </w:r>
      <w:r>
        <w:t xml:space="preserve">and all other canopy species in each census interval (Supporting Information). Mortality of the other canopy species did not increase (1.74% yr</w:t>
      </w:r>
      <w:r>
        <w:rPr>
          <w:vertAlign w:val="superscript"/>
        </w:rPr>
        <w:t xml:space="preserve">-1</w:t>
      </w:r>
      <w:r>
        <w:t xml:space="preserve"> </w:t>
      </w:r>
      <w:r>
        <w:t xml:space="preserve">[1.54–1.96] and 1.08% yr</w:t>
      </w:r>
      <w:r>
        <w:rPr>
          <w:vertAlign w:val="superscript"/>
        </w:rPr>
        <w:t xml:space="preserve">-1</w:t>
      </w:r>
      <w:r>
        <w:t xml:space="preserve"> </w:t>
      </w:r>
      <w:r>
        <w:t xml:space="preserve">[0.95–1.21] in 2008–2013 and 2018–2023), so mortality of the other canopy species has not risen. But the decline is not only ash: oak mortality also rose, from 2.32% yr</w:t>
      </w:r>
      <w:r>
        <w:rPr>
          <w:vertAlign w:val="superscript"/>
        </w:rPr>
        <w:t xml:space="preserve">-1</w:t>
      </w:r>
      <w:r>
        <w:t xml:space="preserve"> </w:t>
      </w:r>
      <w:r>
        <w:t xml:space="preserve">(1.95–2.73) to 3.01% yr</w:t>
      </w:r>
      <w:r>
        <w:rPr>
          <w:vertAlign w:val="superscript"/>
        </w:rPr>
        <w:t xml:space="preserve">-1</w:t>
      </w:r>
      <w:r>
        <w:t xml:space="preserve"> </w:t>
      </w:r>
      <w:r>
        <w:t xml:space="preserve">(2.59–3.50) (change 0.69 [0.12–1.27] percentage points), which matters in an oak–hickory forest. Relative growth declined in all three groups. Comparing each taxon with its own earlier rates, and ash and oak with the other canopy species, provides the baseline the reviewer asks about.</w:t>
      </w:r>
    </w:p>
    <w:p>
      <w:pPr>
        <w:pStyle w:val="Compact"/>
        <w:numPr>
          <w:ilvl w:val="0"/>
          <w:numId w:val="1020"/>
        </w:numPr>
      </w:pPr>
      <w:r>
        <w:rPr>
          <w:b/>
          <w:bCs/>
        </w:rPr>
        <w:t xml:space="preserve">Growth.</w:t>
      </w:r>
      <w:r>
        <w:t xml:space="preserve"> </w:t>
      </w:r>
      <w:r>
        <w:t xml:space="preserve">Growth (AWG) declined from 2008–2013 to 2018–2023 in all three regions (Fig. 2c), including where mortality did not increase. In the high deer, high canopy vulnerability region the decline was detectable only between 2013–2018 and 2018–2023 (change −0.40 [−0.67 to −0.23] Mg C ha</w:t>
      </w:r>
      <w:r>
        <w:rPr>
          <w:vertAlign w:val="superscript"/>
        </w:rPr>
        <w:t xml:space="preserve">-1</w:t>
      </w:r>
      <w:r>
        <w:t xml:space="preserve"> </w:t>
      </w:r>
      <w:r>
        <w:t xml:space="preserve">yr</w:t>
      </w:r>
      <w:r>
        <w:rPr>
          <w:vertAlign w:val="superscript"/>
        </w:rPr>
        <w:t xml:space="preserve">-1</w:t>
      </w:r>
      <w:r>
        <w:t xml:space="preserve">). Relative to standing AGB, growth also declined in all regions (plot-wide from 1.87 [1.77–1.98] to 1.32 [1.26–1.38] % yr</w:t>
      </w:r>
      <w:r>
        <w:rPr>
          <w:vertAlign w:val="superscript"/>
        </w:rPr>
        <w:t xml:space="preserve">-1</w:t>
      </w:r>
      <w:r>
        <w:t xml:space="preserve">), so the decrease in growth is not only an effect of reduced live biomass.</w:t>
      </w:r>
    </w:p>
    <w:p>
      <w:pPr>
        <w:pStyle w:val="FirstParagraph"/>
      </w:pPr>
      <w:r>
        <w:t xml:space="preserve">I think there’s important opportunity here to fold in abiotic characteristics into the analyses. Without an elevation map it’s hard to be sure, but the arrangement of the grey “streams” in figure 1 strongly suggests that the “high-deer, high vulnerability” quadrats are in low-lying areas at the top of these streams or something like that. This seems really important as these quadrats are the ones really driving the trends, and at the moment this seems like an important confounding factor that could/should be directly accounted for in your analyses. This could potentially change the conclusion to “there’s a lot of mortality in riparian areas which is strong enough to drive plot-level declines in biomass,” but also add in the capacity to discuss the effects of pathogens on these riparian areas specifically (similar dynamics to the well-documented hemlock wolly adelgid driven effects on streams).</w:t>
      </w:r>
    </w:p>
    <w:p>
      <w:pPr>
        <w:pStyle w:val="Compact"/>
        <w:numPr>
          <w:ilvl w:val="0"/>
          <w:numId w:val="1021"/>
        </w:numPr>
      </w:pPr>
      <w:r>
        <w:rPr>
          <w:b/>
          <w:bCs/>
        </w:rPr>
        <w:t xml:space="preserve">Topography of the regions.</w:t>
      </w:r>
      <w:r>
        <w:t xml:space="preserve"> </w:t>
      </w:r>
      <w:r>
        <w:t xml:space="preserve">We characterized each quadrat’s topographic wetness index (TWI), elevation, slope and distance to the nearest stream (Supporting Information). The high deer, high canopy vulnerability quadrats are not low-lying: they lie at a similar median elevation to the other upland regions (median 306 m, vs 305 m in the exclosure and 303 m in the high deer, low canopy vulnerability region; the excluded stream-side quadrats lie at 285 m), but they are flatter (median slope 7.1°, vs 10.5° and 11.3°), somewhat wetter (median TWI 6.2, vs 5.7) and closer to streams (median distance to the nearest stream cell 57 m, vs 81 and 73 m), which the matching below accounts for.</w:t>
      </w:r>
    </w:p>
    <w:p>
      <w:pPr>
        <w:pStyle w:val="Compact"/>
        <w:numPr>
          <w:ilvl w:val="0"/>
          <w:numId w:val="1021"/>
        </w:numPr>
      </w:pPr>
      <w:r>
        <w:rPr>
          <w:b/>
          <w:bCs/>
        </w:rPr>
        <w:t xml:space="preserve">Robustness check.</w:t>
      </w:r>
      <w:r>
        <w:t xml:space="preserve"> </w:t>
      </w:r>
      <w:r>
        <w:t xml:space="preserve">To separate topography from canopy vulnerability, we compared each high deer, high canopy vulnerability quadrat with the three high deer, low canopy vulnerability quadrats most similar to it in TWI, slope and distance to stream (after matching, the standardized differences in these variables were 0.07 or less). Mortality in 2018–2023 was 7.63 Mg C ha</w:t>
      </w:r>
      <w:r>
        <w:rPr>
          <w:vertAlign w:val="superscript"/>
        </w:rPr>
        <w:t xml:space="preserve">-1</w:t>
      </w:r>
      <w:r>
        <w:t xml:space="preserve"> </w:t>
      </w:r>
      <w:r>
        <w:t xml:space="preserve">yr</w:t>
      </w:r>
      <w:r>
        <w:rPr>
          <w:vertAlign w:val="superscript"/>
        </w:rPr>
        <w:t xml:space="preserve">-1</w:t>
      </w:r>
      <w:r>
        <w:t xml:space="preserve"> </w:t>
      </w:r>
      <w:r>
        <w:t xml:space="preserve">in the high deer, high canopy vulnerability quadrats, against 2.92 in their topographic matches and 2.30 in the high deer, low canopy vulnerability region as a whole: a difference from the matches of 4.71 (2.60–7.06) Mg C ha</w:t>
      </w:r>
      <w:r>
        <w:rPr>
          <w:vertAlign w:val="superscript"/>
        </w:rPr>
        <w:t xml:space="preserve">-1</w:t>
      </w:r>
      <w:r>
        <w:t xml:space="preserve"> </w:t>
      </w:r>
      <w:r>
        <w:t xml:space="preserve">yr</w:t>
      </w:r>
      <w:r>
        <w:rPr>
          <w:vertAlign w:val="superscript"/>
        </w:rPr>
        <w:t xml:space="preserve">-1</w:t>
      </w:r>
      <w:r>
        <w:t xml:space="preserve">. The AGB change from 2013 to 2023 differed from the matches by −41.4 (−54.9 to −29.3) Mg C ha</w:t>
      </w:r>
      <w:r>
        <w:rPr>
          <w:vertAlign w:val="superscript"/>
        </w:rPr>
        <w:t xml:space="preserve">-1</w:t>
      </w:r>
      <w:r>
        <w:t xml:space="preserve">. Topography therefore does not explain the losses in the high deer, high canopy vulnerability region; we report this check briefly in the Methods and Results.</w:t>
      </w:r>
    </w:p>
    <w:p>
      <w:pPr>
        <w:pStyle w:val="Compact"/>
        <w:numPr>
          <w:ilvl w:val="0"/>
          <w:numId w:val="1021"/>
        </w:numPr>
      </w:pPr>
      <w:r>
        <w:rPr>
          <w:b/>
          <w:bCs/>
        </w:rPr>
        <w:t xml:space="preserve">Riparian forest.</w:t>
      </w:r>
      <w:r>
        <w:t xml:space="preserve"> </w:t>
      </w:r>
      <w:r>
        <w:t xml:space="preserve">The stream-side quadrats excluded from the three regions are included in the whole-plot results. Many of them also had abundant vulnerable species in 2008 (29 of 77 quadrats had more than 20% of their basal area in vulnerable species), so the loss of ash affects riparian forest too, as the reviewer notes for hemlock woolly adelgid. We did not analyze these quadrats separately, because they are few and the comparison of regions is restricted to upland forest.</w:t>
      </w:r>
    </w:p>
    <w:p>
      <w:pPr>
        <w:pStyle w:val="Compact"/>
        <w:numPr>
          <w:ilvl w:val="0"/>
          <w:numId w:val="1021"/>
        </w:numPr>
      </w:pPr>
      <w:r>
        <w:t xml:space="preserve">We note in the Results that ash is naturally most abundant on mesic sites, so canopy vulnerability and topography are partly linked as part of the ecology of these forests, not only as a feature of our design.</w:t>
      </w:r>
    </w:p>
    <w:bookmarkEnd w:id="23"/>
    <w:bookmarkStart w:id="24" w:name="specific-comments"/>
    <w:p>
      <w:pPr>
        <w:pStyle w:val="Heading2"/>
      </w:pPr>
      <w:r>
        <w:t xml:space="preserve">Specific Comments:</w:t>
      </w:r>
    </w:p>
    <w:p>
      <w:pPr>
        <w:pStyle w:val="FirstParagraph"/>
      </w:pPr>
      <w:r>
        <w:t xml:space="preserve">L85-87: Or also the spread of the focal pest/pathogen to the full extent of the host range, right?</w:t>
      </w:r>
    </w:p>
    <w:p>
      <w:pPr>
        <w:pStyle w:val="Compact"/>
        <w:numPr>
          <w:ilvl w:val="0"/>
          <w:numId w:val="1022"/>
        </w:numPr>
      </w:pPr>
      <w:r>
        <w:t xml:space="preserve">We added this point to the Introduction: because many pests and pathogens do not yet occupy the full extent of their host species’ range, a substantial portion of the remaining canopy is susceptible both to their spread through the rest of that range and to invasion by other nuisance species.</w:t>
      </w:r>
    </w:p>
    <w:p>
      <w:pPr>
        <w:pStyle w:val="FirstParagraph"/>
      </w:pPr>
      <w:r>
        <w:t xml:space="preserve">L227: You need a comma after “plot” to delineate the initial clause</w:t>
      </w:r>
    </w:p>
    <w:p>
      <w:pPr>
        <w:pStyle w:val="Compact"/>
        <w:numPr>
          <w:ilvl w:val="0"/>
          <w:numId w:val="1023"/>
        </w:numPr>
      </w:pPr>
      <w:r>
        <w:t xml:space="preserve">This sentence (</w:t>
      </w:r>
      <w:r>
        <w:t xml:space="preserve">“Though AWM increased throughout the plot AWM rates remained stable in a majority of individual species”</w:t>
      </w:r>
      <w:r>
        <w:t xml:space="preserve">) was removed, because no statistical test supported it (see our response on statistics).</w:t>
      </w:r>
    </w:p>
    <w:p>
      <w:pPr>
        <w:pStyle w:val="FirstParagraph"/>
      </w:pPr>
      <w:r>
        <w:t xml:space="preserve">L262: Particularly if you use a term like “significantly,” it’s important to provide statistical evidence for the statement</w:t>
      </w:r>
    </w:p>
    <w:p>
      <w:pPr>
        <w:pStyle w:val="Compact"/>
        <w:numPr>
          <w:ilvl w:val="0"/>
          <w:numId w:val="1024"/>
        </w:numPr>
      </w:pPr>
      <w:r>
        <w:t xml:space="preserve">We removed</w:t>
      </w:r>
      <w:r>
        <w:t xml:space="preserve"> </w:t>
      </w:r>
      <w:r>
        <w:t xml:space="preserve">“significantly”</w:t>
      </w:r>
      <w:r>
        <w:t xml:space="preserve"> </w:t>
      </w:r>
      <w:r>
        <w:t xml:space="preserve">and now give the difference with its CI. AWG in the high deer, high canopy vulnerability region was lower than in the exclosure in 2018–2023 (difference −0.58 [−0.86 to −0.29] Mg C ha</w:t>
      </w:r>
      <w:r>
        <w:rPr>
          <w:vertAlign w:val="superscript"/>
        </w:rPr>
        <w:t xml:space="preserve">-1</w:t>
      </w:r>
      <w:r>
        <w:t xml:space="preserve"> </w:t>
      </w:r>
      <w:r>
        <w:t xml:space="preserve">yr</w:t>
      </w:r>
      <w:r>
        <w:rPr>
          <w:vertAlign w:val="superscript"/>
        </w:rPr>
        <w:t xml:space="preserve">-1</w:t>
      </w:r>
      <w:r>
        <w:t xml:space="preserve">), and lower than in both low canopy vulnerability regions in every census interval.</w:t>
      </w:r>
    </w:p>
    <w:p>
      <w:pPr>
        <w:pStyle w:val="FirstParagraph"/>
      </w:pPr>
      <w:r>
        <w:t xml:space="preserve">L268-271: It seems plausible that at least part of the effect described here (high annual recruitment of canopy taxa in low deer areas) is due to the fact that the low deer area also had low canopy vulnerability (ie the canopy trees were, on average, healthier and more fecund potentially).</w:t>
      </w:r>
    </w:p>
    <w:p>
      <w:pPr>
        <w:pStyle w:val="Compact"/>
        <w:numPr>
          <w:ilvl w:val="0"/>
          <w:numId w:val="1025"/>
        </w:numPr>
      </w:pPr>
      <w:r>
        <w:rPr>
          <w:b/>
          <w:bCs/>
        </w:rPr>
        <w:t xml:space="preserve">The contrast holds between regions with equally low canopy vulnerability.</w:t>
      </w:r>
      <w:r>
        <w:t xml:space="preserve"> </w:t>
      </w:r>
      <w:r>
        <w:t xml:space="preserve">With corrected recruitment rates, canopy species recruited 31 (14–63) times as many new individuals inside the exclosure as in the high deer, low canopy vulnerability region. Both regions have low canopy vulnerability, so differences in vulnerability cannot explain the contrast. Conversely, under high deer density, canopy recruitment did not differ detectably between the high and low canopy vulnerability regions: the difference was 0.19 (−0.31 to 0.84) individuals ha</w:t>
      </w:r>
      <w:r>
        <w:rPr>
          <w:vertAlign w:val="superscript"/>
        </w:rPr>
        <w:t xml:space="preserve">-1</w:t>
      </w:r>
      <w:r>
        <w:t xml:space="preserve"> </w:t>
      </w:r>
      <w:r>
        <w:t xml:space="preserve">yr</w:t>
      </w:r>
      <w:r>
        <w:rPr>
          <w:vertAlign w:val="superscript"/>
        </w:rPr>
        <w:t xml:space="preserve">-1</w:t>
      </w:r>
      <w:r>
        <w:t xml:space="preserve">.</w:t>
      </w:r>
    </w:p>
    <w:p>
      <w:pPr>
        <w:pStyle w:val="Compact"/>
        <w:numPr>
          <w:ilvl w:val="0"/>
          <w:numId w:val="1025"/>
        </w:numPr>
      </w:pPr>
      <w:r>
        <w:rPr>
          <w:b/>
          <w:bCs/>
        </w:rPr>
        <w:t xml:space="preserve">Seed supply.</w:t>
      </w:r>
      <w:r>
        <w:t xml:space="preserve"> </w:t>
      </w:r>
      <w:r>
        <w:t xml:space="preserve">As a proxy for seed supply, we compared the density of canopy-species trees ≥ 20 cm dbh in 2023 (the denominator of the replacement ratio reported in the Results). It was similar inside the exclosure and in the high deer, low canopy vulnerability region (190 and 178 trees ha</w:t>
      </w:r>
      <w:r>
        <w:rPr>
          <w:vertAlign w:val="superscript"/>
        </w:rPr>
        <w:t xml:space="preserve">-1</w:t>
      </w:r>
      <w:r>
        <w:t xml:space="preserve">), so seed supply is unlikely to explain the much higher canopy recruitment inside the exclosure. The high deer, high canopy vulnerability region had fewer such trees (97 ha</w:t>
      </w:r>
      <w:r>
        <w:rPr>
          <w:vertAlign w:val="superscript"/>
        </w:rPr>
        <w:t xml:space="preserve">-1</w:t>
      </w:r>
      <w:r>
        <w:t xml:space="preserve">).</w:t>
      </w:r>
    </w:p>
    <w:p>
      <w:pPr>
        <w:pStyle w:val="FirstParagraph"/>
      </w:pPr>
      <w:r>
        <w:t xml:space="preserve">L273-275: In regions of low deer density, these vulnerable canopy species are already in low abundance so I don’t think we would expect for them to have a substantial impact on total canopy recruitment.</w:t>
      </w:r>
    </w:p>
    <w:p>
      <w:pPr>
        <w:pStyle w:val="Compact"/>
        <w:numPr>
          <w:ilvl w:val="0"/>
          <w:numId w:val="1026"/>
        </w:numPr>
      </w:pPr>
      <w:r>
        <w:t xml:space="preserve">We agree and rewrote this sentence as a comparison between the two high-deer regions. There, canopy vulnerability made no detectable difference to canopy recruitment: high minus low vulnerability was 0.19 (−0.31 to 0.84) individuals ha</w:t>
      </w:r>
      <w:r>
        <w:rPr>
          <w:vertAlign w:val="superscript"/>
        </w:rPr>
        <w:t xml:space="preserve">-1</w:t>
      </w:r>
      <w:r>
        <w:t xml:space="preserve"> </w:t>
      </w:r>
      <w:r>
        <w:t xml:space="preserve">yr</w:t>
      </w:r>
      <w:r>
        <w:rPr>
          <w:vertAlign w:val="superscript"/>
        </w:rPr>
        <w:t xml:space="preserve">-1</w:t>
      </w:r>
      <w:r>
        <w:t xml:space="preserve">. The four canopy taxa named in the submitted text (</w:t>
      </w:r>
      <w:r>
        <w:rPr>
          <w:i/>
          <w:iCs/>
        </w:rPr>
        <w:t xml:space="preserve">F. americana</w:t>
      </w:r>
      <w:r>
        <w:t xml:space="preserve">,</w:t>
      </w:r>
      <w:r>
        <w:t xml:space="preserve"> </w:t>
      </w:r>
      <w:r>
        <w:rPr>
          <w:i/>
          <w:iCs/>
        </w:rPr>
        <w:t xml:space="preserve">Fagus grandifolia</w:t>
      </w:r>
      <w:r>
        <w:t xml:space="preserve">,</w:t>
      </w:r>
      <w:r>
        <w:t xml:space="preserve"> </w:t>
      </w:r>
      <w:r>
        <w:rPr>
          <w:i/>
          <w:iCs/>
        </w:rPr>
        <w:t xml:space="preserve">Ulmus rubra</w:t>
      </w:r>
      <w:r>
        <w:t xml:space="preserve"> </w:t>
      </w:r>
      <w:r>
        <w:t xml:space="preserve">and</w:t>
      </w:r>
      <w:r>
        <w:t xml:space="preserve"> </w:t>
      </w:r>
      <w:r>
        <w:rPr>
          <w:i/>
          <w:iCs/>
        </w:rPr>
        <w:t xml:space="preserve">Carya</w:t>
      </w:r>
      <w:r>
        <w:t xml:space="preserve"> </w:t>
      </w:r>
      <w:r>
        <w:t xml:space="preserve">spp.) recruited at very low rates in both regions; we replaced that sentence.</w:t>
      </w:r>
    </w:p>
    <w:p>
      <w:pPr>
        <w:pStyle w:val="Compact"/>
        <w:numPr>
          <w:ilvl w:val="0"/>
          <w:numId w:val="1026"/>
        </w:numPr>
      </w:pPr>
      <w:r>
        <w:t xml:space="preserve">We also removed the related Discussion statement (L313–317) that browsing is exacerbated in canopy openings, which the corrected results do not support.</w:t>
      </w:r>
    </w:p>
    <w:p>
      <w:pPr>
        <w:pStyle w:val="FirstParagraph"/>
      </w:pPr>
      <w:r>
        <w:t xml:space="preserve">L289-297: This seems like an ideal section to refer to Fig 6 for the first time.</w:t>
      </w:r>
    </w:p>
    <w:p>
      <w:pPr>
        <w:pStyle w:val="Compact"/>
        <w:numPr>
          <w:ilvl w:val="0"/>
          <w:numId w:val="1027"/>
        </w:numPr>
      </w:pPr>
      <w:r>
        <w:t xml:space="preserve">We now cite the rebuilt Fig. 6 here, in a paragraph rewritten around sapling density (see Reviewer 3).</w:t>
      </w:r>
    </w:p>
    <w:p>
      <w:pPr>
        <w:pStyle w:val="FirstParagraph"/>
      </w:pPr>
      <w:r>
        <w:t xml:space="preserve">L343-346: This is a critical statement to much of the language you use around tipping points, etc. As currently stated, this feels like the authors’ opinion, which is a well-informed one, but would be much stronger with some harder evidence to support the statement.</w:t>
      </w:r>
    </w:p>
    <w:p>
      <w:pPr>
        <w:pStyle w:val="Compact"/>
        <w:numPr>
          <w:ilvl w:val="0"/>
          <w:numId w:val="1028"/>
        </w:numPr>
      </w:pPr>
      <w:r>
        <w:t xml:space="preserve">The corrected recruitment results show that canopy recruitment outside the exclosure is 23- to 31-fold lower than inside it. Whether this is too little to replace the canopy is addressed by the sapling analysis below.</w:t>
      </w:r>
    </w:p>
    <w:p>
      <w:pPr>
        <w:pStyle w:val="Compact"/>
        <w:numPr>
          <w:ilvl w:val="0"/>
          <w:numId w:val="1028"/>
        </w:numPr>
      </w:pPr>
      <w:r>
        <w:t xml:space="preserve">We added sapling densities and the ratio of saplings to canopy trees (Fig. 6; Results). Outside the exclosure, 72% and 68% of quadrats had no canopy-species sapling, and there were 0.08 (0.06–0.12) and 0.16 (0.07–0.44) saplings per canopy-species tree ≥ 20 cm dbh. We compare these values with published thresholds for adequate regeneration in the Discussion.</w:t>
      </w:r>
      <w:r>
        <w:t xml:space="preserve"> </w:t>
      </w:r>
      <w:r>
        <w:rPr>
          <w:rStyle w:val="RevisedText"/>
          <w:b/>
          <w:bCs/>
        </w:rPr>
        <w:t xml:space="preserve">[CHECK: threshold value and size class to be confirmed by Luca.]</w:t>
      </w:r>
    </w:p>
    <w:p>
      <w:pPr>
        <w:pStyle w:val="FirstParagraph"/>
      </w:pPr>
      <w:r>
        <w:t xml:space="preserve">L366-380: This paragraph would be much stronger with some citation support for the actual spatial extent of this forest type, Fraxinus spp, EAB infection, increases in deer populations, etc. You provide citations that support that these nuisance species are important (as stated previously in the manuscript), but the argument of broad applicability would be much stronger if you provide numbers from the literature on how widespread the focal forest and nuisance species ranges are.</w:t>
      </w:r>
    </w:p>
    <w:p>
      <w:pPr>
        <w:pStyle w:val="Compact"/>
        <w:numPr>
          <w:ilvl w:val="0"/>
          <w:numId w:val="1029"/>
        </w:numPr>
      </w:pPr>
      <w:r>
        <w:t xml:space="preserve">We added quantitative citations for the extent of this forest type, the range of</w:t>
      </w:r>
      <w:r>
        <w:t xml:space="preserve"> </w:t>
      </w:r>
      <w:r>
        <w:rPr>
          <w:i/>
          <w:iCs/>
        </w:rPr>
        <w:t xml:space="preserve">Fraxinus</w:t>
      </w:r>
      <w:r>
        <w:t xml:space="preserve">, the current extent of emerald ash borer, and eastern deer population trends.</w:t>
      </w:r>
      <w:r>
        <w:t xml:space="preserve"> </w:t>
      </w:r>
      <w:r>
        <w:rPr>
          <w:rStyle w:val="RevisedText"/>
          <w:b/>
          <w:bCs/>
        </w:rPr>
        <w:t xml:space="preserve">[CHECK: citations and numbers to be filled in by Luca (CITE placeholders in the Discussion).]</w:t>
      </w:r>
    </w:p>
    <w:p>
      <w:pPr>
        <w:pStyle w:val="FirstParagraph"/>
      </w:pPr>
      <w:r>
        <w:t xml:space="preserve">L381-395: I am not a modeler but work with them enough to know that they struggle with this sort of passage – effectively claiming that we need to incorporate some highly complex process into ESMs without any concrete ideas on how to do so. Modelers are flooded with things that could be incorporated into their models, but that incorporation is, of course, challenging. I would suggest either making a set of clear suggestions for how we might incorporate nuisance species into ESMs or cutting this paragraph.</w:t>
      </w:r>
    </w:p>
    <w:p>
      <w:pPr>
        <w:pStyle w:val="Compact"/>
        <w:numPr>
          <w:ilvl w:val="0"/>
          <w:numId w:val="1030"/>
        </w:numPr>
      </w:pPr>
      <w:r>
        <w:t xml:space="preserve">We cut this paragraph, keeping a single sentence noting that models projecting continued C accumulation in temperate deciduous forests do not account for these processes, which, as our results show, can reduce live biomass and the regeneration of canopy species.</w:t>
      </w:r>
    </w:p>
    <w:p>
      <w:pPr>
        <w:pStyle w:val="FirstParagraph"/>
      </w:pPr>
      <w:r>
        <w:t xml:space="preserve">L393-394: I understand and appreciate the sentiment with this statement, but it’s not uncommon for the elimination of canopy species to increase biodiversity – particularly in the understory and in the soil food web. This statement certainly isn’t a given and needs better support (or rewording/removal).</w:t>
      </w:r>
    </w:p>
    <w:p>
      <w:pPr>
        <w:pStyle w:val="Compact"/>
        <w:numPr>
          <w:ilvl w:val="0"/>
          <w:numId w:val="1031"/>
        </w:numPr>
      </w:pPr>
      <w:r>
        <w:t xml:space="preserve">We removed this statement.</w:t>
      </w:r>
    </w:p>
    <w:p>
      <w:pPr>
        <w:pStyle w:val="FirstParagraph"/>
      </w:pPr>
      <w:r>
        <w:t xml:space="preserve">L403: I think you might mean “natural climate solution” here</w:t>
      </w:r>
    </w:p>
    <w:p>
      <w:pPr>
        <w:pStyle w:val="Compact"/>
        <w:numPr>
          <w:ilvl w:val="0"/>
          <w:numId w:val="1032"/>
        </w:numPr>
      </w:pPr>
      <w:r>
        <w:t xml:space="preserve">Corrected.</w:t>
      </w:r>
    </w:p>
    <w:p>
      <w:pPr>
        <w:pStyle w:val="FirstParagraph"/>
      </w:pPr>
      <w:r>
        <w:t xml:space="preserve">L396-403: The final paragraph is very well worded and does a great job of wrapping up the discussion and the topic writ large.</w:t>
      </w:r>
    </w:p>
    <w:p>
      <w:pPr>
        <w:pStyle w:val="Compact"/>
        <w:numPr>
          <w:ilvl w:val="0"/>
          <w:numId w:val="1033"/>
        </w:numPr>
      </w:pPr>
      <w:r>
        <w:t xml:space="preserve">Thank you.</w:t>
      </w:r>
    </w:p>
    <w:bookmarkEnd w:id="24"/>
    <w:bookmarkEnd w:id="25"/>
    <w:bookmarkStart w:id="29" w:name="referee-3"/>
    <w:p>
      <w:pPr>
        <w:pStyle w:val="Heading1"/>
      </w:pPr>
      <w:r>
        <w:t xml:space="preserve">Referee: 3</w:t>
      </w:r>
    </w:p>
    <w:bookmarkStart w:id="26" w:name="comments-to-the-author"/>
    <w:p>
      <w:pPr>
        <w:pStyle w:val="Heading2"/>
      </w:pPr>
      <w:r>
        <w:t xml:space="preserve">Comments to the Author</w:t>
      </w:r>
    </w:p>
    <w:p>
      <w:pPr>
        <w:pStyle w:val="FirstParagraph"/>
      </w:pPr>
      <w:r>
        <w:t xml:space="preserve">In this manuscript, the author presents an interesting work about how nuisance species (i.e., non-indigenous pests and pathogens and deer density) could impact the carbon sequestration potential in an Eastern US temperate deciduous forest by analyzing 15 years of census data from a 25.6-ha plot deciduous forest. They found that pest and pathogen-driven tree mortality and reduced tree recruitment mainly led to the net carbon loss in this area, finally, the authors underscore the importance of including nuisance species in the carbon cycle model to better understand the future carbon changes and propose some forest management actions which could help to protect this ecosystem from the perspective of carbon sink. In general, I think this is a well-designed study and most of the manuscript is well-structured and easy to follow. This is a valuable contribution to the field of carbon sequestration potential and its impact from the biotic agents. However, I have two main comments that should be addressed.</w:t>
      </w:r>
    </w:p>
    <w:p>
      <w:pPr>
        <w:pStyle w:val="Compact"/>
        <w:numPr>
          <w:ilvl w:val="0"/>
          <w:numId w:val="1034"/>
        </w:numPr>
      </w:pPr>
      <w:r>
        <w:t xml:space="preserve">Thank you.</w:t>
      </w:r>
    </w:p>
    <w:bookmarkEnd w:id="26"/>
    <w:bookmarkStart w:id="27" w:name="major-comments"/>
    <w:p>
      <w:pPr>
        <w:pStyle w:val="Heading2"/>
      </w:pPr>
      <w:r>
        <w:t xml:space="preserve">Major comments:</w:t>
      </w:r>
    </w:p>
    <w:p>
      <w:pPr>
        <w:pStyle w:val="Compact"/>
        <w:numPr>
          <w:ilvl w:val="0"/>
          <w:numId w:val="1035"/>
        </w:numPr>
      </w:pPr>
      <w:r>
        <w:t xml:space="preserve">The main conclusion in this study that nuisance species mainly led to the net carbon loss in the historical period is dependent on the census data in the past 15 years, I agree with this. However, the authors think this trend will also be in the future (Line 305), which I cannot fully agree with because there is not strong evidence in this analysis. How would the density of pests and pathogens and deer population change in the future? There are a lot of uncertainties here. I think necessary assumptions should be clearly made if the authors prefer to link their analysis to future predictions.</w:t>
      </w:r>
    </w:p>
    <w:p>
      <w:pPr>
        <w:pStyle w:val="Compact"/>
        <w:numPr>
          <w:ilvl w:val="0"/>
          <w:numId w:val="1036"/>
        </w:numPr>
      </w:pPr>
      <w:r>
        <w:rPr>
          <w:b/>
          <w:bCs/>
        </w:rPr>
        <w:t xml:space="preserve">New data through 2026.</w:t>
      </w:r>
      <w:r>
        <w:t xml:space="preserve"> </w:t>
      </w:r>
      <w:r>
        <w:t xml:space="preserve">We extended the annual mortality record to 2026, which shows how the system has behaved since the 2023 census (Fig. 3).</w:t>
      </w:r>
    </w:p>
    <w:p>
      <w:pPr>
        <w:pStyle w:val="Compact"/>
        <w:numPr>
          <w:ilvl w:val="1"/>
          <w:numId w:val="1037"/>
        </w:numPr>
      </w:pPr>
      <w:r>
        <w:t xml:space="preserve">Most ash ≥ 10 cm have now died, so</w:t>
      </w:r>
      <w:r>
        <w:t xml:space="preserve"> </w:t>
      </w:r>
      <w:r>
        <w:rPr>
          <w:i/>
          <w:iCs/>
        </w:rPr>
        <w:t xml:space="preserve">F. americana</w:t>
      </w:r>
      <w:r>
        <w:t xml:space="preserve"> </w:t>
      </w:r>
      <w:r>
        <w:t xml:space="preserve">mortality was 0.09, 0.01 and 0.03 Mg C ha</w:t>
      </w:r>
      <w:r>
        <w:rPr>
          <w:vertAlign w:val="superscript"/>
        </w:rPr>
        <w:t xml:space="preserve">-1</w:t>
      </w:r>
      <w:r>
        <w:t xml:space="preserve"> </w:t>
      </w:r>
      <w:r>
        <w:t xml:space="preserve">yr</w:t>
      </w:r>
      <w:r>
        <w:rPr>
          <w:vertAlign w:val="superscript"/>
        </w:rPr>
        <w:t xml:space="preserve">-1</w:t>
      </w:r>
      <w:r>
        <w:t xml:space="preserve"> </w:t>
      </w:r>
      <w:r>
        <w:t xml:space="preserve">in 2024, 2025 and 2026.</w:t>
      </w:r>
    </w:p>
    <w:p>
      <w:pPr>
        <w:pStyle w:val="Compact"/>
        <w:numPr>
          <w:ilvl w:val="1"/>
          <w:numId w:val="1037"/>
        </w:numPr>
      </w:pPr>
      <w:r>
        <w:t xml:space="preserve">Plot-wide mortality in 2024–2026 did not differ detectably from its 2014–2018 level.</w:t>
      </w:r>
    </w:p>
    <w:p>
      <w:pPr>
        <w:pStyle w:val="Compact"/>
        <w:numPr>
          <w:ilvl w:val="1"/>
          <w:numId w:val="1037"/>
        </w:numPr>
      </w:pPr>
      <w:r>
        <w:t xml:space="preserve">Inside the deer exclosure, mortality was higher in 2024–2026 than in 2014–2018, driven mainly by the deaths of a few large oaks.</w:t>
      </w:r>
    </w:p>
    <w:p>
      <w:pPr>
        <w:pStyle w:val="Compact"/>
        <w:numPr>
          <w:ilvl w:val="1"/>
          <w:numId w:val="1037"/>
        </w:numPr>
      </w:pPr>
      <w:r>
        <w:t xml:space="preserve">These results show that mortality trends are not simply continuing in one direction.</w:t>
      </w:r>
    </w:p>
    <w:p>
      <w:pPr>
        <w:pStyle w:val="Compact"/>
        <w:numPr>
          <w:ilvl w:val="0"/>
          <w:numId w:val="1036"/>
        </w:numPr>
      </w:pPr>
      <w:r>
        <w:t xml:space="preserve">The Summary now states its assumptions explicitly (continued high deer densities and continued loss of canopy species to pests and pathogens). We revised the remaining statements about the future in the same way, presenting alternative scenarios rather than a single projection: if oak decline continues and further pests and pathogens arrive, mortality may rise again, and if deer densities also remain high, canopy trees that die are unlikely to be replaced by canopy species, so live AGB would continue to decline; if deer densities fall, the recruitment of canopy species inside the exclosure suggests that canopy species could regenerate in the gaps.</w:t>
      </w:r>
    </w:p>
    <w:p>
      <w:pPr>
        <w:pStyle w:val="Compact"/>
        <w:numPr>
          <w:ilvl w:val="0"/>
          <w:numId w:val="1038"/>
        </w:numPr>
      </w:pPr>
      <w:r>
        <w:t xml:space="preserve">Expect nuisance species, many other factors impact forest carbon sequestration, for example, drought, windstorms, or even fires (although fires are much earlier to be identified). That is, the question here is how authors exclude other factors that can impact carbon change when you conclude that nuisance species are the most important factors. In addition, sorry I am not an expert on pests and pathogens, is there any difference between “non-indigenous” and “indigenous” pests and pathogens? If they are different, have the authors considered indigenous pests?</w:t>
      </w:r>
    </w:p>
    <w:p>
      <w:pPr>
        <w:pStyle w:val="Compact"/>
        <w:numPr>
          <w:ilvl w:val="0"/>
          <w:numId w:val="1039"/>
        </w:numPr>
      </w:pPr>
      <w:r>
        <w:rPr>
          <w:b/>
          <w:bCs/>
        </w:rPr>
        <w:t xml:space="preserve">Attribution of mortality.</w:t>
      </w:r>
      <w:r>
        <w:t xml:space="preserve"> </w:t>
      </w:r>
      <w:r>
        <w:t xml:space="preserve">The annual mortality survey cannot fully attribute the cause of each death, but it has monitored signs of emerald ash borer on ash trees, and the large majority of ash trees that died showed signs of emerald ash borer before death. We now say so in the Methods.</w:t>
      </w:r>
    </w:p>
    <w:p>
      <w:pPr>
        <w:pStyle w:val="Compact"/>
        <w:numPr>
          <w:ilvl w:val="0"/>
          <w:numId w:val="1039"/>
        </w:numPr>
      </w:pPr>
      <w:r>
        <w:rPr>
          <w:b/>
          <w:bCs/>
        </w:rPr>
        <w:t xml:space="preserve">Other drivers.</w:t>
      </w:r>
      <w:r>
        <w:t xml:space="preserve"> </w:t>
      </w:r>
      <w:r>
        <w:t xml:space="preserve">The Discussion now notes that other disturbances, such as drought, windstorms and fire, can also cause pulses of tree mortality. Our censuses do not attribute the cause of each death, but the rise in mortality was concentrated in species and areas vulnerable to non-indigenous pests and pathogens (Figs 2–3), consistent with the emerald ash borer monitoring above.</w:t>
      </w:r>
    </w:p>
    <w:p>
      <w:pPr>
        <w:pStyle w:val="Compact"/>
        <w:numPr>
          <w:ilvl w:val="0"/>
          <w:numId w:val="1039"/>
        </w:numPr>
      </w:pPr>
      <w:r>
        <w:rPr>
          <w:b/>
          <w:bCs/>
        </w:rPr>
        <w:t xml:space="preserve">Indigenous and non-indigenous pests and pathogens.</w:t>
      </w:r>
      <w:r>
        <w:t xml:space="preserve"> </w:t>
      </w:r>
      <w:r>
        <w:t xml:space="preserve">Indigenous pests and pathogens have a long shared evolutionary history with their host trees and are part of the background mortality of these forests; some contribute to oak decline, which we discuss as a driver of the rising oak mortality. Non-indigenous pests and pathogens lack this shared history, so their hosts often have little resistance, and they can cause rapid mortality across a host’s range, as emerald ash borer has for ash.</w:t>
      </w:r>
    </w:p>
    <w:bookmarkEnd w:id="27"/>
    <w:bookmarkStart w:id="28" w:name="other-comments"/>
    <w:p>
      <w:pPr>
        <w:pStyle w:val="Heading2"/>
      </w:pPr>
      <w:r>
        <w:t xml:space="preserve">Other comments:</w:t>
      </w:r>
    </w:p>
    <w:p>
      <w:pPr>
        <w:pStyle w:val="FirstParagraph"/>
      </w:pPr>
      <w:r>
        <w:t xml:space="preserve">Line 52: change it to “carbon cycle models that have not considered [your conclusion]”</w:t>
      </w:r>
    </w:p>
    <w:p>
      <w:pPr>
        <w:pStyle w:val="Compact"/>
        <w:numPr>
          <w:ilvl w:val="0"/>
          <w:numId w:val="1040"/>
        </w:numPr>
      </w:pPr>
      <w:r>
        <w:t xml:space="preserve">We removed the statement about carbon models from the Summary. Its last bullet now reads:</w:t>
      </w:r>
      <w:r>
        <w:t xml:space="preserve"> </w:t>
      </w:r>
      <w:r>
        <w:t xml:space="preserve">“If deer densities remain high and pests and pathogens continue to remove canopy species, canopy trees that die may not be replaced, reducing this forest’s capacity to take up C. The C sequestration of eastern US deciduous forests is therefore potentially endangered by nuisance species.”</w:t>
      </w:r>
    </w:p>
    <w:p>
      <w:pPr>
        <w:pStyle w:val="FirstParagraph"/>
      </w:pPr>
      <w:r>
        <w:t xml:space="preserve">Line 271 and Figure 5: what are the units here? What does “n ha-1 year-1” mean here? 38.7 and 19 are far larger than the figure maximum numbers in the left panel.</w:t>
      </w:r>
    </w:p>
    <w:p>
      <w:pPr>
        <w:pStyle w:val="Compact"/>
        <w:numPr>
          <w:ilvl w:val="0"/>
          <w:numId w:val="1041"/>
        </w:numPr>
      </w:pPr>
      <w:r>
        <w:rPr>
          <w:b/>
          <w:bCs/>
        </w:rPr>
        <w:t xml:space="preserve">The reviewer identified a real error, and we thank them.</w:t>
      </w:r>
      <w:r>
        <w:t xml:space="preserve"> </w:t>
      </w:r>
      <w:r>
        <w:t xml:space="preserve">The submitted values were not per-hectare rates: they averaged only over quadrats where a taxon recruited, and the</w:t>
      </w:r>
      <w:r>
        <w:t xml:space="preserve"> </w:t>
      </w:r>
      <w:r>
        <w:t xml:space="preserve">“38.7”</w:t>
      </w:r>
      <w:r>
        <w:t xml:space="preserve"> </w:t>
      </w:r>
      <w:r>
        <w:t xml:space="preserve">and</w:t>
      </w:r>
      <w:r>
        <w:t xml:space="preserve"> </w:t>
      </w:r>
      <w:r>
        <w:t xml:space="preserve">“19”</w:t>
      </w:r>
      <w:r>
        <w:t xml:space="preserve"> </w:t>
      </w:r>
      <w:r>
        <w:t xml:space="preserve">in the text were sums of several bars (for the exclosure and for the two high-deer regions combined).</w:t>
      </w:r>
    </w:p>
    <w:p>
      <w:pPr>
        <w:pStyle w:val="Compact"/>
        <w:numPr>
          <w:ilvl w:val="0"/>
          <w:numId w:val="1041"/>
        </w:numPr>
      </w:pPr>
      <w:r>
        <w:rPr>
          <w:b/>
          <w:bCs/>
        </w:rPr>
        <w:t xml:space="preserve">Corrected rates.</w:t>
      </w:r>
      <w:r>
        <w:t xml:space="preserve"> </w:t>
      </w:r>
      <w:r>
        <w:t xml:space="preserve">Recruitment is now the number of new individuals per hectare of each plot region per year, averaged over all quadrats. The y-axis of Fig. 5 states these units. Canopy recruitment is 15.52 new individuals ha</w:t>
      </w:r>
      <w:r>
        <w:rPr>
          <w:vertAlign w:val="superscript"/>
        </w:rPr>
        <w:t xml:space="preserve">-1</w:t>
      </w:r>
      <w:r>
        <w:t xml:space="preserve"> </w:t>
      </w:r>
      <w:r>
        <w:t xml:space="preserve">yr</w:t>
      </w:r>
      <w:r>
        <w:rPr>
          <w:vertAlign w:val="superscript"/>
        </w:rPr>
        <w:t xml:space="preserve">-1</w:t>
      </w:r>
      <w:r>
        <w:t xml:space="preserve"> </w:t>
      </w:r>
      <w:r>
        <w:t xml:space="preserve">inside the exclosure versus 0.50 and 0.68 outside it.</w:t>
      </w:r>
    </w:p>
    <w:p>
      <w:pPr>
        <w:pStyle w:val="Compact"/>
        <w:numPr>
          <w:ilvl w:val="0"/>
          <w:numId w:val="1041"/>
        </w:numPr>
      </w:pPr>
      <w:r>
        <w:rPr>
          <w:b/>
          <w:bCs/>
        </w:rPr>
        <w:t xml:space="preserve">Figure changes.</w:t>
      </w:r>
      <w:r>
        <w:t xml:space="preserve"> </w:t>
      </w:r>
      <w:r>
        <w:t xml:space="preserve">Fig. 5 now opens each panel with group totals, which carry 95% CIs; individual taxa are shown without intervals because many recruited in few quadrats. Stem-based rates are in the Supporting Information.</w:t>
      </w:r>
    </w:p>
    <w:p>
      <w:pPr>
        <w:pStyle w:val="FirstParagraph"/>
      </w:pPr>
      <w:r>
        <w:t xml:space="preserve">Figure 6 is very different to understand, i.e., I even do not understand the authors’s main takeaways from this figure. I suggest modifying this figure and reorganizing the results part regarding this figure.</w:t>
      </w:r>
    </w:p>
    <w:p>
      <w:pPr>
        <w:pStyle w:val="Compact"/>
        <w:numPr>
          <w:ilvl w:val="0"/>
          <w:numId w:val="1042"/>
        </w:numPr>
      </w:pPr>
      <w:r>
        <w:t xml:space="preserve">We rebuilt Fig. 6 as two maps, (a) the change in canopy biomass from 2008 to 2023 and (b) the density of canopy-species saplings in 2023, replacing the classification based on a biomass threshold. The corresponding Results now report, by plot region, sapling density, the share of quadrats without a sapling, the number of saplings per canopy tree and the density of poles, with CIs for sapling density, the replacement ratio and pole density.</w:t>
      </w:r>
    </w:p>
    <w:p>
      <w:pPr>
        <w:pStyle w:val="FirstParagraph"/>
      </w:pPr>
      <w:r>
        <w:t xml:space="preserve">Line 308: What is AWP? Aboveground woody productivity? The authors used AWG in the first part of the manuscript.</w:t>
      </w:r>
    </w:p>
    <w:p>
      <w:pPr>
        <w:pStyle w:val="Compact"/>
        <w:numPr>
          <w:ilvl w:val="0"/>
          <w:numId w:val="1043"/>
        </w:numPr>
      </w:pPr>
      <w:r>
        <w:t xml:space="preserve">We now use AWG (aboveground woody growth of surviving stems) consistently throughout the text and figures; recruitment is reported separately as AWR.</w:t>
      </w:r>
    </w:p>
    <w:p>
      <w:pPr>
        <w:pStyle w:val="FirstParagraph"/>
      </w:pPr>
      <w:r>
        <w:t xml:space="preserve">Line 321: define “EAB” here</w:t>
      </w:r>
    </w:p>
    <w:p>
      <w:pPr>
        <w:pStyle w:val="Compact"/>
        <w:numPr>
          <w:ilvl w:val="0"/>
          <w:numId w:val="1044"/>
        </w:numPr>
      </w:pPr>
      <w:r>
        <w:t xml:space="preserve">EAB is now defined at its first use in the manuscript (Methods), and the abbreviation is used consistently afterwards.</w:t>
      </w:r>
    </w:p>
    <w:p>
      <w:pPr>
        <w:pStyle w:val="FirstParagraph"/>
      </w:pPr>
      <w:r>
        <w:t xml:space="preserve">Lines 381. I totally agree that the inclusion of nuisance species in the carbon cycle model is a good point, but how? If the authors could elaborate on this a bit, that would be better.</w:t>
      </w:r>
    </w:p>
    <w:p>
      <w:pPr>
        <w:pStyle w:val="Compact"/>
        <w:numPr>
          <w:ilvl w:val="0"/>
          <w:numId w:val="1045"/>
        </w:numPr>
      </w:pPr>
      <w:r>
        <w:t xml:space="preserve">See our response to the Editor and Reviewer 2 (L381–395): we cut this paragraph to a single sentence.</w:t>
      </w:r>
    </w:p>
    <w:bookmarkEnd w:id="28"/>
    <w:bookmarkEnd w:id="29"/>
    <w:bookmarkStart w:id="31" w:name="references"/>
    <w:p>
      <w:pPr>
        <w:pStyle w:val="Heading1"/>
      </w:pPr>
      <w:r>
        <w:t xml:space="preserve">References</w:t>
      </w:r>
    </w:p>
    <w:bookmarkStart w:id="30" w:name="refs"/>
    <w:bookmarkEnd w:id="30"/>
    <w:bookmarkEnd w:id="31"/>
    <w:sectPr w:rsidR="00300462" w:rsidSect="00F93C6A">
      <w:footerReference r:id="rId9" w:type="even"/>
      <w:footerReference r:id="rId10" w:type="default"/>
      <w:pgSz w:h="15840" w:w="12240"/>
      <w:pgMar w:bottom="1440" w:footer="720" w:gutter="0" w:header="720" w:left="1440" w:right="1440" w:top="1440"/>
      <w:lnNumType w:countBy="1" w:restart="continuous"/>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9534609"/>
      <w:docPartObj>
        <w:docPartGallery w:val="Page Numbers (Bottom of Page)"/>
        <w:docPartUnique/>
      </w:docPartObj>
    </w:sdtPr>
    <w:sdtEndPr>
      <w:rPr>
        <w:rStyle w:val="PageNumber"/>
      </w:rPr>
    </w:sdtEndPr>
    <w:sdtContent>
      <w:p w14:paraId="557CDBF3" w14:textId="0060D992" w:rsidR="00F93C6A" w:rsidRDefault="00F93C6A" w:rsidP="00F93C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7E1F1F" w14:textId="77777777" w:rsidR="00F93C6A" w:rsidRDefault="00F93C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3742248"/>
      <w:docPartObj>
        <w:docPartGallery w:val="Page Numbers (Bottom of Page)"/>
        <w:docPartUnique/>
      </w:docPartObj>
    </w:sdtPr>
    <w:sdtEndPr>
      <w:rPr>
        <w:rStyle w:val="PageNumber"/>
      </w:rPr>
    </w:sdtEndPr>
    <w:sdtContent>
      <w:p w14:paraId="40316D01" w14:textId="5F070589" w:rsidR="00F93C6A" w:rsidRDefault="00F93C6A" w:rsidP="00F93C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E444D5" w14:textId="77777777" w:rsidR="00F93C6A" w:rsidRDefault="00F93C6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9B9AE3D4"/>
    <w:lvl w:ilvl="0">
      <w:start w:val="1"/>
      <w:numFmt w:val="decimal"/>
      <w:lvlText w:val="%1."/>
      <w:lvlJc w:val="left"/>
      <w:pPr>
        <w:ind w:hanging="360" w:left="36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FFDAFAC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71315DCA"/>
    <w:multiLevelType w:val="multilevel"/>
    <w:tmpl w:val="724A05B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1"/>
  </w:num>
  <w:num w:numId="2">
    <w:abstractNumId w:val="0"/>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62CF8"/>
    <w:rsid w:val="00300462"/>
    <w:rsid w:val="00304F3A"/>
    <w:rsid w:val="003C03BA"/>
    <w:rsid w:val="004E29B3"/>
    <w:rsid w:val="00590D07"/>
    <w:rsid w:val="006944DD"/>
    <w:rsid w:val="0073102D"/>
    <w:rsid w:val="00784D58"/>
    <w:rsid w:val="008D6863"/>
    <w:rsid w:val="008E3A42"/>
    <w:rsid w:val="00B03658"/>
    <w:rsid w:val="00B86B75"/>
    <w:rsid w:val="00BC48D5"/>
    <w:rsid w:val="00C36279"/>
    <w:rsid w:val="00DD5C9E"/>
    <w:rsid w:val="00E315A3"/>
    <w:rsid w:val="00EE43AB"/>
    <w:rsid w:val="00F93C6A"/>
    <w:rsid w:val="00FD4294"/>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171D"/>
    <w:rPr>
      <w:rFonts w:ascii="Palatino Linotype" w:hAnsi="Palatino Linotype"/>
      <w:sz w:val="22"/>
      <w:szCs w:val="22"/>
    </w:rPr>
  </w:style>
  <w:style w:styleId="Heading1" w:type="paragraph">
    <w:name w:val="heading 1"/>
    <w:basedOn w:val="Normal"/>
    <w:next w:val="BodyText"/>
    <w:uiPriority w:val="9"/>
    <w:qFormat/>
    <w:rsid w:val="00536FDD"/>
    <w:pPr>
      <w:keepNext/>
      <w:keepLines/>
      <w:spacing w:after="0" w:before="480"/>
      <w:outlineLvl w:val="0"/>
    </w:pPr>
    <w:rPr>
      <w:rFonts w:cstheme="majorBidi" w:eastAsiaTheme="majorEastAsia"/>
      <w:b/>
      <w:bCs/>
      <w:color w:themeColor="text1" w:val="000000"/>
      <w:sz w:val="24"/>
      <w:szCs w:val="24"/>
    </w:rPr>
  </w:style>
  <w:style w:styleId="Heading2" w:type="paragraph">
    <w:name w:val="heading 2"/>
    <w:basedOn w:val="Normal"/>
    <w:next w:val="BodyText"/>
    <w:uiPriority w:val="9"/>
    <w:unhideWhenUsed/>
    <w:qFormat/>
    <w:rsid w:val="00ED0677"/>
    <w:pPr>
      <w:keepNext/>
      <w:keepLines/>
      <w:spacing w:after="0" w:before="200"/>
      <w:outlineLvl w:val="1"/>
    </w:pPr>
    <w:rPr>
      <w:rFonts w:cstheme="majorBidi" w:eastAsiaTheme="majorEastAsia"/>
      <w:b/>
      <w:bCs/>
      <w:color w:themeColor="text1" w:val="000000"/>
    </w:rPr>
  </w:style>
  <w:style w:styleId="Heading3" w:type="paragraph">
    <w:name w:val="heading 3"/>
    <w:basedOn w:val="Normal"/>
    <w:next w:val="BodyText"/>
    <w:uiPriority w:val="9"/>
    <w:unhideWhenUsed/>
    <w:qFormat/>
    <w:rsid w:val="00ED0677"/>
    <w:pPr>
      <w:keepNext/>
      <w:keepLines/>
      <w:spacing w:after="0" w:before="200"/>
      <w:outlineLvl w:val="2"/>
    </w:pPr>
    <w:rPr>
      <w:rFonts w:cstheme="majorBidi" w:eastAsiaTheme="majorEastAsia"/>
      <w:i/>
      <w:iCs/>
      <w:color w:themeColor="text1" w:val="000000"/>
    </w:rPr>
  </w:style>
  <w:style w:styleId="Heading4" w:type="paragraph">
    <w:name w:val="heading 4"/>
    <w:basedOn w:val="Normal"/>
    <w:next w:val="BodyText"/>
    <w:uiPriority w:val="9"/>
    <w:unhideWhenUsed/>
    <w:qFormat/>
    <w:rsid w:val="003B551E"/>
    <w:pPr>
      <w:keepNext/>
      <w:keepLines/>
      <w:spacing w:after="0" w:before="200"/>
      <w:outlineLvl w:val="3"/>
    </w:pPr>
    <w:rPr>
      <w:rFonts w:cstheme="majorBidi" w:eastAsiaTheme="majorEastAsia"/>
      <w:bCs/>
      <w:i/>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171D"/>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Heading2"/>
    <w:next w:val="BodyText"/>
    <w:qFormat/>
    <w:rsid w:val="003B551E"/>
    <w:rPr>
      <w:sz w:val="24"/>
      <w:szCs w:val="24"/>
    </w:rPr>
  </w:style>
  <w:style w:styleId="Subtitle" w:type="paragraph">
    <w:name w:val="Subtitle"/>
    <w:basedOn w:val="Title"/>
    <w:next w:val="BodyText"/>
    <w:qFormat/>
    <w:pPr>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BalloonText" w:type="paragraph">
    <w:name w:val="Balloon Text"/>
    <w:basedOn w:val="Normal"/>
    <w:link w:val="BalloonTextChar"/>
    <w:semiHidden/>
    <w:unhideWhenUsed/>
    <w:rsid w:val="00C169C3"/>
    <w:pPr>
      <w:spacing w:after="0"/>
    </w:pPr>
    <w:rPr>
      <w:rFonts w:ascii="Times New Roman" w:cs="Times New Roman" w:hAnsi="Times New Roman"/>
      <w:sz w:val="18"/>
      <w:szCs w:val="18"/>
    </w:rPr>
  </w:style>
  <w:style w:customStyle="1" w:styleId="BalloonTextChar" w:type="character">
    <w:name w:val="Balloon Text Char"/>
    <w:basedOn w:val="DefaultParagraphFont"/>
    <w:link w:val="BalloonText"/>
    <w:semiHidden/>
    <w:rsid w:val="00C169C3"/>
    <w:rPr>
      <w:rFonts w:ascii="Times New Roman" w:cs="Times New Roman" w:hAnsi="Times New Roman"/>
      <w:sz w:val="18"/>
      <w:szCs w:val="18"/>
    </w:rPr>
  </w:style>
  <w:style w:styleId="Footer" w:type="paragraph">
    <w:name w:val="footer"/>
    <w:basedOn w:val="Normal"/>
    <w:link w:val="FooterChar"/>
    <w:unhideWhenUsed/>
    <w:rsid w:val="00F93C6A"/>
    <w:pPr>
      <w:tabs>
        <w:tab w:pos="4680" w:val="center"/>
        <w:tab w:pos="9360" w:val="right"/>
      </w:tabs>
      <w:spacing w:after="0"/>
    </w:pPr>
  </w:style>
  <w:style w:customStyle="1" w:styleId="FooterChar" w:type="character">
    <w:name w:val="Footer Char"/>
    <w:basedOn w:val="DefaultParagraphFont"/>
    <w:link w:val="Footer"/>
    <w:rsid w:val="00F93C6A"/>
    <w:rPr>
      <w:rFonts w:ascii="Palatino Linotype" w:hAnsi="Palatino Linotype"/>
      <w:sz w:val="22"/>
      <w:szCs w:val="22"/>
    </w:rPr>
  </w:style>
  <w:style w:styleId="PageNumber" w:type="character">
    <w:name w:val="page number"/>
    <w:basedOn w:val="DefaultParagraphFont"/>
    <w:semiHidden/>
    <w:unhideWhenUsed/>
    <w:rsid w:val="00F93C6A"/>
  </w:style>
  <w:style w:styleId="LineNumber" w:type="character">
    <w:name w:val="line number"/>
    <w:basedOn w:val="DefaultParagraphFont"/>
    <w:semiHidden/>
    <w:unhideWhenUsed/>
    <w:rsid w:val="00F93C6A"/>
  </w:style>
  <w:style w:customStyle="1" w:styleId="RevisedText" w:type="character">
    <w:name w:val="Revised text"/>
    <w:uiPriority w:val="99"/>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2.xml" Type="http://schemas.openxmlformats.org/officeDocument/2006/relationships/footer"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Smithsonian</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2026-10-07T12:52:06Z</dcterms:created>
  <dcterms:modified xsi:type="dcterms:W3CDTF">2026-10-07T12:52:06Z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citations.bib</vt:lpwstr>
  </property>
  <property fmtid="{D5CDD505-2E9C-101B-9397-08002B2CF9AE}" pid="3" name="csl">
    <vt:lpwstr>new-phytologist.csl</vt:lpwstr>
  </property>
  <property fmtid="{D5CDD505-2E9C-101B-9397-08002B2CF9AE}" pid="4" name="output">
    <vt:lpwstr/>
  </property>
</Properties>
</file>