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KÜNSTLERISCHER LEBENSLAUF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Künstlerische Keramik und Skulptur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Geboren 1997 in der Ukraine</w:t>
              <w:br/>
              <w:t>Wohnort: Deutschland, Chemnitz, Sachsen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Ukrainische Künstlerin mit Schwerpunkt auf keramischer Skulptur, veränderbaren Kompositionen, Zeichnung und Malerei. Die künstlerische Idee leitet meine Praxis: Durch das Verhältnis von Figur, Raum und Material untersuche ich Identität, Erinnerung und menschliche Beziehungen.</w:t>
      </w:r>
    </w:p>
    <w:p>
      <w:pPr>
        <w:pStyle w:val="Heading1"/>
      </w:pPr>
      <w:r>
        <w:t>AUSBILDUNG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Masterabschluss · Staatliche Akademie für dekorative Kunst und Design namens Mychajlo Bojtschuk,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Bachelorabschluss · Staatliche Akademie für dekorative Kunst und Design namens Mychajlo Bojtschuk,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Diplom: Junior-Spezialistin · Kunstfachschule Charkiw, Ukraine. Kunst; Qualifikation: ausführende Künstlerin und Lehrerin.</w:t>
            </w:r>
          </w:p>
        </w:tc>
      </w:tr>
    </w:tbl>
    <w:p>
      <w:pPr>
        <w:pStyle w:val="Heading1"/>
      </w:pPr>
      <w:r>
        <w:t>MITGLIEDSCHAFT</w:t>
      </w:r>
    </w:p>
    <w:p>
      <w:r>
        <w:t>Seit August 2022 — Verband Polnischer Bildender Künstler (ZPAP), Warschau, Polen.</w:t>
      </w:r>
    </w:p>
    <w:p>
      <w:pPr>
        <w:pStyle w:val="Heading1"/>
      </w:pPr>
      <w:r>
        <w:t>RESIDENZEN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Kunst für die Ukraine · zweiwöchige internationale Künstlerresidenz, Brenna, Polen.</w:t>
            </w:r>
          </w:p>
        </w:tc>
      </w:tr>
    </w:tbl>
    <w:p>
      <w:pPr>
        <w:pStyle w:val="Heading1"/>
      </w:pPr>
      <w:r>
        <w:t>AUSSTELLUNGEN UND PROJEKTE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Unbeugsamkeit der Tradition — Nationalmuseum für dekorative Kunst der Ukraine,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Kunst der Jungen — Ausstellungsprojekt, Lwiw,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Erbe und Innovation — Nationaler Künstlerverband,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Wurzeln der ukrainischen Seele — Warschau,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Wurzeln der ukrainischen Seele — Haus der Europäischen Union, Riga, Lettland.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AUSSTELLUNGEN FORTSETZUNG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Europäische Kommission, Helsinki, Finnland.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Das Gute — eine Anleitung. Polnisch-ukrainische Philosophie- und Kunstausstellung für Kinder von 4 bis 104 Jahren — Wawerskie Centrum Kultury, Międzylesie, Warschau,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Zweite nationale Biennale der keramischen Kleinform — Kulturzentrum Wejherowo, Wejherowo,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Azymut Chrzęsne 2022 — Vernissage, Chrzęsne,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eintägige Ausstellung, Warschau,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„Przytulnia“ — eintägige Ausstellung, Brenna,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Projekt zeitgenössischer Keramik, Galerie CeGlinaArt,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Bestes Werk des Jahres 2019 — gesamtukrainische Ausstellung und Wettbewerb, Nationaler Verband der Volkskunstschaffenden der Ukraine, Kyjiw, Ukraine.</w:t>
            </w:r>
          </w:p>
        </w:tc>
      </w:tr>
    </w:tbl>
    <w:p>
      <w:pPr>
        <w:pStyle w:val="Heading1"/>
      </w:pPr>
      <w:r>
        <w:t>AUSZEICHNUNGEN UND STIPENDIEN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Stipendium des Wawerskie Centrum Kultury, Warschau, Polen · Projekt „Ohne Titel. Hat das Gute einen Namen“.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Internationales Kunstfestival, London, Vereinigtes Königreich — erster und zweiter Platz.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Mein Raum der Inspiration, dritter gesamtukrainischer Wettbewerb für angewandte und bildende Kunst, Luzk, Ukraine — erster Platz.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MALYUY.UA, Internationales Kunstfestival, Kyjiw, Ukraine — Finalistin.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Man kann nie zu viele Träume haben, zweiter gesamtukrainischer Kunstwettbewerb, Ternopil, Ukraine — erster Platz.</w:t>
            </w:r>
          </w:p>
        </w:tc>
      </w:tr>
    </w:tbl>
    <w:p>
      <w:pPr>
        <w:pStyle w:val="Heading1"/>
      </w:pPr>
      <w:r>
        <w:t>BERUFLICHE PRAXIS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Entwicklung künstlerischer Lösungen, dekorative Gestaltung keramischer Arbeiten sowie Arbeit mit Form, Oberflächenstruktur, Glasuren und Pigmenten.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Entwicklung künstlerischer und dekorativer Lösungen, Organisation von Arbeitsabläufen, Teamkoordination, Zusammenarbeit mit Partnern und Lieferanten sowie Mitwirkung an der Mitarbeiterschulung.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Keramikkurse und Workshops für Kinder und Erwachsene, Entwicklung von Lernaufgaben und kreativen Übungen sowie Ausführung individueller künstlerischer Aufträge.</w:t>
            </w:r>
          </w:p>
        </w:tc>
      </w:tr>
    </w:tbl>
    <w:p>
      <w:pPr>
        <w:pStyle w:val="Heading1"/>
      </w:pPr>
      <w:r>
        <w:t>SPRACHKENNTNISSE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Ukrainisch — Muttersprache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Russisch — muttersprachliches Niveau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Polnisch — kommunikativ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Deutsch — B1, durch Zertifikat bestätigt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Englisch — Grundkenntnisse.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Künstlerischer Lebenslauf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