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ХУДОЖНИЦЫ</w:t>
      </w:r>
    </w:p>
    <w:p>
      <w:pPr>
        <w:pStyle w:val="Title"/>
      </w:pPr>
      <w:r>
        <w:rPr>
          <w:spacing w:val="24"/>
        </w:rP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Родилась в 1997 году, Украина</w:t>
              <w:br/>
              <w:t>Проживает: Германия, Хемниц, Саксония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Украинская художница, работающая с керамической скульптурой, трансформативными композициями, графикой и живописью. В центре моей практики — творческий замысел: через отношения фигуры, пространства и материала я исследую идентичность, память и человеческие связи.</w:t>
      </w:r>
    </w:p>
    <w:p>
      <w:pPr>
        <w:pStyle w:val="Heading1"/>
      </w:pPr>
      <w:r>
        <w:t>ОБРАЗОВАНИЕ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Магистр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Младший специалист · Художественное училище, Харьков, Украина. Искусство; квалификация: художник-исполнитель, преподаватель.</w:t>
            </w:r>
          </w:p>
        </w:tc>
      </w:tr>
    </w:tbl>
    <w:p>
      <w:pPr>
        <w:pStyle w:val="Heading1"/>
      </w:pPr>
      <w:r>
        <w:t>ПРОФЕССИОНАЛЬНОЕ ЧЛЕНСТВО</w:t>
      </w:r>
    </w:p>
    <w:p>
      <w:r>
        <w:t>С августа 2022 — Ассоциация польских художников и дизайнеров (ZPAP), Варшава, Польша.</w:t>
      </w:r>
    </w:p>
    <w:p>
      <w:pPr>
        <w:pStyle w:val="Heading1"/>
      </w:pPr>
      <w:r>
        <w:t>РЕЗИДЕНЦИИ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для Украины» · двухнедельная международная художественная резиденция, Бренна, Польша.</w:t>
            </w:r>
          </w:p>
        </w:tc>
      </w:tr>
    </w:tbl>
    <w:p>
      <w:pPr>
        <w:pStyle w:val="Heading1"/>
      </w:pPr>
      <w:r>
        <w:t>ВЫСТАВКИ И ПРОЕКТЫ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«Несокрушимость традиции» — Национальный музей декоративного искусства Украины,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молодых» — выставочный проект, Львов,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«Преемственность и новаторство» — Национальный союз художников,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Дом Европейского союза, Рига, Латвия.</w:t>
            </w:r>
          </w:p>
        </w:tc>
      </w:tr>
    </w:tbl>
    <w:p>
      <w:r>
        <w:br w:type="page"/>
      </w:r>
    </w:p>
    <w:p>
      <w:pPr>
        <w:pStyle w:val="Title"/>
      </w:pPr>
      <w:r>
        <w:t>КРИСТИНА МИЩЕНКО</w:t>
      </w:r>
    </w:p>
    <w:p>
      <w:pPr>
        <w:pStyle w:val="Heading1"/>
      </w:pPr>
      <w:r>
        <w:t>ПРОДОЛЖЕНИЕ ВЫСТАВОЧНОГО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Европейская комиссия, Хельсинки, Финляндия.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инструкция» — польско-украинская выставка философии и искусства для детей от 4 до 104 лет; Wawerskie Centrum Kultury, Мендзылесе,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Второе национальное биеннале малой керамической формы — Культурный центр Вейхерово, Вейхерово,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вернисаж, Хшенсне,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однодневная выставка,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однодневная выставка, Бренна,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проект современной керамики, галерея CeGlinaArt,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«Лучшее произведение 2019 года» — всеукраинская выставка-конкурс, Национальное объединение художников народного искусства Украины, Киев, Украина.</w:t>
            </w:r>
          </w:p>
        </w:tc>
      </w:tr>
    </w:tbl>
    <w:p>
      <w:pPr>
        <w:pStyle w:val="Heading1"/>
      </w:pPr>
      <w:r>
        <w:t>НАГРАДЫ И СТИПЕНДИИ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Стипендия Wawerskie Centrum Kultury, Варшава, Польша · проект «Без названия. Есть ли у добра имя».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международный фестиваль искусств, Лондон, Великобритания — 1-е и 2-е места.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территория вдохновения», III Всеукраинский конкурс прикладного и изобразительного искусства, Луцк, Украина — 1-е место.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международный художественный фестиваль, Киев, Украина — финалист.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«Мечтаний не бывает слишком много», II Всеукраинский художественный конкурс, Тернополь, Украина — 1-е место.</w:t>
            </w:r>
          </w:p>
        </w:tc>
      </w:tr>
    </w:tbl>
    <w:p>
      <w:pPr>
        <w:pStyle w:val="Heading1"/>
      </w:pPr>
      <w:r>
        <w:t>ПРАКТИЧЕСКИЙ ОПЫТ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Разработка художественных решений, декоративное оформление керамических изделий, работа с формой, фактурой, глазурями и пигментами.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Разработка художественных и декоративных решений, организация рабочих процессов, координация команды, взаимодействие с партнёрами и поставщиками, участие в обучении сотрудников.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Проведение занятий и мастер-классов по керамике для детей и взрослых, разработка учебных и творческих заданий, выполнение индивидуальных художественных заказов.</w:t>
            </w:r>
          </w:p>
        </w:tc>
      </w:tr>
    </w:tbl>
    <w:p>
      <w:pPr>
        <w:pStyle w:val="Heading1"/>
      </w:pPr>
      <w:r>
        <w:t>ЯЗЫКИ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Украинский — родной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русский — уровень носителя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Польский — коммуникативный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немецкий — B1, подтверждён сертификатом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английский — начальный.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художницы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