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Ukraińska artystka pracująca z rzeźbą ceramiczną, małą plastyką dekoracyjną, kompozycjami transformowalnymi, grafiką i malarstwem. Podstawą jej praktyki jest opracowanie zamysłu artystycznego i jego realizacja poprzez współdziałanie formy, przestrzeni i materiału. Jej prace badają kwestie tożsamości, pamięci i więzi międzyludzkich, ze szczególnym uwzględnieniem roli odbiorcy w postrzeganiu i przekształcaniu obrazu artystycznego.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JĘZYKI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Ukraiński — ojczysty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rosyjski — na poziomie rodzimego użytkownika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niemiecki — B1, potwierdzony certyfikatem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Polski — komunikatywny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angielski — początkujący.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