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140" w:before="0" w:line="520" w:lineRule="exact"/>
        <w:jc w:val="left"/>
      </w:pPr>
      <w:r>
        <w:rPr>
          <w:rFonts w:ascii="Arial" w:hAnsi="Arial"/>
          <w:b/>
          <w:sz w:val="44"/>
        </w:rPr>
        <w:t>Krystyna Mishchenko</w:t>
      </w:r>
    </w:p>
    <w:p>
      <w:pPr>
        <w:keepNext/>
        <w:widowControl/>
        <w:spacing w:after="100" w:before="0" w:line="270" w:lineRule="exact"/>
        <w:jc w:val="left"/>
      </w:pPr>
      <w:r>
        <w:rPr>
          <w:rFonts w:ascii="Arial" w:hAnsi="Arial"/>
          <w:b/>
          <w:sz w:val="22"/>
        </w:rPr>
        <w:t>KÜNSTLERISCHER WERDEGANG</w:t>
      </w:r>
    </w:p>
    <w:p>
      <w:pPr>
        <w:widowControl/>
        <w:spacing w:after="120" w:before="0" w:line="260" w:lineRule="exact"/>
        <w:jc w:val="left"/>
      </w:pPr>
      <w:r>
        <w:rPr>
          <w:rFonts w:ascii="Arial" w:hAnsi="Arial"/>
          <w:b w:val="0"/>
          <w:sz w:val="21"/>
        </w:rPr>
        <w:t>Keramikkünstlerin | Skulptur | Bildende Kunst</w:t>
      </w:r>
    </w:p>
    <w:p>
      <w:pPr>
        <w:keepNext/>
        <w:widowControl/>
        <w:spacing w:after="180" w:before="200" w:line="320" w:lineRule="exact"/>
        <w:jc w:val="left"/>
      </w:pPr>
      <w:r>
        <w:rPr>
          <w:rFonts w:ascii="Arial" w:hAnsi="Arial"/>
          <w:b/>
          <w:color w:val="574B36"/>
          <w:sz w:val="26"/>
        </w:rPr>
        <w:t>Von der Zeichnung zur räumlichen Form</w:t>
      </w:r>
    </w:p>
    <w:p>
      <w:pPr>
        <w:widowControl/>
        <w:spacing w:after="180" w:before="0" w:line="280" w:lineRule="exact"/>
        <w:jc w:val="both"/>
      </w:pPr>
      <w:r>
        <w:rPr>
          <w:rFonts w:ascii="Arial" w:hAnsi="Arial"/>
          <w:b w:val="0"/>
          <w:sz w:val="21"/>
        </w:rPr>
        <w:t>Krystyna Mishchenko ist eine ukrainische Künstlerin an der Schnittstelle von zeitgenössischer keramischer Skulptur, dekorativer und angewandter Kunst sowie bildender Kunst. Im Mittelpunkt der künstlerischen Praxis stehen Fragen nach menschlicher Identität, innerer Freiheit, Erinnerung, Individualität und der Beziehung des Individuums zu seiner Umwelt.</w:t>
      </w:r>
    </w:p>
    <w:p>
      <w:pPr>
        <w:widowControl/>
        <w:spacing w:after="180" w:before="0" w:line="280" w:lineRule="exact"/>
        <w:jc w:val="both"/>
      </w:pPr>
      <w:r>
        <w:rPr>
          <w:rFonts w:ascii="Arial" w:hAnsi="Arial"/>
          <w:b w:val="0"/>
          <w:sz w:val="21"/>
        </w:rPr>
        <w:t>Die professionelle künstlerische Ausbildung begann in Charkiw. Von 2012 bis 2016 erfolgte dort die Ausbildung in akademischem Zeichnen, Malerei, Komposition und kunstpädagogischen Fächern. Diese Vorbereitung bildete die Grundlage für die weitere Erforschung plastischer Formen, visueller Sprache und der Möglichkeiten künstlerischen Selbstausdrucks.</w:t>
      </w:r>
    </w:p>
    <w:p>
      <w:pPr>
        <w:widowControl/>
        <w:spacing w:after="180" w:before="0" w:line="280" w:lineRule="exact"/>
        <w:jc w:val="both"/>
      </w:pPr>
      <w:r>
        <w:rPr>
          <w:rFonts w:ascii="Arial" w:hAnsi="Arial"/>
          <w:b w:val="0"/>
          <w:sz w:val="21"/>
        </w:rPr>
        <w:t>Die nächste Etappe war das Studium an der Staatlichen Akademie für dekorative und angewandte Kunst und Design namens Mychajlo Bojtschuk in Kyjiw. 2020 wurde das Bachelorstudium abgeschlossen, 2022 folgte der Masterabschluss mit Schwerpunkt künstlerische Keramik.</w:t>
      </w:r>
    </w:p>
    <w:p>
      <w:pPr>
        <w:widowControl/>
        <w:spacing w:after="180" w:before="0" w:line="280" w:lineRule="exact"/>
        <w:jc w:val="both"/>
      </w:pPr>
      <w:r>
        <w:rPr>
          <w:rFonts w:ascii="Arial" w:hAnsi="Arial"/>
          <w:b w:val="0"/>
          <w:sz w:val="21"/>
        </w:rPr>
        <w:t>In dieser Zeit etablierte sich Keramik allmählich als wichtigstes Mittel zur Umsetzung künstlerischer Ideen: als Material, das skulpturale Form, Farbe, Oberflächenstruktur und Raum zu einer gemeinsamen konzeptuellen Aussage verbinden kann.</w:t>
      </w:r>
    </w:p>
    <w:p>
      <w:pPr>
        <w:keepNext/>
        <w:widowControl/>
        <w:spacing w:after="180" w:before="200" w:line="320" w:lineRule="exact"/>
        <w:jc w:val="left"/>
      </w:pPr>
      <w:r>
        <w:rPr>
          <w:rFonts w:ascii="Arial" w:hAnsi="Arial"/>
          <w:b/>
          <w:color w:val="574B36"/>
          <w:sz w:val="26"/>
        </w:rPr>
        <w:t>Material als Sprache künstlerischer Aussagen</w:t>
      </w:r>
    </w:p>
    <w:p>
      <w:pPr>
        <w:widowControl/>
        <w:spacing w:after="180" w:before="0" w:line="280" w:lineRule="exact"/>
        <w:jc w:val="both"/>
      </w:pPr>
      <w:r>
        <w:rPr>
          <w:rFonts w:ascii="Arial" w:hAnsi="Arial"/>
          <w:b w:val="0"/>
          <w:sz w:val="21"/>
        </w:rPr>
        <w:t>Keramik geht in dieser künstlerischen Praxis über die traditionelle Vorstellung eines dekorativen oder funktionalen Gegenstands hinaus. Sie wird zu einer eigenständigen künstlerischen Sprache, die komplexe emotionale Zustände, philosophische Überlegungen und Widersprüche menschlicher Existenz vermitteln kann.</w:t>
      </w:r>
    </w:p>
    <w:p>
      <w:pPr>
        <w:widowControl/>
        <w:spacing w:after="180" w:before="0" w:line="280" w:lineRule="exact"/>
        <w:jc w:val="both"/>
      </w:pPr>
      <w:r>
        <w:rPr>
          <w:rFonts w:ascii="Arial" w:hAnsi="Arial"/>
          <w:b w:val="0"/>
          <w:sz w:val="21"/>
        </w:rPr>
        <w:t>Besondere Aufmerksamkeit gilt dem Zusammenspiel geometrischer und organischer Formen, dem Verhältnis von materiellem Volumen und Leere, den Kontrasten von Farbe und Oberflächenstruktur sowie der symbolischen Ausdruckskraft dekorativer Elemente.</w:t>
      </w:r>
    </w:p>
    <w:p>
      <w:pPr>
        <w:widowControl/>
        <w:spacing w:after="180" w:before="0" w:line="280" w:lineRule="exact"/>
        <w:jc w:val="both"/>
      </w:pPr>
      <w:r>
        <w:rPr>
          <w:rFonts w:ascii="Arial" w:hAnsi="Arial"/>
          <w:b w:val="0"/>
          <w:sz w:val="21"/>
        </w:rPr>
        <w:t>Die Arbeit mit schamottierten Tonmassen, Glasuren, Pigmenten, Oxiden, Smalten und Buntglas eröffnet Möglichkeiten, Oberfläche, Licht und die räumliche Wahrnehmung eines Objekts zu erforschen.</w:t>
      </w:r>
    </w:p>
    <w:p>
      <w:pPr>
        <w:widowControl/>
        <w:spacing w:after="180" w:before="0" w:line="280" w:lineRule="exact"/>
        <w:jc w:val="both"/>
      </w:pPr>
      <w:r>
        <w:rPr>
          <w:rFonts w:ascii="Arial" w:hAnsi="Arial"/>
          <w:b w:val="0"/>
          <w:sz w:val="21"/>
        </w:rPr>
        <w:t>Einen wichtigen Stellenwert hat die Verbindung akademischer künstlerischer Ausbildung mit einem experimentellen Umgang mit Komposition. Skulptur, dekorative Keramik, Grafik und Malerei werden nicht als isolierte Bereiche verstanden, sondern als einander ergänzende Mittel zur Entwicklung einer individuellen visuellen Sprache.</w:t>
      </w:r>
    </w:p>
    <w:p>
      <w:pPr>
        <w:widowControl/>
        <w:spacing w:after="180" w:before="0" w:line="280" w:lineRule="exact"/>
        <w:jc w:val="both"/>
      </w:pPr>
      <w:r>
        <w:rPr>
          <w:rFonts w:ascii="Arial" w:hAnsi="Arial"/>
          <w:b w:val="0"/>
          <w:sz w:val="21"/>
        </w:rPr>
        <w:t>Zur beruflichen Praxis gehören auch die Entwicklung künstlerischer Konzepte, die Koordination kreativer Teams und Keramikunterricht für Kinder und Erwachsene. Pädagogische Arbeit schafft zusätzlichen Raum für den Austausch künstlerischer Erfahrungen, die Entwicklung kreativen Denkens und die Untersuchung unterschiedlicher Formen der Kunstwahrnehmung.</w:t>
      </w:r>
    </w:p>
    <w:p>
      <w:r>
        <w:br w:type="page"/>
      </w:r>
    </w:p>
    <w:p>
      <w:pPr>
        <w:keepNext/>
        <w:widowControl/>
        <w:spacing w:after="140" w:before="0" w:line="520" w:lineRule="exact"/>
        <w:jc w:val="left"/>
      </w:pPr>
      <w:r>
        <w:rPr>
          <w:rFonts w:ascii="Arial" w:hAnsi="Arial"/>
          <w:b/>
          <w:sz w:val="44"/>
        </w:rPr>
        <w:t>KÜNSTLERISCHER WERDEGANG</w:t>
      </w:r>
    </w:p>
    <w:p>
      <w:pPr>
        <w:widowControl/>
        <w:spacing w:after="120" w:before="0" w:line="260" w:lineRule="exact"/>
        <w:jc w:val="left"/>
      </w:pPr>
      <w:r>
        <w:rPr>
          <w:rFonts w:ascii="Arial" w:hAnsi="Arial"/>
          <w:b w:val="0"/>
          <w:sz w:val="21"/>
        </w:rPr>
        <w:t>Krystyna Mishchenko</w:t>
      </w:r>
    </w:p>
    <w:p>
      <w:pPr>
        <w:keepNext/>
        <w:widowControl/>
        <w:spacing w:after="180" w:before="200" w:line="320" w:lineRule="exact"/>
        <w:jc w:val="left"/>
      </w:pPr>
      <w:r>
        <w:rPr>
          <w:rFonts w:ascii="Arial" w:hAnsi="Arial"/>
          <w:b/>
          <w:color w:val="574B36"/>
          <w:sz w:val="26"/>
        </w:rPr>
        <w:t>Ausstellungen und Kunstprojekte</w:t>
      </w:r>
    </w:p>
    <w:p>
      <w:pPr>
        <w:widowControl/>
        <w:spacing w:after="120" w:before="0" w:line="260" w:lineRule="exact"/>
        <w:jc w:val="both"/>
      </w:pPr>
      <w:r>
        <w:rPr>
          <w:rFonts w:ascii="Arial" w:hAnsi="Arial"/>
          <w:b w:val="0"/>
          <w:sz w:val="21"/>
        </w:rPr>
        <w:t>11.04.2024 | Unbeugsamkeit der Tradition — Nationalmuseum für dekorative Kunst der Ukraine, Kyjiw, Ukraine.</w:t>
      </w:r>
    </w:p>
    <w:p>
      <w:pPr>
        <w:widowControl/>
        <w:spacing w:after="120" w:before="0" w:line="260" w:lineRule="exact"/>
        <w:jc w:val="both"/>
      </w:pPr>
      <w:r>
        <w:rPr>
          <w:rFonts w:ascii="Arial" w:hAnsi="Arial"/>
          <w:b w:val="0"/>
          <w:sz w:val="21"/>
        </w:rPr>
        <w:t>2023 | Kunst der Jungen — Ausstellungsprojekt, Lwiw, Ukraine.</w:t>
      </w:r>
    </w:p>
    <w:p>
      <w:pPr>
        <w:widowControl/>
        <w:spacing w:after="120" w:before="0" w:line="260" w:lineRule="exact"/>
        <w:jc w:val="both"/>
      </w:pPr>
      <w:r>
        <w:rPr>
          <w:rFonts w:ascii="Arial" w:hAnsi="Arial"/>
          <w:b w:val="0"/>
          <w:sz w:val="21"/>
        </w:rPr>
        <w:t>2023 | Erbe und Innovation — Nationaler Künstlerverband, Kyjiw, Ukraine.</w:t>
      </w:r>
    </w:p>
    <w:p>
      <w:pPr>
        <w:widowControl/>
        <w:spacing w:after="120" w:before="0" w:line="260" w:lineRule="exact"/>
        <w:jc w:val="both"/>
      </w:pPr>
      <w:r>
        <w:rPr>
          <w:rFonts w:ascii="Arial" w:hAnsi="Arial"/>
          <w:b w:val="0"/>
          <w:sz w:val="21"/>
        </w:rPr>
        <w:t>15.04–07.05.2023 | Wurzeln der ukrainischen Seele — Warschau, Polen.</w:t>
      </w:r>
    </w:p>
    <w:p>
      <w:pPr>
        <w:widowControl/>
        <w:spacing w:after="120" w:before="0" w:line="260" w:lineRule="exact"/>
        <w:jc w:val="both"/>
      </w:pPr>
      <w:r>
        <w:rPr>
          <w:rFonts w:ascii="Arial" w:hAnsi="Arial"/>
          <w:b w:val="0"/>
          <w:sz w:val="21"/>
        </w:rPr>
        <w:t>17.02–03.03.2023 | Wurzeln der ukrainischen Seele — Haus der Europäischen Union, Riga, Lettland.</w:t>
      </w:r>
    </w:p>
    <w:p>
      <w:pPr>
        <w:widowControl/>
        <w:spacing w:after="120" w:before="0" w:line="260" w:lineRule="exact"/>
        <w:jc w:val="both"/>
      </w:pPr>
      <w:r>
        <w:rPr>
          <w:rFonts w:ascii="Arial" w:hAnsi="Arial"/>
          <w:b w:val="0"/>
          <w:sz w:val="21"/>
        </w:rPr>
        <w:t>14–28.11.2022 | Poland – Finland – Ukraine Unit in Art for Peace — Europäische Kommission, Helsinki, Finnland.</w:t>
      </w:r>
    </w:p>
    <w:p>
      <w:pPr>
        <w:widowControl/>
        <w:spacing w:after="120" w:before="0" w:line="260" w:lineRule="exact"/>
        <w:jc w:val="both"/>
      </w:pPr>
      <w:r>
        <w:rPr>
          <w:rFonts w:ascii="Arial" w:hAnsi="Arial"/>
          <w:b w:val="0"/>
          <w:sz w:val="21"/>
        </w:rPr>
        <w:t>2022 | Kunst für die Ukraine — internationales Projekt, Brenna, Polen.</w:t>
      </w:r>
    </w:p>
    <w:p>
      <w:pPr>
        <w:widowControl/>
        <w:spacing w:after="120" w:before="0" w:line="260" w:lineRule="exact"/>
        <w:jc w:val="both"/>
      </w:pPr>
      <w:r>
        <w:rPr>
          <w:rFonts w:ascii="Arial" w:hAnsi="Arial"/>
          <w:b w:val="0"/>
          <w:sz w:val="21"/>
        </w:rPr>
        <w:t>2022 | Das Gute — eine Anleitung. Polnisch-ukrainische Philosophie- und Kunstausstellung für Kinder von 4 bis 104 Jahren — Wawerskie Centrum Kultury, Międzylesie, Warschau, Polen.</w:t>
      </w:r>
    </w:p>
    <w:p>
      <w:pPr>
        <w:widowControl/>
        <w:spacing w:after="120" w:before="0" w:line="260" w:lineRule="exact"/>
        <w:jc w:val="both"/>
      </w:pPr>
      <w:r>
        <w:rPr>
          <w:rFonts w:ascii="Arial" w:hAnsi="Arial"/>
          <w:b w:val="0"/>
          <w:sz w:val="21"/>
        </w:rPr>
        <w:t>2022 | Zweite nationale Biennale der keramischen Kleinform — Kulturzentrum Wejherowo, Wejherowo, Polen.</w:t>
      </w:r>
    </w:p>
    <w:p>
      <w:pPr>
        <w:widowControl/>
        <w:spacing w:after="120" w:before="0" w:line="260" w:lineRule="exact"/>
        <w:jc w:val="both"/>
      </w:pPr>
      <w:r>
        <w:rPr>
          <w:rFonts w:ascii="Arial" w:hAnsi="Arial"/>
          <w:b w:val="0"/>
          <w:sz w:val="21"/>
        </w:rPr>
        <w:t>2022 | Azymut Chrzęsne 2022 — Vernissage, Chrzęsne, Polen.</w:t>
      </w:r>
    </w:p>
    <w:p>
      <w:pPr>
        <w:widowControl/>
        <w:spacing w:after="120" w:before="0" w:line="260" w:lineRule="exact"/>
        <w:jc w:val="both"/>
      </w:pPr>
      <w:r>
        <w:rPr>
          <w:rFonts w:ascii="Arial" w:hAnsi="Arial"/>
          <w:b w:val="0"/>
          <w:sz w:val="21"/>
        </w:rPr>
        <w:t>2022 | Otwarte Ogrody Artystów Dąbrowy — eintägige Ausstellung, Warschau, Polen.</w:t>
      </w:r>
    </w:p>
    <w:p>
      <w:pPr>
        <w:widowControl/>
        <w:spacing w:after="120" w:before="0" w:line="260" w:lineRule="exact"/>
        <w:jc w:val="both"/>
      </w:pPr>
      <w:r>
        <w:rPr>
          <w:rFonts w:ascii="Arial" w:hAnsi="Arial"/>
          <w:b w:val="0"/>
          <w:sz w:val="21"/>
        </w:rPr>
        <w:t>2022 | Beskidzki Dom Zielin „Przytulnia“ — eintägige Ausstellung, Brenna, Polen.</w:t>
      </w:r>
    </w:p>
    <w:p>
      <w:pPr>
        <w:widowControl/>
        <w:spacing w:after="120" w:before="0" w:line="260" w:lineRule="exact"/>
        <w:jc w:val="both"/>
      </w:pPr>
      <w:r>
        <w:rPr>
          <w:rFonts w:ascii="Arial" w:hAnsi="Arial"/>
          <w:b w:val="0"/>
          <w:sz w:val="21"/>
        </w:rPr>
        <w:t>15–22.05.2021 | CeGlina 2021 — Projekt zeitgenössischer Keramik, Galerie CeGlinaArt, Kyjiw, Ukraine.</w:t>
      </w:r>
    </w:p>
    <w:p>
      <w:pPr>
        <w:widowControl/>
        <w:spacing w:after="120" w:before="0" w:line="260" w:lineRule="exact"/>
        <w:jc w:val="both"/>
      </w:pPr>
      <w:r>
        <w:rPr>
          <w:rFonts w:ascii="Arial" w:hAnsi="Arial"/>
          <w:b w:val="0"/>
          <w:sz w:val="21"/>
        </w:rPr>
        <w:t>2019 | Bestes Werk des Jahres 2019 — gesamtukrainische Ausstellung und Wettbewerb, Nationaler Verband der Volkskunstschaffenden der Ukraine, Kyjiw, Ukraine.</w:t>
      </w:r>
    </w:p>
    <w:p>
      <w:pPr>
        <w:keepNext/>
        <w:widowControl/>
        <w:spacing w:after="180" w:before="200" w:line="320" w:lineRule="exact"/>
        <w:jc w:val="left"/>
      </w:pPr>
      <w:r>
        <w:rPr>
          <w:rFonts w:ascii="Arial" w:hAnsi="Arial"/>
          <w:b/>
          <w:color w:val="574B36"/>
          <w:sz w:val="26"/>
        </w:rPr>
        <w:t>Preise und Auszeichnungen</w:t>
      </w:r>
    </w:p>
    <w:p>
      <w:pPr>
        <w:widowControl/>
        <w:spacing w:after="120" w:before="0" w:line="260" w:lineRule="exact"/>
        <w:jc w:val="both"/>
      </w:pPr>
      <w:r>
        <w:rPr>
          <w:rFonts w:ascii="Arial" w:hAnsi="Arial"/>
          <w:b w:val="0"/>
          <w:sz w:val="21"/>
        </w:rPr>
        <w:t>2021 | GOLDEN TIME, Internationales Kunstfestival, London, Vereinigtes Königreich — erster und zweiter Platz.</w:t>
      </w:r>
    </w:p>
    <w:p>
      <w:pPr>
        <w:widowControl/>
        <w:spacing w:after="120" w:before="0" w:line="260" w:lineRule="exact"/>
        <w:jc w:val="both"/>
      </w:pPr>
      <w:r>
        <w:rPr>
          <w:rFonts w:ascii="Arial" w:hAnsi="Arial"/>
          <w:b w:val="0"/>
          <w:sz w:val="21"/>
        </w:rPr>
        <w:t>2021 | Mein Raum der Inspiration, dritter gesamtukrainischer Wettbewerb für angewandte und bildende Kunst, Luzk, Ukraine — erster Platz.</w:t>
      </w:r>
    </w:p>
    <w:p>
      <w:pPr>
        <w:widowControl/>
        <w:spacing w:after="120" w:before="0" w:line="260" w:lineRule="exact"/>
        <w:jc w:val="both"/>
      </w:pPr>
      <w:r>
        <w:rPr>
          <w:rFonts w:ascii="Arial" w:hAnsi="Arial"/>
          <w:b w:val="0"/>
          <w:sz w:val="21"/>
        </w:rPr>
        <w:t>02–05.2021 | MALYUY.UA, Internationales Kunstfestival, Kyjiw, Ukraine — Finalistin.</w:t>
      </w:r>
    </w:p>
    <w:p>
      <w:pPr>
        <w:widowControl/>
        <w:spacing w:after="120" w:before="0" w:line="260" w:lineRule="exact"/>
        <w:jc w:val="both"/>
      </w:pPr>
      <w:r>
        <w:rPr>
          <w:rFonts w:ascii="Arial" w:hAnsi="Arial"/>
          <w:b w:val="0"/>
          <w:sz w:val="21"/>
        </w:rPr>
        <w:t>2020 | Man kann nie zu viele Träume haben, zweiter gesamtukrainischer Kunstwettbewerb, Ternopil, Ukraine — erster Platz.</w:t>
      </w:r>
    </w:p>
    <w:p>
      <w:pPr>
        <w:keepNext/>
        <w:widowControl/>
        <w:spacing w:after="180" w:before="200" w:line="320" w:lineRule="exact"/>
        <w:jc w:val="left"/>
      </w:pPr>
      <w:r>
        <w:rPr>
          <w:rFonts w:ascii="Arial" w:hAnsi="Arial"/>
          <w:b/>
          <w:color w:val="574B36"/>
          <w:sz w:val="26"/>
        </w:rPr>
        <w:t>Mitgliedschaft</w:t>
      </w:r>
    </w:p>
    <w:p>
      <w:pPr>
        <w:widowControl/>
        <w:spacing w:after="120" w:before="0" w:line="260" w:lineRule="exact"/>
        <w:jc w:val="both"/>
      </w:pPr>
      <w:r>
        <w:rPr>
          <w:rFonts w:ascii="Arial" w:hAnsi="Arial"/>
          <w:b w:val="0"/>
          <w:sz w:val="21"/>
        </w:rPr>
        <w:t>Seit August 2022 — Verband Polnischer Bildender Künstler (ZPAP), Warschau, Polen.</w:t>
      </w:r>
    </w:p>
    <w:p>
      <w:r>
        <w:br w:type="page"/>
      </w:r>
    </w:p>
    <w:p>
      <w:pPr>
        <w:keepNext/>
        <w:widowControl/>
        <w:spacing w:after="140" w:before="0" w:line="520" w:lineRule="exact"/>
        <w:jc w:val="left"/>
      </w:pPr>
      <w:r>
        <w:rPr>
          <w:rFonts w:ascii="Arial" w:hAnsi="Arial"/>
          <w:b/>
          <w:sz w:val="44"/>
        </w:rPr>
        <w:t>KÜNSTLERISCHER WERDEGANG</w:t>
      </w:r>
    </w:p>
    <w:p>
      <w:pPr>
        <w:widowControl/>
        <w:spacing w:after="120" w:before="0" w:line="260" w:lineRule="exact"/>
        <w:jc w:val="left"/>
      </w:pPr>
      <w:r>
        <w:rPr>
          <w:rFonts w:ascii="Arial" w:hAnsi="Arial"/>
          <w:b w:val="0"/>
          <w:sz w:val="21"/>
        </w:rPr>
        <w:t>Fortsetzung</w:t>
      </w:r>
    </w:p>
    <w:p>
      <w:pPr>
        <w:keepNext/>
        <w:widowControl/>
        <w:spacing w:after="180" w:before="200" w:line="320" w:lineRule="exact"/>
        <w:jc w:val="left"/>
      </w:pPr>
      <w:r>
        <w:rPr>
          <w:rFonts w:ascii="Arial" w:hAnsi="Arial"/>
          <w:b/>
          <w:color w:val="574B36"/>
          <w:sz w:val="26"/>
        </w:rPr>
        <w:t>Identität, Erinnerung und die Grenzen menschlicher Existenz</w:t>
      </w:r>
    </w:p>
    <w:p>
      <w:pPr>
        <w:widowControl/>
        <w:spacing w:after="180" w:before="0" w:line="280" w:lineRule="exact"/>
        <w:jc w:val="both"/>
      </w:pPr>
      <w:r>
        <w:rPr>
          <w:rFonts w:ascii="Arial" w:hAnsi="Arial"/>
          <w:b w:val="0"/>
          <w:sz w:val="21"/>
        </w:rPr>
        <w:t>Einem großen Teil der Arbeiten liegt das Interesse an der Innenwelt des Menschen zugrunde: an seinem Streben nach Freiheit, seinem Bedürfnis nach gesellschaftlicher Zugehörigkeit, seiner Fähigkeit, Individualität zu bewahren und unvermeidliche Veränderungen zu erleben.</w:t>
      </w:r>
    </w:p>
    <w:p>
      <w:pPr>
        <w:widowControl/>
        <w:spacing w:after="180" w:before="0" w:line="280" w:lineRule="exact"/>
        <w:jc w:val="both"/>
      </w:pPr>
      <w:r>
        <w:rPr>
          <w:rFonts w:ascii="Arial" w:hAnsi="Arial"/>
          <w:b w:val="0"/>
          <w:sz w:val="21"/>
        </w:rPr>
        <w:t>Diese Themen spiegeln sich in der Komposition Weißer Mohn (2022), in der das Zusammenspiel einer menschlichen Silhouette mit einem geometrischen Monolithen zur Metapher für das Spannungsverhältnis zwischen Individuum und gesellschaftlichem System wird. Die Arbeit fragt nach dem Preis der Anpassung, den Grenzen der Freiheit und der Möglichkeit, die eigene Identität innerhalb vorgegebener Normen zu bewahren.</w:t>
      </w:r>
    </w:p>
    <w:p>
      <w:pPr>
        <w:widowControl/>
        <w:spacing w:after="180" w:before="0" w:line="280" w:lineRule="exact"/>
        <w:jc w:val="both"/>
      </w:pPr>
      <w:r>
        <w:rPr>
          <w:rFonts w:ascii="Arial" w:hAnsi="Arial"/>
          <w:b w:val="0"/>
          <w:sz w:val="21"/>
        </w:rPr>
        <w:t>Eine andere Dimension menschlicher Erfahrung eröffnet die Komposition Begegnungen (2021), die Isolation, Entfremdung und das Bedürfnis nach emotionaler Nähe behandelt. Durch das Zusammenspiel eigenständiger keramischer Objekte wird ein Paradox menschlicher Kommunikation untersucht: Körperliche Anwesenheit bedeutet nicht immer eine echte Verbindung, während fehlender unmittelbarer Kontakt das Bewusstsein für Nähe und ihren Wert schärfen kann.</w:t>
      </w:r>
    </w:p>
    <w:p>
      <w:pPr>
        <w:widowControl/>
        <w:spacing w:after="180" w:before="0" w:line="280" w:lineRule="exact"/>
        <w:jc w:val="both"/>
      </w:pPr>
      <w:r>
        <w:rPr>
          <w:rFonts w:ascii="Arial" w:hAnsi="Arial"/>
          <w:b w:val="0"/>
          <w:sz w:val="21"/>
        </w:rPr>
        <w:t>Einen besonderen Platz nehmen Arbeiten ein, in denen die Leere zum zentralen Bedeutungsträger wird. In Schatten vergessener Stimmen (2021) und Schatten des Jahres 2022 (2022) entstehen erkennbare menschliche Silhouetten durch das Fehlen materieller Form. Dieses künstlerische Mittel ermöglicht die Untersuchung der Gegensätze von Anwesenheit und Verschwinden, Erinnerung und Verlust.</w:t>
      </w:r>
    </w:p>
    <w:p>
      <w:pPr>
        <w:widowControl/>
        <w:spacing w:after="180" w:before="0" w:line="280" w:lineRule="exact"/>
        <w:jc w:val="both"/>
      </w:pPr>
      <w:r>
        <w:rPr>
          <w:rFonts w:ascii="Arial" w:hAnsi="Arial"/>
          <w:b w:val="0"/>
          <w:sz w:val="21"/>
        </w:rPr>
        <w:t>Im Zusammenhang mit den Ereignissen des Jahres 2022 gewinnt das Thema Abwesenheit eine besondere emotionale Tiefe. Ein Mensch kann aus dem physischen Raum verschwinden und dennoch in den Erinnerungen und in der Innenwelt der Zurückgebliebenen weiterbestehen.</w:t>
      </w:r>
    </w:p>
    <w:p>
      <w:pPr>
        <w:widowControl/>
        <w:spacing w:after="180" w:before="0" w:line="280" w:lineRule="exact"/>
        <w:jc w:val="both"/>
      </w:pPr>
      <w:r>
        <w:rPr>
          <w:rFonts w:ascii="Arial" w:hAnsi="Arial"/>
          <w:b w:val="0"/>
          <w:sz w:val="21"/>
        </w:rPr>
        <w:t>Auch die Komposition In der Schusslinie widmet sich Krieg, Zerstörung und Widerstand. Äußere Konfrontation ist darin untrennbar mit innerem Konflikt verbunden, und das Erlebte wird Teil menschlicher Erinnerung und persönlicher Erfahrung.</w:t>
      </w:r>
    </w:p>
    <w:p>
      <w:pPr>
        <w:widowControl/>
        <w:spacing w:after="180" w:before="0" w:line="280" w:lineRule="exact"/>
        <w:jc w:val="both"/>
      </w:pPr>
      <w:r>
        <w:rPr>
          <w:rFonts w:ascii="Arial" w:hAnsi="Arial"/>
          <w:b w:val="0"/>
          <w:sz w:val="21"/>
        </w:rPr>
        <w:t>So wird die künstlerische Form zu einem Mittel der Reflexion über Zustände, die sich nicht ausschließlich durch eine wörtliche Darstellung vermitteln lassen.</w:t>
      </w:r>
    </w:p>
    <w:p>
      <w:pPr>
        <w:keepNext/>
        <w:widowControl/>
        <w:spacing w:after="180" w:before="200" w:line="320" w:lineRule="exact"/>
        <w:jc w:val="left"/>
      </w:pPr>
      <w:r>
        <w:rPr>
          <w:rFonts w:ascii="Arial" w:hAnsi="Arial"/>
          <w:b/>
          <w:color w:val="574B36"/>
          <w:sz w:val="26"/>
        </w:rPr>
        <w:t>Transformation: das Publikum als Mitgestalter</w:t>
      </w:r>
    </w:p>
    <w:p>
      <w:pPr>
        <w:widowControl/>
        <w:spacing w:after="180" w:before="0" w:line="280" w:lineRule="exact"/>
        <w:jc w:val="both"/>
      </w:pPr>
      <w:r>
        <w:rPr>
          <w:rFonts w:ascii="Arial" w:hAnsi="Arial"/>
          <w:b w:val="0"/>
          <w:sz w:val="21"/>
        </w:rPr>
        <w:t>Eine der zentralen Richtungen der künstlerischen Praxis ist die Erforschung veränderbarer keramischer Kompositionen und der Möglichkeiten einer unmittelbaren Interaktion zwischen Publikum und Werk.</w:t>
      </w:r>
    </w:p>
    <w:p>
      <w:pPr>
        <w:widowControl/>
        <w:spacing w:after="180" w:before="0" w:line="280" w:lineRule="exact"/>
        <w:jc w:val="both"/>
      </w:pPr>
      <w:r>
        <w:rPr>
          <w:rFonts w:ascii="Arial" w:hAnsi="Arial"/>
          <w:b w:val="0"/>
          <w:sz w:val="21"/>
        </w:rPr>
        <w:t>Dieser Ansatz beruht auf dem Wunsch, die traditionelle Distanz zwischen Kunstobjekt und Publikum zu überwinden. Das Werk wird nicht nur als abgeschlossene materielle Form betrachtet, sondern auch als offenes System, das sich durch Interaktion verändern kann.</w:t>
      </w:r>
    </w:p>
    <w:p>
      <w:pPr>
        <w:widowControl/>
        <w:spacing w:after="180" w:before="0" w:line="280" w:lineRule="exact"/>
        <w:jc w:val="both"/>
      </w:pPr>
      <w:r>
        <w:rPr>
          <w:rFonts w:ascii="Arial" w:hAnsi="Arial"/>
          <w:b w:val="0"/>
          <w:sz w:val="21"/>
        </w:rPr>
        <w:t>Besonderen Ausdruck fand diese Idee in der Abschlussarbeit Identitätskapital, die sich mit der fortlaufenden Herausbildung menschlicher Individualität beschäftigt.</w:t>
      </w:r>
    </w:p>
    <w:p>
      <w:pPr>
        <w:widowControl/>
        <w:spacing w:after="180" w:before="0" w:line="280" w:lineRule="exact"/>
        <w:jc w:val="both"/>
      </w:pPr>
      <w:r>
        <w:rPr>
          <w:rFonts w:ascii="Arial" w:hAnsi="Arial"/>
          <w:b w:val="0"/>
          <w:sz w:val="21"/>
        </w:rPr>
        <w:t>Die Komposition verbindet eigenständige keramische Elemente, die unterschiedliche Bestandteile der Persönlichkeit symbolisieren: erworbene Erfahrungen, Wissen, Überzeugungen, kulturelle Zugehörigkeit, Erinnerungen und individuelle Eigenschaften.</w:t>
      </w:r>
    </w:p>
    <w:p>
      <w:pPr>
        <w:widowControl/>
        <w:spacing w:after="180" w:before="0" w:line="280" w:lineRule="exact"/>
        <w:jc w:val="both"/>
      </w:pPr>
      <w:r>
        <w:rPr>
          <w:rFonts w:ascii="Arial" w:hAnsi="Arial"/>
          <w:b w:val="0"/>
          <w:sz w:val="21"/>
        </w:rPr>
        <w:t>Die Möglichkeit, die Fragmente neu anzuordnen, macht Transformation zur Metapher persönlicher Entwicklung. So wie ein Mensch im Laufe seines Lebens Erfahrungen neu deutet und neue innere Verbindungen schafft, können die einzelnen Elemente des Werks eine Vielzahl einzigartiger Kompositionen bilden.</w:t>
      </w:r>
    </w:p>
    <w:p>
      <w:pPr>
        <w:widowControl/>
        <w:spacing w:after="180" w:before="0" w:line="280" w:lineRule="exact"/>
        <w:jc w:val="both"/>
      </w:pPr>
      <w:r>
        <w:rPr>
          <w:rFonts w:ascii="Arial" w:hAnsi="Arial"/>
          <w:b w:val="0"/>
          <w:sz w:val="21"/>
        </w:rPr>
        <w:t>Das Publikum erhält die Möglichkeit zur Mitgestaltung, indem es unmittelbar an der Entstehung der künstlerischen Form teilnimmt. Jede neue Kombination der Elemente spiegelt individuelle Wahrnehmung, Entscheidungen und das Streben nach einer eigenen Interpretation des Ganzen wider.</w:t>
      </w:r>
    </w:p>
    <w:p>
      <w:pPr>
        <w:widowControl/>
        <w:spacing w:after="180" w:before="0" w:line="280" w:lineRule="exact"/>
        <w:jc w:val="both"/>
      </w:pPr>
      <w:r>
        <w:rPr>
          <w:rFonts w:ascii="Arial" w:hAnsi="Arial"/>
          <w:b w:val="0"/>
          <w:sz w:val="21"/>
        </w:rPr>
        <w:t>In dieser Interaktion zeigt sich eines der zentralen Prinzipien von Mishchenkos künstlerischer Philosophie: Identität ist keine endgültig ausgebildete Struktur, sondern ein kontinuierlicher Prozess der Selbstgestaltung.</w:t>
      </w:r>
    </w:p>
    <w:p>
      <w:pPr>
        <w:keepNext/>
        <w:widowControl/>
        <w:spacing w:after="180" w:before="200" w:line="320" w:lineRule="exact"/>
        <w:jc w:val="left"/>
      </w:pPr>
      <w:r>
        <w:rPr>
          <w:rFonts w:ascii="Arial" w:hAnsi="Arial"/>
          <w:b/>
          <w:color w:val="574B36"/>
          <w:sz w:val="26"/>
        </w:rPr>
        <w:t>Internationale Ausstellungstätigkeit</w:t>
      </w:r>
    </w:p>
    <w:p>
      <w:pPr>
        <w:widowControl/>
        <w:spacing w:after="180" w:before="0" w:line="280" w:lineRule="exact"/>
        <w:jc w:val="both"/>
      </w:pPr>
      <w:r>
        <w:rPr>
          <w:rFonts w:ascii="Arial" w:hAnsi="Arial"/>
          <w:b w:val="0"/>
          <w:sz w:val="21"/>
        </w:rPr>
        <w:t>Die künstlerische Tätigkeit entwickelte sich in einem internationalen Umfeld, das die Ukraine, Polen, Lettland und Finnland umfasst.</w:t>
      </w:r>
    </w:p>
    <w:p>
      <w:pPr>
        <w:widowControl/>
        <w:spacing w:after="180" w:before="0" w:line="280" w:lineRule="exact"/>
        <w:jc w:val="both"/>
      </w:pPr>
      <w:r>
        <w:rPr>
          <w:rFonts w:ascii="Arial" w:hAnsi="Arial"/>
          <w:b w:val="0"/>
          <w:sz w:val="21"/>
        </w:rPr>
        <w:t>Internationale Kunstprojekte im Jahr 2022 erweiterten die Möglichkeiten zur Präsentation eigener Werke und zum fachlichen Austausch mit der Kunstszene.</w:t>
      </w:r>
    </w:p>
    <w:p>
      <w:pPr>
        <w:widowControl/>
        <w:spacing w:after="180" w:before="0" w:line="280" w:lineRule="exact"/>
        <w:jc w:val="both"/>
      </w:pPr>
      <w:r>
        <w:rPr>
          <w:rFonts w:ascii="Arial" w:hAnsi="Arial"/>
          <w:b w:val="0"/>
          <w:sz w:val="21"/>
        </w:rPr>
        <w:t>Seit August 2022 besteht die Mitgliedschaft im Verband Polnischer Bildender Künstler ZPAP (Związek Polskich Artystów Plastyków), Warschau, Polen.</w:t>
      </w:r>
    </w:p>
    <w:p>
      <w:pPr>
        <w:widowControl/>
        <w:spacing w:after="180" w:before="0" w:line="280" w:lineRule="exact"/>
        <w:jc w:val="both"/>
      </w:pPr>
      <w:r>
        <w:rPr>
          <w:rFonts w:ascii="Arial" w:hAnsi="Arial"/>
          <w:b w:val="0"/>
          <w:sz w:val="21"/>
        </w:rPr>
        <w:t>2023 wurden Werke im Rahmen der Ausstellungsprojekte Wurzeln der ukrainischen Seele in Riga und Warschau gezeigt, die sich mit der Bewahrung und Deutung ukrainischer kultureller Identität auseinandersetzten.</w:t>
      </w:r>
    </w:p>
    <w:p>
      <w:pPr>
        <w:widowControl/>
        <w:spacing w:after="180" w:before="0" w:line="280" w:lineRule="exact"/>
        <w:jc w:val="both"/>
      </w:pPr>
      <w:r>
        <w:rPr>
          <w:rFonts w:ascii="Arial" w:hAnsi="Arial"/>
          <w:b w:val="0"/>
          <w:sz w:val="21"/>
        </w:rPr>
        <w:t>Im April 2024 erfolgte die Teilnahme am Ausstellungsprojekt Unbeugsamkeit der Tradition im Nationalmuseum für dekorative Kunst der Ukraine in Kyjiw.</w:t>
      </w:r>
    </w:p>
    <w:p>
      <w:pPr>
        <w:widowControl/>
        <w:spacing w:after="180" w:before="0" w:line="280" w:lineRule="exact"/>
        <w:jc w:val="both"/>
      </w:pPr>
      <w:r>
        <w:rPr>
          <w:rFonts w:ascii="Arial" w:hAnsi="Arial"/>
          <w:b w:val="0"/>
          <w:sz w:val="21"/>
        </w:rPr>
        <w:t>Die internationale Ausstellungstätigkeit ist zu einem wichtigen Bestandteil der beruflichen Entwicklung geworden. Sie schafft Raum für interkulturellen Dialog, den Austausch künstlerischer Ideen und die Präsentation einer eigenen Perspektive auf zeitgenössische Kunst.</w:t>
      </w:r>
    </w:p>
    <w:p>
      <w:pPr>
        <w:keepNext/>
        <w:widowControl/>
        <w:spacing w:after="180" w:before="200" w:line="320" w:lineRule="exact"/>
        <w:jc w:val="left"/>
      </w:pPr>
      <w:r>
        <w:rPr>
          <w:rFonts w:ascii="Arial" w:hAnsi="Arial"/>
          <w:b/>
          <w:color w:val="574B36"/>
          <w:sz w:val="26"/>
        </w:rPr>
        <w:t>Künstlerische Philosophie</w:t>
      </w:r>
    </w:p>
    <w:p>
      <w:pPr>
        <w:widowControl/>
        <w:spacing w:after="180" w:before="0" w:line="280" w:lineRule="exact"/>
        <w:jc w:val="both"/>
      </w:pPr>
      <w:r>
        <w:rPr>
          <w:rFonts w:ascii="Arial" w:hAnsi="Arial"/>
          <w:b w:val="0"/>
          <w:sz w:val="21"/>
        </w:rPr>
        <w:t>Form existiert niemals allein um ihrer ästhetischen Ausdruckskraft willen. Hinter ihrer Plastizität, Farbe, Oberflächenstruktur und ihren räumlichen Beziehungen steht das Bestreben, die Natur menschlicher Erfahrung zu erforschen.</w:t>
      </w:r>
    </w:p>
    <w:p>
      <w:pPr>
        <w:widowControl/>
        <w:spacing w:after="180" w:before="0" w:line="280" w:lineRule="exact"/>
        <w:jc w:val="both"/>
      </w:pPr>
      <w:r>
        <w:rPr>
          <w:rFonts w:ascii="Arial" w:hAnsi="Arial"/>
          <w:b w:val="0"/>
          <w:sz w:val="21"/>
        </w:rPr>
        <w:t>Besondere Bedeutung hat die Idee des Widerspruchs: zwischen Freiheit und Begrenzung, Beständigkeit und Zerbrechlichkeit, Anwesenheit und Abwesenheit, Individualität und Zugehörigkeit zu einem Ganzen.</w:t>
      </w:r>
    </w:p>
    <w:p>
      <w:pPr>
        <w:widowControl/>
        <w:spacing w:after="180" w:before="0" w:line="280" w:lineRule="exact"/>
        <w:jc w:val="both"/>
      </w:pPr>
      <w:r>
        <w:rPr>
          <w:rFonts w:ascii="Arial" w:hAnsi="Arial"/>
          <w:b w:val="0"/>
          <w:sz w:val="21"/>
        </w:rPr>
        <w:t>Die Kunstwerke wollen dem Publikum keine einzig richtige Interpretation vorgeben. Vielmehr schaffen sie einen Raum für Reflexion, persönliches Erleben und die eigenständige Suche nach Bedeutung.</w:t>
      </w:r>
    </w:p>
    <w:p>
      <w:pPr>
        <w:widowControl/>
        <w:spacing w:after="180" w:before="0" w:line="280" w:lineRule="exact"/>
        <w:jc w:val="both"/>
      </w:pPr>
      <w:r>
        <w:rPr>
          <w:rFonts w:ascii="Arial" w:hAnsi="Arial"/>
          <w:b w:val="0"/>
          <w:sz w:val="21"/>
        </w:rPr>
        <w:t>Die Weiterentwicklung der künstlerischen Praxis ist mit der weiteren Erforschung konzeptueller Skulptur, veränderbarer Objekte und des Zusammenspiels verschiedener visueller Disziplinen verbunden.</w:t>
      </w:r>
    </w:p>
    <w:p>
      <w:pPr>
        <w:widowControl/>
        <w:spacing w:after="180" w:before="0" w:line="280" w:lineRule="exact"/>
        <w:jc w:val="both"/>
      </w:pPr>
      <w:r>
        <w:rPr>
          <w:rFonts w:ascii="Arial" w:hAnsi="Arial"/>
          <w:b w:val="0"/>
          <w:sz w:val="21"/>
        </w:rPr>
        <w:t>Kunst wird hier weniger zu einem Mittel der Wirklichkeitsdarstellung als zu einer Möglichkeit, Fragen nach dem Menschen, seiner Innenwelt und seiner Fähigkeit zu stellen, die Form der eigenen Existenz selbst zu bestimmen.</w:t>
      </w:r>
    </w:p>
    <w:sectPr w:rsidR="00FC693F" w:rsidRPr="0006063C" w:rsidSect="00034616">
      <w:pgSz w:w="11906" w:h="16838"/>
      <w:pgMar w:top="652"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WERDEGANG</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