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824"/>
        <w:gridCol w:w="2154"/>
      </w:tblGrid>
      <w:tr>
        <w:tc>
          <w:tcPr>
            <w:tcW w:type="dxa" w:w="7824"/>
          </w:tcPr>
          <w:p>
            <w:pPr>
              <w:pStyle w:val="Title"/>
            </w:pPr>
            <w:r>
              <w:t>Krystyna Mishchenko</w:t>
            </w:r>
          </w:p>
          <w:p>
            <w:r>
              <w:t>Keramikkünstlerin · Bildende Kunst</w:t>
            </w:r>
          </w:p>
          <w:p>
            <w:pPr>
              <w:spacing w:after="0"/>
            </w:pPr>
            <w:r>
              <w:rPr>
                <w:sz w:val="18"/>
              </w:rPr>
              <w:t>Chemnitz, Sachsen, Deutschland  ·  m.krystyna.197@gmail.com</w:t>
              <w:br/>
              <w:t>DE +49 1575 3604617  ·  UA +380 93 1324782</w:t>
            </w:r>
          </w:p>
        </w:tc>
        <w:tc>
          <w:tcPr>
            <w:tcW w:type="dxa" w:w="2154"/>
          </w:tcPr>
          <w:p>
            <w:r>
              <w:drawing>
                <wp:inline xmlns:a="http://schemas.openxmlformats.org/drawingml/2006/main" xmlns:pic="http://schemas.openxmlformats.org/drawingml/2006/picture">
                  <wp:extent cx="972000" cy="1166012"/>
                  <wp:docPr id="1" name="Picture 1"/>
                  <wp:cNvGraphicFramePr>
                    <a:graphicFrameLocks noChangeAspect="1"/>
                  </wp:cNvGraphicFramePr>
                  <a:graphic>
                    <a:graphicData uri="http://schemas.openxmlformats.org/drawingml/2006/picture">
                      <pic:pic>
                        <pic:nvPicPr>
                          <pic:cNvPr id="0" name="reference-photo.jpg"/>
                          <pic:cNvPicPr/>
                        </pic:nvPicPr>
                        <pic:blipFill>
                          <a:blip r:embed="rId10"/>
                          <a:stretch>
                            <a:fillRect/>
                          </a:stretch>
                        </pic:blipFill>
                        <pic:spPr>
                          <a:xfrm>
                            <a:off x="0" y="0"/>
                            <a:ext cx="972000" cy="1166012"/>
                          </a:xfrm>
                          <a:prstGeom prst="rect"/>
                        </pic:spPr>
                      </pic:pic>
                    </a:graphicData>
                  </a:graphic>
                </wp:inline>
              </w:drawing>
            </w:r>
          </w:p>
        </w:tc>
      </w:tr>
    </w:tbl>
    <w:p>
      <w:pPr>
        <w:pStyle w:val="Heading1"/>
      </w:pPr>
      <w:r>
        <w:t>Berufliches Profil</w:t>
      </w:r>
    </w:p>
    <w:p>
      <w:r>
        <w:t>Keramikkünstlerin mit Schwerpunkt auf skulpturalen und veränderbaren Kompositionen, dekorativer Keramik, Zeichnung und Malerei. Ihre Arbeit untersucht Identität, Erinnerung, menschliche Beziehungen sowie das Zusammenspiel von Form und Leere. Erfahrung in der Keramikproduktion, Teamkoordination und im Unterrichten von Kindern und Erwachsenen.</w:t>
      </w:r>
    </w:p>
    <w:p>
      <w:pPr>
        <w:pStyle w:val="Heading1"/>
      </w:pPr>
      <w:r>
        <w:t>Ausbildung</w:t>
      </w:r>
    </w:p>
    <w:p>
      <w:pPr>
        <w:pStyle w:val="Heading2"/>
      </w:pPr>
      <w:r>
        <w:t>Masterabschluss, 2020–2022</w:t>
      </w:r>
    </w:p>
    <w:p>
      <w:r>
        <w:t>Staatliche Akademie für dekorative Kunst und Design namens Mychajlo Bojtschuk, Kyjiw, Ukraine.</w:t>
      </w:r>
    </w:p>
    <w:p>
      <w:r>
        <w:t>Künstlerische Keramik</w:t>
      </w:r>
    </w:p>
    <w:p>
      <w:pPr>
        <w:pStyle w:val="Heading2"/>
      </w:pPr>
      <w:r>
        <w:t>Bachelorabschluss, 2016–2020</w:t>
      </w:r>
    </w:p>
    <w:p>
      <w:r>
        <w:t>Staatliche Akademie für dekorative Kunst und Design namens Mychajlo Bojtschuk, Kyjiw, Ukraine.</w:t>
      </w:r>
    </w:p>
    <w:p>
      <w:r>
        <w:t>Künstlerische Keramik</w:t>
      </w:r>
    </w:p>
    <w:p>
      <w:pPr>
        <w:pStyle w:val="Heading2"/>
      </w:pPr>
      <w:r>
        <w:t>Diplom: Junior-Spezialistin, 2012–2016</w:t>
      </w:r>
    </w:p>
    <w:p>
      <w:r>
        <w:t>Kunstfachschule Charkiw, Ukraine. Kunst; Qualifikation: ausführende Künstlerin und Lehrerin.</w:t>
      </w:r>
    </w:p>
    <w:p>
      <w:pPr>
        <w:pStyle w:val="Heading1"/>
      </w:pPr>
      <w:r>
        <w:t>Mitgliedschaft</w:t>
      </w:r>
    </w:p>
    <w:p>
      <w:r>
        <w:t>Seit August 2022 — Verband Polnischer Bildender Künstler (ZPAP), Warschau, Polen.</w:t>
      </w:r>
    </w:p>
    <w:p>
      <w:pPr>
        <w:pStyle w:val="Heading1"/>
      </w:pPr>
      <w:r>
        <w:t>Sprachkenntnisse</w:t>
      </w:r>
    </w:p>
    <w:p>
      <w:r>
        <w:t>Ukrainisch — Muttersprache</w:t>
      </w:r>
    </w:p>
    <w:p>
      <w:r>
        <w:t>Russisch — muttersprachliches Niveau</w:t>
      </w:r>
    </w:p>
    <w:p>
      <w:r>
        <w:t>Polnisch — kommunikativ, etwa A2–B1 (Selbsteinschätzung)</w:t>
      </w:r>
    </w:p>
    <w:p>
      <w:r>
        <w:t>Deutsch — B1, durch Zertifikat bestätigt</w:t>
      </w:r>
    </w:p>
    <w:p>
      <w:r>
        <w:t>Englisch — Grundkenntnisse</w:t>
      </w:r>
    </w:p>
    <w:p>
      <w:r>
        <w:br w:type="page"/>
      </w:r>
    </w:p>
    <w:p>
      <w:pPr>
        <w:pStyle w:val="Title"/>
      </w:pPr>
      <w:r>
        <w:t>Krystyna Mishchenko</w:t>
      </w:r>
    </w:p>
    <w:p>
      <w:r>
        <w:t>Keramikkünstlerin · Bildende Kunst</w:t>
      </w:r>
    </w:p>
    <w:p>
      <w:pPr>
        <w:pStyle w:val="Heading1"/>
      </w:pPr>
      <w:r>
        <w:t>Berufserfahrung</w:t>
      </w:r>
    </w:p>
    <w:p>
      <w:pPr>
        <w:pStyle w:val="Heading2"/>
      </w:pPr>
      <w:r>
        <w:t>11.2020–02.2022 · SAGA POTTERY</w:t>
      </w:r>
    </w:p>
    <w:p>
      <w:r>
        <w:t>Keramikkünstlerin</w:t>
      </w:r>
    </w:p>
    <w:p>
      <w:r>
        <w:t>Entwicklung künstlerischer Lösungen, dekorative Gestaltung keramischer Arbeiten sowie Arbeit mit Form, Oberflächenstruktur, Glasuren und Pigmenten.</w:t>
      </w:r>
    </w:p>
    <w:p>
      <w:pPr>
        <w:pStyle w:val="Heading2"/>
      </w:pPr>
      <w:r>
        <w:t>2018–2021 · PROCS</w:t>
      </w:r>
    </w:p>
    <w:p>
      <w:r>
        <w:t>Keramikkünstlerin</w:t>
      </w:r>
    </w:p>
    <w:p>
      <w:r>
        <w:t>Entwicklung künstlerischer und dekorativer Lösungen, Organisation von Arbeitsabläufen, Teamkoordination, Zusammenarbeit mit Partnern und Lieferanten sowie Mitwirkung an der Mitarbeiterschulung.</w:t>
      </w:r>
    </w:p>
    <w:p>
      <w:pPr>
        <w:pStyle w:val="Heading2"/>
      </w:pPr>
      <w:r>
        <w:t>2020 · Studio Gozhar</w:t>
      </w:r>
    </w:p>
    <w:p>
      <w:r>
        <w:t>Keramikkünstlerin</w:t>
      </w:r>
    </w:p>
    <w:p>
      <w:r>
        <w:t>Keramikkurse und Workshops für Kinder und Erwachsene, Entwicklung von Lernaufgaben und kreativen Übungen sowie Ausführung individueller künstlerischer Aufträge.</w:t>
      </w:r>
    </w:p>
    <w:p>
      <w:pPr>
        <w:pStyle w:val="Heading1"/>
      </w:pPr>
      <w:r>
        <w:t>Künstlerische und berufliche Kompetenzen</w:t>
      </w:r>
    </w:p>
    <w:p>
      <w:pPr>
        <w:pStyle w:val="ListBullet"/>
      </w:pPr>
      <w:r>
        <w:t>Eigenständige keramische Skulptur und räumliche Komposition.</w:t>
      </w:r>
    </w:p>
    <w:p>
      <w:pPr>
        <w:pStyle w:val="ListBullet"/>
      </w:pPr>
      <w:r>
        <w:t>Konzeptuelle, modulare und veränderbare Kunstobjekte.</w:t>
      </w:r>
    </w:p>
    <w:p>
      <w:pPr>
        <w:pStyle w:val="ListBullet"/>
      </w:pPr>
      <w:r>
        <w:t>Handmodellieren, Formen, Gravieren und Arbeit mit schamottierten Tonmassen.</w:t>
      </w:r>
    </w:p>
    <w:p>
      <w:pPr>
        <w:pStyle w:val="ListBullet"/>
      </w:pPr>
      <w:r>
        <w:t>Keramische Dekoration mit Engoben, Pigmenten, Glasuren, Oxiden und Glaseinschlüssen.</w:t>
      </w:r>
    </w:p>
    <w:p>
      <w:pPr>
        <w:pStyle w:val="ListBullet"/>
      </w:pPr>
      <w:r>
        <w:t>Akademisches Zeichnen, Malerei, Grafik und dekorative Komposition.</w:t>
      </w:r>
    </w:p>
    <w:p>
      <w:pPr>
        <w:pStyle w:val="ListBullet"/>
      </w:pPr>
      <w:r>
        <w:t>Entwicklung künstlerischer Konzepte und visueller Lösungen.</w:t>
      </w:r>
    </w:p>
    <w:p>
      <w:pPr>
        <w:pStyle w:val="ListBullet"/>
      </w:pPr>
      <w:r>
        <w:t>Koordination kreativer Teams und Organisation gemeinsamer Arbeit.</w:t>
      </w:r>
    </w:p>
    <w:sectPr w:rsidR="00FC693F" w:rsidRPr="0006063C" w:rsidSect="00034616">
      <w:footerReference w:type="default" r:id="rId9"/>
      <w:pgSz w:w="11906" w:h="16838"/>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LEBENSLAUF</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