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154"/>
      </w:tblGrid>
      <w:tr>
        <w:tc>
          <w:tcPr>
            <w:tcW w:type="dxa" w:w="7824"/>
          </w:tcPr>
          <w:p>
            <w:pPr>
              <w:pStyle w:val="Title"/>
            </w:pPr>
            <w:r>
              <w:t>Кристина Міщенко</w:t>
            </w:r>
          </w:p>
          <w:p>
            <w:r>
              <w:t>Художниця-керамістка · Візуальне мистецтво</w:t>
            </w:r>
          </w:p>
          <w:p>
            <w:pPr>
              <w:spacing w:after="0"/>
            </w:pPr>
            <w:r>
              <w:rPr>
                <w:sz w:val="18"/>
              </w:rPr>
              <w:t>Хемніц, Саксонія, Німеччина  ·  m.krystyna.197@gmail.com</w:t>
              <w:br/>
              <w:t>DE +49 1575 3604617  ·  UA +380 93 1324782</w:t>
            </w:r>
          </w:p>
        </w:tc>
        <w:tc>
          <w:tcPr>
            <w:tcW w:type="dxa" w:w="2154"/>
          </w:tcPr>
          <w:p>
            <w:r>
              <w:drawing>
                <wp:inline xmlns:a="http://schemas.openxmlformats.org/drawingml/2006/main" xmlns:pic="http://schemas.openxmlformats.org/drawingml/2006/picture">
                  <wp:extent cx="972000" cy="116601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ference-phot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1166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</w:pPr>
      <w:r>
        <w:t>Професійний профіль</w:t>
      </w:r>
    </w:p>
    <w:p>
      <w:r>
        <w:t>Художниця-керамістка, яка працює зі скульптурними й трансформованими композиціями, декоративною керамікою, графікою та живописом. Основні теми — ідентичність, пам’ять, людські зв’язки та взаємодія форми з порожнечею. Досвід керамічного виробництва, координації команди та навчання дітей і дорослих.</w:t>
      </w:r>
    </w:p>
    <w:p>
      <w:pPr>
        <w:pStyle w:val="Heading1"/>
      </w:pPr>
      <w:r>
        <w:t>Освіта</w:t>
      </w:r>
    </w:p>
    <w:p>
      <w:pPr>
        <w:pStyle w:val="Heading2"/>
      </w:pPr>
      <w:r>
        <w:t>Магістр, 2020–2022</w:t>
      </w:r>
    </w:p>
    <w:p>
      <w:r>
        <w:t>Київська державна академія декоративного мистецтва і дизайну імені Михайла Бойчука, Київ, Україна.</w:t>
      </w:r>
    </w:p>
    <w:p>
      <w:r>
        <w:t>Художня кераміка</w:t>
      </w:r>
    </w:p>
    <w:p>
      <w:pPr>
        <w:pStyle w:val="Heading2"/>
      </w:pPr>
      <w:r>
        <w:t>Бакалавр, 2016–2020</w:t>
      </w:r>
    </w:p>
    <w:p>
      <w:r>
        <w:t>Київська державна академія декоративного мистецтва і дизайну імені Михайла Бойчука, Київ, Україна.</w:t>
      </w:r>
    </w:p>
    <w:p>
      <w:r>
        <w:t>Художня кераміка</w:t>
      </w:r>
    </w:p>
    <w:p>
      <w:pPr>
        <w:pStyle w:val="Heading2"/>
      </w:pPr>
      <w:r>
        <w:t>Молодший спеціаліст, 2012–2016</w:t>
      </w:r>
    </w:p>
    <w:p>
      <w:r>
        <w:t>Художнє училище, Харків, Україна. Мистецтво; кваліфікація: художник-виконавець, викладач.</w:t>
      </w:r>
    </w:p>
    <w:p>
      <w:pPr>
        <w:pStyle w:val="Heading1"/>
      </w:pPr>
      <w:r>
        <w:t>Професійне членство</w:t>
      </w:r>
    </w:p>
    <w:p>
      <w:r>
        <w:t>Із серпня 2022 — Асоціація польських художників і дизайнерів (ZPAP), Варшава, Польща.</w:t>
      </w:r>
    </w:p>
    <w:p>
      <w:pPr>
        <w:pStyle w:val="Heading1"/>
      </w:pPr>
      <w:r>
        <w:t>Мови</w:t>
      </w:r>
    </w:p>
    <w:p>
      <w:r>
        <w:t>Українська — рідна</w:t>
      </w:r>
    </w:p>
    <w:p>
      <w:r>
        <w:t>російська — рівень носія</w:t>
      </w:r>
    </w:p>
    <w:p>
      <w:r>
        <w:t>польська — комунікативний рівень, орієнтовно A2–B1 (самооцінка)</w:t>
      </w:r>
    </w:p>
    <w:p>
      <w:r>
        <w:t>німецька — B1, підтверджено сертифікатом</w:t>
      </w:r>
    </w:p>
    <w:p>
      <w:r>
        <w:t>англійська — початковий рівень</w:t>
      </w:r>
    </w:p>
    <w:p>
      <w:r>
        <w:br w:type="page"/>
      </w:r>
    </w:p>
    <w:p>
      <w:pPr>
        <w:pStyle w:val="Title"/>
      </w:pPr>
      <w:r>
        <w:t>Кристина Міщенко</w:t>
      </w:r>
    </w:p>
    <w:p>
      <w:r>
        <w:t>Художниця-керамістка · Візуальне мистецтво</w:t>
      </w:r>
    </w:p>
    <w:p>
      <w:pPr>
        <w:pStyle w:val="Heading1"/>
      </w:pPr>
      <w:r>
        <w:t>Досвід роботи</w:t>
      </w:r>
    </w:p>
    <w:p>
      <w:pPr>
        <w:pStyle w:val="Heading2"/>
      </w:pPr>
      <w:r>
        <w:t>11.2020–02.2022 · SAGA POTTERY</w:t>
      </w:r>
    </w:p>
    <w:p>
      <w:r>
        <w:t>Художник-кераміст</w:t>
      </w:r>
    </w:p>
    <w:p>
      <w:r>
        <w:t>Розроблення художніх рішень, декоративне оформлення керамічних виробів, робота з формою, фактурою, поливами та пігментами.</w:t>
      </w:r>
    </w:p>
    <w:p>
      <w:pPr>
        <w:pStyle w:val="Heading2"/>
      </w:pPr>
      <w:r>
        <w:t>2018–2021 · PROCS</w:t>
      </w:r>
    </w:p>
    <w:p>
      <w:r>
        <w:t>Художник-кераміст</w:t>
      </w:r>
    </w:p>
    <w:p>
      <w:r>
        <w:t>Розроблення художніх і декоративних рішень, організація робочих процесів, координація команди, взаємодія з партнерами й постачальниками, участь у навчанні працівників.</w:t>
      </w:r>
    </w:p>
    <w:p>
      <w:pPr>
        <w:pStyle w:val="Heading2"/>
      </w:pPr>
      <w:r>
        <w:t>2020 · Studio Gozhar</w:t>
      </w:r>
    </w:p>
    <w:p>
      <w:r>
        <w:t>Художник-кераміст</w:t>
      </w:r>
    </w:p>
    <w:p>
      <w:r>
        <w:t>Проведення занять і майстер-класів із кераміки для дітей та дорослих, розроблення навчальних і творчих завдань, виконання індивідуальних художніх замовлень.</w:t>
      </w:r>
    </w:p>
    <w:p>
      <w:pPr>
        <w:pStyle w:val="Heading1"/>
      </w:pPr>
      <w:r>
        <w:t>Мистецькі та професійні компетенції</w:t>
      </w:r>
    </w:p>
    <w:p>
      <w:pPr>
        <w:pStyle w:val="ListBullet"/>
      </w:pPr>
      <w:r>
        <w:t>Авторська керамічна скульптура та об’ємно-просторова композиція.</w:t>
      </w:r>
    </w:p>
    <w:p>
      <w:pPr>
        <w:pStyle w:val="ListBullet"/>
      </w:pPr>
      <w:r>
        <w:t>Концептуальні, модульні й трансформовані художні об’єкти.</w:t>
      </w:r>
    </w:p>
    <w:p>
      <w:pPr>
        <w:pStyle w:val="ListBullet"/>
      </w:pPr>
      <w:r>
        <w:t>Ручне ліплення, формування, гравіювання, робота із шамотними масами.</w:t>
      </w:r>
    </w:p>
    <w:p>
      <w:pPr>
        <w:pStyle w:val="ListBullet"/>
      </w:pPr>
      <w:r>
        <w:t>Декорування кераміки, робота з ангобами, пігментами, поливами, оксидами та скляними включеннями.</w:t>
      </w:r>
    </w:p>
    <w:p>
      <w:pPr>
        <w:pStyle w:val="ListBullet"/>
      </w:pPr>
      <w:r>
        <w:t>Академічний рисунок, живопис, графіка та декоративна композиція.</w:t>
      </w:r>
    </w:p>
    <w:p>
      <w:pPr>
        <w:pStyle w:val="ListBullet"/>
      </w:pPr>
      <w:r>
        <w:t>Розроблення художніх концепцій і візуальних рішень.</w:t>
      </w:r>
    </w:p>
    <w:p>
      <w:pPr>
        <w:pStyle w:val="ListBullet"/>
      </w:pPr>
      <w:r>
        <w:t>Координація творчої команди та організація спільної роботи.</w:t>
      </w:r>
    </w:p>
    <w:sectPr w:rsidR="00FC693F" w:rsidRPr="0006063C" w:rsidSect="00034616">
      <w:footerReference w:type="default" r:id="rId9"/>
      <w:pgSz w:w="11906" w:h="16838"/>
      <w:pgMar w:top="879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6"/>
      </w:rPr>
      <w:t xml:space="preserve">Krystyna Mishchenko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69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69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ПРОФЕСІЙНЕ CV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