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ARTIST CV</w:t>
      </w:r>
    </w:p>
    <w:p>
      <w:pPr>
        <w:pStyle w:val="Title"/>
      </w:pPr>
      <w:r>
        <w:t>Krystyna Mishchenko</w:t>
      </w:r>
    </w:p>
    <w:p>
      <w:r>
        <w:t>Art ceramics and sculpture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</w:pPr>
            <w:r>
              <w:rPr>
                <w:sz w:val="17"/>
              </w:rPr>
              <w:t>Born in 1997  ·  Chemnitz, Saxony, Germany</w:t>
            </w:r>
          </w:p>
          <w:p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r>
        <w:t>Ukrainian artist working with ceramic sculpture, transformative compositions, drawing and painting. Artistic intention guides my practice: through the relationship between the figure, space and material, I explore identity, memory and human connections.</w:t>
      </w:r>
    </w:p>
    <w:p>
      <w:pPr>
        <w:pStyle w:val="Heading1"/>
      </w:pPr>
      <w: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Master’s degree · Kyiv State Academy of Decorative Arts and Design named after Mykhailo Boychuk,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Bachelor’s degree · Kyiv State Academy of Decorative Arts and Design named after Mykhailo Boychuk,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Junior Specialist diploma · Kharkiv Art College, Kharkiv, Ukraine. Art; qualification: artist and teacher.</w:t>
            </w:r>
          </w:p>
        </w:tc>
      </w:tr>
    </w:tbl>
    <w:p>
      <w:pPr>
        <w:pStyle w:val="Heading1"/>
      </w:pPr>
      <w:r>
        <w:t>RESIDENCIES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Art for Ukraine · two-week international artist residency, Brenna, Poland.</w:t>
            </w:r>
          </w:p>
        </w:tc>
      </w:tr>
    </w:tbl>
    <w:p>
      <w:pPr>
        <w:pStyle w:val="Heading1"/>
      </w:pPr>
      <w:r>
        <w:t>EXHIBITIONS AND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Resilience of Tradition — National Museum of Decorative Arts of Ukraine,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Art of the Young — exhibition project, Lviv,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Heritage and Innovation — National Union of Artists,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Roots of the Ukrainian Soul — Warsaw,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Roots of the Ukrainian Soul — European Union House, Riga, Latvia.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Poland – Finland – Ukraine Unit in Art for Peace — European Commission, Helsinki, Finland.</w:t>
            </w:r>
          </w:p>
        </w:tc>
      </w:tr>
    </w:tbl>
    <w:p>
      <w:r>
        <w:br w:type="page"/>
      </w:r>
    </w:p>
    <w:p>
      <w:pPr>
        <w:pStyle w:val="Title"/>
      </w:pPr>
      <w:r>
        <w:t>Krystyna Mishchenko</w:t>
      </w:r>
    </w:p>
    <w:p>
      <w:pPr>
        <w:pStyle w:val="Heading1"/>
      </w:pPr>
      <w:r>
        <w:t>EXHIBITIONS CONTINUED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Goodness: Instructions — Polish-Ukrainian philosophy and art exhibition for ages 4–104; Wawerskie Centrum Kultury, Międzylesie, Warsaw,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Second National Biennale of Small Ceramic Form — Wejherowo Cultural Centre, Wejherowo,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Azymut Chrzęsne 2022 — exhibition opening, Chrzęsne,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Otwarte Ogrody Artystów Dąbrowy — one-day exhibition, Warsaw,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Beskidzki Dom Zielin “Przytulnia” — one-day exhibition, Brenna, Poland.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CeGlina 2021 — contemporary ceramics project, CeGlinaArt Gallery, Kyiv, Ukraine.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Best Work of 2019 — All-Ukrainian exhibition and competition, National Association of Folk Art Artists of Ukraine, Kyiv, Ukraine.</w:t>
            </w:r>
          </w:p>
        </w:tc>
      </w:tr>
    </w:tbl>
    <w:p>
      <w:pPr>
        <w:pStyle w:val="Heading1"/>
      </w:pPr>
      <w:r>
        <w:t>AWARDS AND SCHOLARSHIPS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Scholarship from Wawerskie Centrum Kultury, Warsaw, Poland · project “Untitled. Does Goodness Have a Name”.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GOLDEN TIME International Arts Festival, London, United Kingdom — first and second places.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My Territory of Inspiration, third All-Ukrainian applied and fine arts competition, Lutsk, Ukraine — first place.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MALYUY.UA International Art Festival, Kyiv, Ukraine — finalist.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There Are Never Too Many Dreams, second All-Ukrainian art competition, Ternopil, Ukraine — first place.</w:t>
            </w:r>
          </w:p>
        </w:tc>
      </w:tr>
    </w:tbl>
    <w:p>
      <w:pPr>
        <w:pStyle w:val="Heading1"/>
      </w:pPr>
      <w:r>
        <w:t>PROFESSIONAL PRACTICE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SAGA POTTERY · Development of artistic solutions, decoration of ceramic pieces, and work with form, texture, glazes and pigments.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PROCS · Development of artistic and decorative solutions, organisation of workflows, team coordination, communication with partners and suppliers, and participation in staff training.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Studio Gozhar · Ceramics classes and workshops for children and adults, development of educational and creative assignments, and individual art commissions.</w:t>
            </w:r>
          </w:p>
        </w:tc>
      </w:tr>
    </w:tbl>
    <w:p>
      <w:pPr>
        <w:pStyle w:val="Heading1"/>
      </w:pPr>
      <w:r>
        <w:t>PROFESSIONAL MEMBERSHIP</w:t>
      </w:r>
    </w:p>
    <w:p>
      <w:r>
        <w:t>Since August 2022 — Association of Polish Artists and Designers (ZPAP), Warsaw, Poland.</w:t>
      </w:r>
    </w:p>
    <w:p>
      <w:pPr>
        <w:pStyle w:val="Heading1"/>
      </w:pPr>
      <w:r>
        <w:t>LANGUAGES</w:t>
      </w:r>
    </w:p>
    <w:p>
      <w:r>
        <w:t>Ukrainian — native · Russian — native-level proficiency · Polish — communicative, approximately A2–B1 (self-assessment) · German — B1, certified · English — beginner.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Artist CV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