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pracująca z rzeźbą ceramiczną, małą plastyką dekoracyjną, kompozycjami transformowalnymi, grafiką i malarstwem. Podstawą jej praktyki jest opracowanie zamysłu artystycznego i jego realizacja poprzez współdziałanie formy, przestrzeni i materiału. Jej prace badają kwestie tożsamości, pamięci i więzi międzyludzkich, ze szczególnym uwzględnieniem roli odbiorcy w postrzeganiu i przekształcaniu obrazu artystycznego.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WYSTAWY CIĄG DALSZY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Polski — komunikatywny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niemiecki — B1, potwierdzony certyfikatem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