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pPr>
      <w:r>
        <w:rPr>
          <w:color w:val="574B36"/>
          <w:sz w:val="18"/>
        </w:rPr>
        <w:t>KÜNSTLERISCHER LEBENSLAUF</w:t>
      </w:r>
    </w:p>
    <w:p>
      <w:pPr>
        <w:pStyle w:val="Title"/>
      </w:pPr>
      <w:r>
        <w:rPr>
          <w:spacing w:val="24"/>
        </w:rPr>
        <w:t>KRYSTYNA MISHCHENKO</w:t>
      </w:r>
    </w:p>
    <w:p>
      <w:r>
        <w:t>Künstlerische Keramik und Skulptur</w:t>
      </w:r>
    </w:p>
    <w:tbl>
      <w:tblPr>
        <w:tblW w:type="auto" w:w="0"/>
        <w:tblLook w:firstColumn="1" w:firstRow="1" w:lastColumn="0" w:lastRow="0" w:noHBand="0" w:noVBand="1" w:val="04A0"/>
      </w:tblPr>
      <w:tblGrid>
        <w:gridCol w:w="9866"/>
      </w:tblGrid>
      <w:tr>
        <w:tc>
          <w:tcPr>
            <w:tcW w:type="dxa" w:w="9866"/>
            <w:shd w:fill="F2EEE6"/>
          </w:tcPr>
          <w:p>
            <w:pPr>
              <w:spacing w:after="60"/>
              <w:jc w:val="left"/>
            </w:pPr>
            <w:r>
              <w:rPr>
                <w:sz w:val="17"/>
              </w:rPr>
              <w:t>Geboren 1997 in der Ukraine</w:t>
              <w:br/>
              <w:t>Wohnort: Deutschland, Chemnitz, Sachsen</w:t>
            </w:r>
          </w:p>
          <w:p>
            <w:pPr>
              <w:spacing w:after="60"/>
              <w:jc w:val="left"/>
            </w:pPr>
            <w:r>
              <w:rPr>
                <w:sz w:val="17"/>
              </w:rPr>
              <w:t>m.krystyna.197@gmail.com  ·  DE +49 1575 3604617  ·  UA +380 93 1324782</w:t>
            </w:r>
          </w:p>
        </w:tc>
      </w:tr>
    </w:tbl>
    <w:p>
      <w:pPr>
        <w:spacing w:after="160" w:line="72" w:lineRule="auto"/>
      </w:pPr>
    </w:p>
    <w:p>
      <w:r>
        <w:t>Ukrainische Künstlerin, die mit keramischer Skulptur, dekorativer Kleinplastik, transformierbaren Kompositionen, Zeichnung und Malerei arbeitet. Ihre Praxis beruht auf der Entwicklung einer künstlerischen Idee und ihrer Umsetzung durch das Zusammenspiel von Form, Raum und Material. Ihre Werke untersuchen Fragen der Identität, der Erinnerung und menschlicher Beziehungen und widmen der Rolle des Betrachters bei der Wahrnehmung und Veränderung des künstlerischen Bildes besondere Aufmerksamkeit.</w:t>
      </w:r>
    </w:p>
    <w:p>
      <w:pPr>
        <w:pStyle w:val="Heading1"/>
      </w:pPr>
      <w:r>
        <w:t>AUSBILDUNG</w:t>
      </w:r>
    </w:p>
    <w:tbl>
      <w:tblPr>
        <w:tblW w:type="auto" w:w="0"/>
        <w:tblLayout w:type="fixed"/>
        <w:tblLook w:firstColumn="1" w:firstRow="1" w:lastColumn="0" w:lastRow="0" w:noHBand="0" w:noVBand="1" w:val="04A0"/>
      </w:tblPr>
      <w:tblGrid>
        <w:gridCol w:w="1814"/>
        <w:gridCol w:w="8050"/>
      </w:tblGrid>
      <w:tr>
        <w:trPr>
          <w:cantSplit/>
        </w:trPr>
        <w:tc>
          <w:tcPr>
            <w:tcW w:type="dxa" w:w="1814"/>
          </w:tcPr>
          <w:p>
            <w:pPr>
              <w:spacing w:after="100" w:line="254" w:lineRule="auto"/>
              <w:jc w:val="right"/>
            </w:pPr>
            <w:r>
              <w:rPr>
                <w:b/>
                <w:color w:val="666158"/>
                <w:sz w:val="19"/>
              </w:rPr>
              <w:t>2020–2022</w:t>
            </w:r>
          </w:p>
        </w:tc>
        <w:tc>
          <w:tcPr>
            <w:tcW w:type="dxa" w:w="8050"/>
          </w:tcPr>
          <w:p>
            <w:pPr>
              <w:spacing w:after="100" w:line="254" w:lineRule="auto"/>
              <w:jc w:val="both"/>
            </w:pPr>
            <w:r>
              <w:rPr>
                <w:sz w:val="20"/>
              </w:rPr>
              <w:t>Masterabschluss · Staatliche Akademie für dekorative Kunst und Design namens Mychajlo Bojtschuk, Kyjiw, Ukraine.</w:t>
            </w:r>
          </w:p>
        </w:tc>
      </w:tr>
      <w:tr>
        <w:trPr>
          <w:cantSplit/>
        </w:trPr>
        <w:tc>
          <w:tcPr>
            <w:tcW w:type="dxa" w:w="1814"/>
          </w:tcPr>
          <w:p>
            <w:pPr>
              <w:spacing w:after="100" w:line="254" w:lineRule="auto"/>
              <w:jc w:val="right"/>
            </w:pPr>
            <w:r>
              <w:rPr>
                <w:b/>
                <w:color w:val="666158"/>
                <w:sz w:val="19"/>
              </w:rPr>
              <w:t>2016–2020</w:t>
            </w:r>
          </w:p>
        </w:tc>
        <w:tc>
          <w:tcPr>
            <w:tcW w:type="dxa" w:w="8050"/>
          </w:tcPr>
          <w:p>
            <w:pPr>
              <w:spacing w:after="100" w:line="254" w:lineRule="auto"/>
              <w:jc w:val="both"/>
            </w:pPr>
            <w:r>
              <w:rPr>
                <w:sz w:val="20"/>
              </w:rPr>
              <w:t>Bachelorabschluss · Staatliche Akademie für dekorative Kunst und Design namens Mychajlo Bojtschuk, Kyjiw, Ukraine.</w:t>
            </w:r>
          </w:p>
        </w:tc>
      </w:tr>
      <w:tr>
        <w:trPr>
          <w:cantSplit/>
        </w:trPr>
        <w:tc>
          <w:tcPr>
            <w:tcW w:type="dxa" w:w="1814"/>
          </w:tcPr>
          <w:p>
            <w:pPr>
              <w:spacing w:after="100" w:line="254" w:lineRule="auto"/>
              <w:jc w:val="right"/>
            </w:pPr>
            <w:r>
              <w:rPr>
                <w:b/>
                <w:color w:val="666158"/>
                <w:sz w:val="19"/>
              </w:rPr>
              <w:t>2012–2016</w:t>
            </w:r>
          </w:p>
        </w:tc>
        <w:tc>
          <w:tcPr>
            <w:tcW w:type="dxa" w:w="8050"/>
          </w:tcPr>
          <w:p>
            <w:pPr>
              <w:spacing w:after="100" w:line="254" w:lineRule="auto"/>
              <w:jc w:val="both"/>
            </w:pPr>
            <w:r>
              <w:rPr>
                <w:sz w:val="20"/>
              </w:rPr>
              <w:t>Diplom: Junior-Spezialistin · Kunstfachschule Charkiw, Ukraine. Kunst; Qualifikation: ausführende Künstlerin und Lehrerin.</w:t>
            </w:r>
          </w:p>
        </w:tc>
      </w:tr>
    </w:tbl>
    <w:p>
      <w:pPr>
        <w:pStyle w:val="Heading1"/>
      </w:pPr>
      <w:r>
        <w:t>MITGLIEDSCHAFT</w:t>
      </w:r>
    </w:p>
    <w:p>
      <w:r>
        <w:t>Seit August 2022 — Verband Polnischer Bildender Künstler (ZPAP), Warschau, Polen.</w:t>
      </w:r>
    </w:p>
    <w:p>
      <w:pPr>
        <w:pStyle w:val="Heading1"/>
      </w:pPr>
      <w:r>
        <w:t>BERUFLICHE PRAXIS</w:t>
      </w:r>
    </w:p>
    <w:tbl>
      <w:tblPr>
        <w:tblW w:type="auto" w:w="0"/>
        <w:tblLayout w:type="fixed"/>
        <w:tblLook w:firstColumn="1" w:firstRow="1" w:lastColumn="0" w:lastRow="0" w:noHBand="0" w:noVBand="1" w:val="04A0"/>
      </w:tblPr>
      <w:tblGrid>
        <w:gridCol w:w="1814"/>
        <w:gridCol w:w="8050"/>
      </w:tblGrid>
      <w:tr>
        <w:trPr>
          <w:cantSplit/>
        </w:trPr>
        <w:tc>
          <w:tcPr>
            <w:tcW w:type="dxa" w:w="1814"/>
          </w:tcPr>
          <w:p>
            <w:pPr>
              <w:spacing w:after="100" w:line="254" w:lineRule="auto"/>
              <w:jc w:val="right"/>
            </w:pPr>
            <w:r>
              <w:rPr>
                <w:b/>
                <w:color w:val="666158"/>
                <w:sz w:val="19"/>
              </w:rPr>
              <w:t>11.2020–02.2022</w:t>
            </w:r>
          </w:p>
        </w:tc>
        <w:tc>
          <w:tcPr>
            <w:tcW w:type="dxa" w:w="8050"/>
          </w:tcPr>
          <w:p>
            <w:pPr>
              <w:spacing w:after="100" w:line="254" w:lineRule="auto"/>
              <w:jc w:val="both"/>
            </w:pPr>
            <w:r>
              <w:rPr>
                <w:sz w:val="20"/>
              </w:rPr>
              <w:t>SAGA POTTERY · Entwicklung künstlerischer Lösungen, dekorative Gestaltung keramischer Arbeiten sowie Arbeit mit Form, Oberflächenstruktur, Glasuren und Pigmenten.</w:t>
            </w:r>
          </w:p>
        </w:tc>
      </w:tr>
      <w:tr>
        <w:trPr>
          <w:cantSplit/>
        </w:trPr>
        <w:tc>
          <w:tcPr>
            <w:tcW w:type="dxa" w:w="1814"/>
          </w:tcPr>
          <w:p>
            <w:pPr>
              <w:spacing w:after="100" w:line="254" w:lineRule="auto"/>
              <w:jc w:val="right"/>
            </w:pPr>
            <w:r>
              <w:rPr>
                <w:b/>
                <w:color w:val="666158"/>
                <w:sz w:val="19"/>
              </w:rPr>
              <w:t>2018–2021</w:t>
            </w:r>
          </w:p>
        </w:tc>
        <w:tc>
          <w:tcPr>
            <w:tcW w:type="dxa" w:w="8050"/>
          </w:tcPr>
          <w:p>
            <w:pPr>
              <w:spacing w:after="100" w:line="254" w:lineRule="auto"/>
              <w:jc w:val="both"/>
            </w:pPr>
            <w:r>
              <w:rPr>
                <w:sz w:val="20"/>
              </w:rPr>
              <w:t>PROCS · Entwicklung künstlerischer und dekorativer Lösungen, Organisation von Arbeitsabläufen, Teamkoordination, Zusammenarbeit mit Partnern und Lieferanten sowie Mitwirkung an der Mitarbeiterschulung.</w:t>
            </w:r>
          </w:p>
        </w:tc>
      </w:tr>
      <w:tr>
        <w:trPr>
          <w:cantSplit/>
        </w:trPr>
        <w:tc>
          <w:tcPr>
            <w:tcW w:type="dxa" w:w="1814"/>
          </w:tcPr>
          <w:p>
            <w:pPr>
              <w:spacing w:after="100" w:line="254" w:lineRule="auto"/>
              <w:jc w:val="right"/>
            </w:pPr>
            <w:r>
              <w:rPr>
                <w:b/>
                <w:color w:val="666158"/>
                <w:sz w:val="19"/>
              </w:rPr>
              <w:t>2020</w:t>
            </w:r>
          </w:p>
        </w:tc>
        <w:tc>
          <w:tcPr>
            <w:tcW w:type="dxa" w:w="8050"/>
          </w:tcPr>
          <w:p>
            <w:pPr>
              <w:spacing w:after="100" w:line="254" w:lineRule="auto"/>
              <w:jc w:val="both"/>
            </w:pPr>
            <w:r>
              <w:rPr>
                <w:sz w:val="20"/>
              </w:rPr>
              <w:t>Studio Gozhar · Keramikkurse und Workshops für Kinder und Erwachsene, Entwicklung von Lernaufgaben und kreativen Übungen sowie Ausführung individueller künstlerischer Aufträge.</w:t>
            </w:r>
          </w:p>
        </w:tc>
      </w:tr>
    </w:tbl>
    <w:p>
      <w:pPr>
        <w:pStyle w:val="Heading1"/>
      </w:pPr>
      <w:r>
        <w:t>SPRACHKENNTNISSE</w:t>
      </w:r>
    </w:p>
    <w:tbl>
      <w:tblPr>
        <w:tblW w:type="auto" w:w="0"/>
        <w:tblLook w:firstColumn="1" w:firstRow="1" w:lastColumn="0" w:lastRow="0" w:noHBand="0" w:noVBand="1" w:val="04A0"/>
      </w:tblPr>
      <w:tblGrid>
        <w:gridCol w:w="4933"/>
        <w:gridCol w:w="4933"/>
      </w:tblGrid>
      <w:tr>
        <w:tc>
          <w:tcPr>
            <w:tcW w:type="dxa" w:w="4933"/>
          </w:tcPr>
          <w:p>
            <w:pPr>
              <w:jc w:val="left"/>
            </w:pPr>
            <w:r>
              <w:t>Ukrainisch — Muttersprache</w:t>
            </w:r>
          </w:p>
        </w:tc>
        <w:tc>
          <w:tcPr>
            <w:tcW w:type="dxa" w:w="4933"/>
          </w:tcPr>
          <w:p>
            <w:pPr>
              <w:jc w:val="left"/>
            </w:pPr>
            <w:r>
              <w:t>Russisch — muttersprachliches Niveau</w:t>
            </w:r>
          </w:p>
        </w:tc>
      </w:tr>
      <w:tr>
        <w:tc>
          <w:tcPr>
            <w:tcW w:type="dxa" w:w="4933"/>
          </w:tcPr>
          <w:p>
            <w:pPr>
              <w:jc w:val="left"/>
            </w:pPr>
            <w:r>
              <w:t>Deutsch — B1, durch Zertifikat bestätigt</w:t>
            </w:r>
          </w:p>
        </w:tc>
        <w:tc>
          <w:tcPr>
            <w:tcW w:type="dxa" w:w="4933"/>
          </w:tcPr>
          <w:p>
            <w:pPr>
              <w:jc w:val="left"/>
            </w:pPr>
            <w:r>
              <w:t>Polnisch — kommunikativ</w:t>
            </w:r>
          </w:p>
        </w:tc>
      </w:tr>
      <w:tr>
        <w:tc>
          <w:tcPr>
            <w:tcW w:type="dxa" w:w="4933"/>
          </w:tcPr>
          <w:p>
            <w:pPr>
              <w:jc w:val="left"/>
            </w:pPr>
            <w:r>
              <w:t>Englisch — Grundkenntnisse.</w:t>
            </w:r>
          </w:p>
        </w:tc>
        <w:tc>
          <w:tcPr>
            <w:tcW w:type="dxa" w:w="4933"/>
          </w:tcPr>
          <w:p/>
        </w:tc>
      </w:tr>
    </w:tbl>
    <w:p>
      <w:r>
        <w:br w:type="page"/>
      </w:r>
    </w:p>
    <w:p>
      <w:pPr>
        <w:pStyle w:val="Title"/>
      </w:pPr>
      <w:r>
        <w:t>KRYSTYNA MISHCHENKO</w:t>
      </w:r>
    </w:p>
    <w:p>
      <w:pPr>
        <w:pStyle w:val="Heading1"/>
      </w:pPr>
      <w:r>
        <w:t>RESIDENZEN</w:t>
      </w:r>
    </w:p>
    <w:tbl>
      <w:tblPr>
        <w:tblW w:type="auto" w:w="0"/>
        <w:tblLayout w:type="fixed"/>
        <w:tblLook w:firstColumn="1" w:firstRow="1" w:lastColumn="0" w:lastRow="0" w:noHBand="0" w:noVBand="1" w:val="04A0"/>
      </w:tblPr>
      <w:tblGrid>
        <w:gridCol w:w="1814"/>
        <w:gridCol w:w="8050"/>
      </w:tblGrid>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Kunst für die Ukraine · zweiwöchige internationale Künstlerresidenz, Brenna, Polen.</w:t>
            </w:r>
          </w:p>
        </w:tc>
      </w:tr>
    </w:tbl>
    <w:p>
      <w:pPr>
        <w:pStyle w:val="Heading1"/>
      </w:pPr>
      <w:r>
        <w:t>AUSSTELLUNGEN UND PROJEKTE</w:t>
      </w:r>
    </w:p>
    <w:tbl>
      <w:tblPr>
        <w:tblW w:type="auto" w:w="0"/>
        <w:tblLayout w:type="fixed"/>
        <w:tblLook w:firstColumn="1" w:firstRow="1" w:lastColumn="0" w:lastRow="0" w:noHBand="0" w:noVBand="1" w:val="04A0"/>
      </w:tblPr>
      <w:tblGrid>
        <w:gridCol w:w="1814"/>
        <w:gridCol w:w="8050"/>
      </w:tblGrid>
      <w:tr>
        <w:trPr>
          <w:cantSplit/>
        </w:trPr>
        <w:tc>
          <w:tcPr>
            <w:tcW w:type="dxa" w:w="1814"/>
          </w:tcPr>
          <w:p>
            <w:pPr>
              <w:spacing w:after="100" w:line="254" w:lineRule="auto"/>
              <w:jc w:val="right"/>
            </w:pPr>
            <w:r>
              <w:rPr>
                <w:b/>
                <w:color w:val="666158"/>
                <w:sz w:val="19"/>
              </w:rPr>
              <w:t>11.04.2024</w:t>
            </w:r>
          </w:p>
        </w:tc>
        <w:tc>
          <w:tcPr>
            <w:tcW w:type="dxa" w:w="8050"/>
          </w:tcPr>
          <w:p>
            <w:pPr>
              <w:spacing w:after="100" w:line="254" w:lineRule="auto"/>
              <w:jc w:val="both"/>
            </w:pPr>
            <w:r>
              <w:rPr>
                <w:sz w:val="20"/>
              </w:rPr>
              <w:t>Unbeugsamkeit der Tradition — Nationalmuseum für dekorative Kunst der Ukraine, Kyjiw, Ukraine.</w:t>
            </w:r>
          </w:p>
        </w:tc>
      </w:tr>
      <w:tr>
        <w:trPr>
          <w:cantSplit/>
        </w:trPr>
        <w:tc>
          <w:tcPr>
            <w:tcW w:type="dxa" w:w="1814"/>
          </w:tcPr>
          <w:p>
            <w:pPr>
              <w:spacing w:after="100" w:line="254" w:lineRule="auto"/>
              <w:jc w:val="right"/>
            </w:pPr>
            <w:r>
              <w:rPr>
                <w:b/>
                <w:color w:val="666158"/>
                <w:sz w:val="19"/>
              </w:rPr>
              <w:t>2023</w:t>
            </w:r>
          </w:p>
        </w:tc>
        <w:tc>
          <w:tcPr>
            <w:tcW w:type="dxa" w:w="8050"/>
          </w:tcPr>
          <w:p>
            <w:pPr>
              <w:spacing w:after="100" w:line="254" w:lineRule="auto"/>
              <w:jc w:val="both"/>
            </w:pPr>
            <w:r>
              <w:rPr>
                <w:sz w:val="20"/>
              </w:rPr>
              <w:t>Kunst der Jungen — Ausstellungsprojekt, Lwiw, Ukraine.</w:t>
            </w:r>
          </w:p>
        </w:tc>
      </w:tr>
      <w:tr>
        <w:trPr>
          <w:cantSplit/>
        </w:trPr>
        <w:tc>
          <w:tcPr>
            <w:tcW w:type="dxa" w:w="1814"/>
          </w:tcPr>
          <w:p>
            <w:pPr>
              <w:spacing w:after="100" w:line="254" w:lineRule="auto"/>
              <w:jc w:val="right"/>
            </w:pPr>
            <w:r>
              <w:rPr>
                <w:b/>
                <w:color w:val="666158"/>
                <w:sz w:val="19"/>
              </w:rPr>
              <w:t>2023</w:t>
            </w:r>
          </w:p>
        </w:tc>
        <w:tc>
          <w:tcPr>
            <w:tcW w:type="dxa" w:w="8050"/>
          </w:tcPr>
          <w:p>
            <w:pPr>
              <w:spacing w:after="100" w:line="254" w:lineRule="auto"/>
              <w:jc w:val="both"/>
            </w:pPr>
            <w:r>
              <w:rPr>
                <w:sz w:val="20"/>
              </w:rPr>
              <w:t>Erbe und Innovation — Nationaler Künstlerverband, Kyjiw, Ukraine.</w:t>
            </w:r>
          </w:p>
        </w:tc>
      </w:tr>
      <w:tr>
        <w:trPr>
          <w:cantSplit/>
        </w:trPr>
        <w:tc>
          <w:tcPr>
            <w:tcW w:type="dxa" w:w="1814"/>
          </w:tcPr>
          <w:p>
            <w:pPr>
              <w:spacing w:after="100" w:line="254" w:lineRule="auto"/>
              <w:jc w:val="right"/>
            </w:pPr>
            <w:r>
              <w:rPr>
                <w:b/>
                <w:color w:val="666158"/>
                <w:sz w:val="19"/>
              </w:rPr>
              <w:t>15.04–07.05.2023</w:t>
            </w:r>
          </w:p>
        </w:tc>
        <w:tc>
          <w:tcPr>
            <w:tcW w:type="dxa" w:w="8050"/>
          </w:tcPr>
          <w:p>
            <w:pPr>
              <w:spacing w:after="100" w:line="254" w:lineRule="auto"/>
              <w:jc w:val="both"/>
            </w:pPr>
            <w:r>
              <w:rPr>
                <w:sz w:val="20"/>
              </w:rPr>
              <w:t>Wurzeln der ukrainischen Seele — Warschau, Polen.</w:t>
            </w:r>
          </w:p>
        </w:tc>
      </w:tr>
      <w:tr>
        <w:trPr>
          <w:cantSplit/>
        </w:trPr>
        <w:tc>
          <w:tcPr>
            <w:tcW w:type="dxa" w:w="1814"/>
          </w:tcPr>
          <w:p>
            <w:pPr>
              <w:spacing w:after="100" w:line="254" w:lineRule="auto"/>
              <w:jc w:val="right"/>
            </w:pPr>
            <w:r>
              <w:rPr>
                <w:b/>
                <w:color w:val="666158"/>
                <w:sz w:val="19"/>
              </w:rPr>
              <w:t>17.02–03.03.2023</w:t>
            </w:r>
          </w:p>
        </w:tc>
        <w:tc>
          <w:tcPr>
            <w:tcW w:type="dxa" w:w="8050"/>
          </w:tcPr>
          <w:p>
            <w:pPr>
              <w:spacing w:after="100" w:line="254" w:lineRule="auto"/>
              <w:jc w:val="both"/>
            </w:pPr>
            <w:r>
              <w:rPr>
                <w:sz w:val="20"/>
              </w:rPr>
              <w:t>Wurzeln der ukrainischen Seele — Haus der Europäischen Union, Riga, Lettland.</w:t>
            </w:r>
          </w:p>
        </w:tc>
      </w:tr>
      <w:tr>
        <w:trPr>
          <w:cantSplit/>
        </w:trPr>
        <w:tc>
          <w:tcPr>
            <w:tcW w:type="dxa" w:w="1814"/>
          </w:tcPr>
          <w:p>
            <w:pPr>
              <w:spacing w:after="100" w:line="254" w:lineRule="auto"/>
              <w:jc w:val="right"/>
            </w:pPr>
            <w:r>
              <w:rPr>
                <w:b/>
                <w:color w:val="666158"/>
                <w:sz w:val="19"/>
              </w:rPr>
              <w:t>14–28.11.2022</w:t>
            </w:r>
          </w:p>
        </w:tc>
        <w:tc>
          <w:tcPr>
            <w:tcW w:type="dxa" w:w="8050"/>
          </w:tcPr>
          <w:p>
            <w:pPr>
              <w:spacing w:after="100" w:line="254" w:lineRule="auto"/>
              <w:jc w:val="both"/>
            </w:pPr>
            <w:r>
              <w:rPr>
                <w:sz w:val="20"/>
              </w:rPr>
              <w:t>Poland – Finland – Ukraine Unit in Art for Peace — Europäische Kommission, Helsinki, Finnland.</w:t>
            </w:r>
          </w:p>
        </w:tc>
      </w:tr>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Das Gute — eine Anleitung. Polnisch-ukrainische Philosophie- und Kunstausstellung für Kinder von 4 bis 104 Jahren — Wawerskie Centrum Kultury, Międzylesie, Warschau, Polen.</w:t>
            </w:r>
          </w:p>
        </w:tc>
      </w:tr>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Zweite nationale Biennale der keramischen Kleinform — Kulturzentrum Wejherowo, Wejherowo, Polen.</w:t>
            </w:r>
          </w:p>
        </w:tc>
      </w:tr>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Azymut Chrzęsne 2022 — Vernissage, Chrzęsne, Polen.</w:t>
            </w:r>
          </w:p>
        </w:tc>
      </w:tr>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Otwarte Ogrody Artystów Dąbrowy — eintägige Ausstellung, Warschau, Polen.</w:t>
            </w:r>
          </w:p>
        </w:tc>
      </w:tr>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Beskidzki Dom Zielin „Przytulnia“ — eintägige Ausstellung, Brenna, Polen.</w:t>
            </w:r>
          </w:p>
        </w:tc>
      </w:tr>
      <w:tr>
        <w:trPr>
          <w:cantSplit/>
        </w:trPr>
        <w:tc>
          <w:tcPr>
            <w:tcW w:type="dxa" w:w="1814"/>
          </w:tcPr>
          <w:p>
            <w:pPr>
              <w:spacing w:after="100" w:line="254" w:lineRule="auto"/>
              <w:jc w:val="right"/>
            </w:pPr>
            <w:r>
              <w:rPr>
                <w:b/>
                <w:color w:val="666158"/>
                <w:sz w:val="19"/>
              </w:rPr>
              <w:t>15–22.05.2021</w:t>
            </w:r>
          </w:p>
        </w:tc>
        <w:tc>
          <w:tcPr>
            <w:tcW w:type="dxa" w:w="8050"/>
          </w:tcPr>
          <w:p>
            <w:pPr>
              <w:spacing w:after="100" w:line="254" w:lineRule="auto"/>
              <w:jc w:val="both"/>
            </w:pPr>
            <w:r>
              <w:rPr>
                <w:sz w:val="20"/>
              </w:rPr>
              <w:t>CeGlina 2021 — Projekt zeitgenössischer Keramik, Galerie CeGlinaArt, Kyjiw, Ukraine.</w:t>
            </w:r>
          </w:p>
        </w:tc>
      </w:tr>
      <w:tr>
        <w:trPr>
          <w:cantSplit/>
        </w:trPr>
        <w:tc>
          <w:tcPr>
            <w:tcW w:type="dxa" w:w="1814"/>
          </w:tcPr>
          <w:p>
            <w:pPr>
              <w:spacing w:after="100" w:line="254" w:lineRule="auto"/>
              <w:jc w:val="right"/>
            </w:pPr>
            <w:r>
              <w:rPr>
                <w:b/>
                <w:color w:val="666158"/>
                <w:sz w:val="19"/>
              </w:rPr>
              <w:t>2019</w:t>
            </w:r>
          </w:p>
        </w:tc>
        <w:tc>
          <w:tcPr>
            <w:tcW w:type="dxa" w:w="8050"/>
          </w:tcPr>
          <w:p>
            <w:pPr>
              <w:spacing w:after="100" w:line="254" w:lineRule="auto"/>
              <w:jc w:val="both"/>
            </w:pPr>
            <w:r>
              <w:rPr>
                <w:sz w:val="20"/>
              </w:rPr>
              <w:t>Bestes Werk des Jahres 2019 — gesamtukrainische Ausstellung und Wettbewerb, Nationaler Verband der Volkskunstschaffenden der Ukraine, Kyjiw, Ukraine.</w:t>
            </w:r>
          </w:p>
        </w:tc>
      </w:tr>
    </w:tbl>
    <w:p>
      <w:pPr>
        <w:pStyle w:val="Heading1"/>
      </w:pPr>
      <w:r>
        <w:t>AUSZEICHNUNGEN UND STIPENDIEN</w:t>
      </w:r>
    </w:p>
    <w:tbl>
      <w:tblPr>
        <w:tblW w:type="auto" w:w="0"/>
        <w:tblLayout w:type="fixed"/>
        <w:tblLook w:firstColumn="1" w:firstRow="1" w:lastColumn="0" w:lastRow="0" w:noHBand="0" w:noVBand="1" w:val="04A0"/>
      </w:tblPr>
      <w:tblGrid>
        <w:gridCol w:w="1814"/>
        <w:gridCol w:w="8050"/>
      </w:tblGrid>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Stipendium des Wawerskie Centrum Kultury, Warschau, Polen · Projekt „Ohne Titel. Hat das Gute einen Namen“.</w:t>
            </w:r>
          </w:p>
        </w:tc>
      </w:tr>
      <w:tr>
        <w:trPr>
          <w:cantSplit/>
        </w:trPr>
        <w:tc>
          <w:tcPr>
            <w:tcW w:type="dxa" w:w="1814"/>
          </w:tcPr>
          <w:p>
            <w:pPr>
              <w:spacing w:after="100" w:line="254" w:lineRule="auto"/>
              <w:jc w:val="right"/>
            </w:pPr>
            <w:r>
              <w:rPr>
                <w:b/>
                <w:color w:val="666158"/>
                <w:sz w:val="19"/>
              </w:rPr>
              <w:t>2021</w:t>
            </w:r>
          </w:p>
        </w:tc>
        <w:tc>
          <w:tcPr>
            <w:tcW w:type="dxa" w:w="8050"/>
          </w:tcPr>
          <w:p>
            <w:pPr>
              <w:spacing w:after="100" w:line="254" w:lineRule="auto"/>
              <w:jc w:val="both"/>
            </w:pPr>
            <w:r>
              <w:rPr>
                <w:sz w:val="20"/>
              </w:rPr>
              <w:t>GOLDEN TIME, Internationales Kunstfestival, London, Vereinigtes Königreich — erster und zweiter Platz.</w:t>
            </w:r>
          </w:p>
        </w:tc>
      </w:tr>
      <w:tr>
        <w:trPr>
          <w:cantSplit/>
        </w:trPr>
        <w:tc>
          <w:tcPr>
            <w:tcW w:type="dxa" w:w="1814"/>
          </w:tcPr>
          <w:p>
            <w:pPr>
              <w:spacing w:after="100" w:line="254" w:lineRule="auto"/>
              <w:jc w:val="right"/>
            </w:pPr>
            <w:r>
              <w:rPr>
                <w:b/>
                <w:color w:val="666158"/>
                <w:sz w:val="19"/>
              </w:rPr>
              <w:t>2021</w:t>
            </w:r>
          </w:p>
        </w:tc>
        <w:tc>
          <w:tcPr>
            <w:tcW w:type="dxa" w:w="8050"/>
          </w:tcPr>
          <w:p>
            <w:pPr>
              <w:spacing w:after="100" w:line="254" w:lineRule="auto"/>
              <w:jc w:val="both"/>
            </w:pPr>
            <w:r>
              <w:rPr>
                <w:sz w:val="20"/>
              </w:rPr>
              <w:t>Mein Raum der Inspiration, dritter gesamtukrainischer Wettbewerb für angewandte und bildende Kunst, Luzk, Ukraine — erster Platz.</w:t>
            </w:r>
          </w:p>
        </w:tc>
      </w:tr>
      <w:tr>
        <w:trPr>
          <w:cantSplit/>
        </w:trPr>
        <w:tc>
          <w:tcPr>
            <w:tcW w:type="dxa" w:w="1814"/>
          </w:tcPr>
          <w:p>
            <w:pPr>
              <w:spacing w:after="100" w:line="254" w:lineRule="auto"/>
              <w:jc w:val="right"/>
            </w:pPr>
            <w:r>
              <w:rPr>
                <w:b/>
                <w:color w:val="666158"/>
                <w:sz w:val="19"/>
              </w:rPr>
              <w:t>02–05.2021</w:t>
            </w:r>
          </w:p>
        </w:tc>
        <w:tc>
          <w:tcPr>
            <w:tcW w:type="dxa" w:w="8050"/>
          </w:tcPr>
          <w:p>
            <w:pPr>
              <w:spacing w:after="100" w:line="254" w:lineRule="auto"/>
              <w:jc w:val="both"/>
            </w:pPr>
            <w:r>
              <w:rPr>
                <w:sz w:val="20"/>
              </w:rPr>
              <w:t>MALYUY.UA, Internationales Kunstfestival, Kyjiw, Ukraine — Finalistin.</w:t>
            </w:r>
          </w:p>
        </w:tc>
      </w:tr>
      <w:tr>
        <w:trPr>
          <w:cantSplit/>
        </w:trPr>
        <w:tc>
          <w:tcPr>
            <w:tcW w:type="dxa" w:w="1814"/>
          </w:tcPr>
          <w:p>
            <w:pPr>
              <w:spacing w:after="100" w:line="254" w:lineRule="auto"/>
              <w:jc w:val="right"/>
            </w:pPr>
            <w:r>
              <w:rPr>
                <w:b/>
                <w:color w:val="666158"/>
                <w:sz w:val="19"/>
              </w:rPr>
              <w:t>2020</w:t>
            </w:r>
          </w:p>
        </w:tc>
        <w:tc>
          <w:tcPr>
            <w:tcW w:type="dxa" w:w="8050"/>
          </w:tcPr>
          <w:p>
            <w:pPr>
              <w:spacing w:after="100" w:line="254" w:lineRule="auto"/>
              <w:jc w:val="both"/>
            </w:pPr>
            <w:r>
              <w:rPr>
                <w:sz w:val="20"/>
              </w:rPr>
              <w:t>Man kann nie zu viele Träume haben, zweiter gesamtukrainischer Kunstwettbewerb, Ternopil, Ukraine — erster Platz.</w:t>
            </w:r>
          </w:p>
        </w:tc>
      </w:tr>
    </w:tbl>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158"/>
        <w:sz w:val="16"/>
      </w:rPr>
      <w:t xml:space="preserve">KRYSTYNA MISHCHENKO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jc w:val="both"/>
    </w:pPr>
    <w:rPr>
      <w:rFonts w:ascii="Arial" w:hAnsi="Arial"/>
      <w:color w:val="2524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9" w:lineRule="auto"/>
      <w:jc w:val="left"/>
      <w:outlineLvl w:val="0"/>
    </w:pPr>
    <w:rPr>
      <w:rFonts w:asciiTheme="majorHAnsi" w:eastAsiaTheme="majorEastAsia" w:hAnsiTheme="majorHAnsi" w:cstheme="majorBidi" w:ascii="Arial" w:hAnsi="Arial"/>
      <w:b/>
      <w:bCs/>
      <w:color w:val="25242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jc w:val="both"/>
      <w:outlineLvl w:val="1"/>
    </w:pPr>
    <w:rPr>
      <w:rFonts w:asciiTheme="majorHAnsi" w:eastAsiaTheme="majorEastAsia" w:hAnsiTheme="majorHAnsi" w:cstheme="majorBidi" w:ascii="Arial" w:hAnsi="Arial"/>
      <w:b/>
      <w:bCs/>
      <w:color w:val="2524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9" w:lineRule="auto"/>
      <w:contextualSpacing/>
      <w:jc w:val="left"/>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69" w:lineRule="auto" w:after="120"/>
      <w:jc w:val="both"/>
    </w:pPr>
    <w:rPr>
      <w:rFonts w:ascii="Arial" w:hAnsi="Arial"/>
      <w:b/>
      <w:bCs/>
      <w:color w:val="25242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Künstlerischer Lebenslauf</dc:title>
  <dc:subject/>
  <dc:creator>Krystyna Mishchenko</dc:creator>
  <cp:keywords/>
  <dc:description>generated by python-docx</dc:description>
  <cp:lastModifiedBy/>
  <cp:revision>1</cp:revision>
  <dcterms:created xsi:type="dcterms:W3CDTF">2013-12-23T23:15:00Z</dcterms:created>
  <dcterms:modified xsi:type="dcterms:W3CDTF">2013-12-23T23:15:00Z</dcterms:modified>
  <cp:category/>
</cp:coreProperties>
</file>