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4D9" w:rsidRDefault="002174D9" w:rsidP="001E3351">
      <w:pPr>
        <w:spacing w:line="360" w:lineRule="auto"/>
        <w:jc w:val="center"/>
        <w:rPr>
          <w:sz w:val="32"/>
          <w:szCs w:val="32"/>
        </w:rPr>
      </w:pPr>
      <w:r>
        <w:rPr>
          <w:sz w:val="32"/>
          <w:szCs w:val="32"/>
        </w:rPr>
        <w:t>Family Level Index: Explanation</w:t>
      </w:r>
      <w:r w:rsidR="001E3351">
        <w:rPr>
          <w:sz w:val="32"/>
          <w:szCs w:val="32"/>
        </w:rPr>
        <w:t>, Usage, and Performance</w:t>
      </w:r>
    </w:p>
    <w:p w:rsidR="002174D9" w:rsidRPr="002174D9" w:rsidRDefault="002174D9" w:rsidP="001E3351">
      <w:pPr>
        <w:spacing w:line="360" w:lineRule="auto"/>
        <w:rPr>
          <w:sz w:val="24"/>
          <w:szCs w:val="24"/>
        </w:rPr>
      </w:pPr>
      <w:r w:rsidRPr="002174D9">
        <w:rPr>
          <w:sz w:val="24"/>
          <w:szCs w:val="24"/>
        </w:rPr>
        <w:t>Installing the Family Level Index User Interface</w:t>
      </w:r>
    </w:p>
    <w:p w:rsidR="002174D9" w:rsidRDefault="002174D9" w:rsidP="001E3351">
      <w:pPr>
        <w:pStyle w:val="ListParagraph"/>
        <w:numPr>
          <w:ilvl w:val="0"/>
          <w:numId w:val="1"/>
        </w:numPr>
        <w:spacing w:line="360" w:lineRule="auto"/>
        <w:rPr>
          <w:sz w:val="24"/>
          <w:szCs w:val="24"/>
        </w:rPr>
      </w:pPr>
      <w:r>
        <w:rPr>
          <w:sz w:val="24"/>
          <w:szCs w:val="24"/>
        </w:rPr>
        <w:t xml:space="preserve">Go to </w:t>
      </w:r>
      <w:hyperlink r:id="rId6" w:history="1">
        <w:r w:rsidRPr="005D1741">
          <w:rPr>
            <w:rStyle w:val="Hyperlink"/>
            <w:sz w:val="24"/>
            <w:szCs w:val="24"/>
          </w:rPr>
          <w:t>https://github.com/mengeln/FLI</w:t>
        </w:r>
      </w:hyperlink>
    </w:p>
    <w:p w:rsidR="002174D9" w:rsidRDefault="002174D9" w:rsidP="001E3351">
      <w:pPr>
        <w:pStyle w:val="ListParagraph"/>
        <w:numPr>
          <w:ilvl w:val="0"/>
          <w:numId w:val="1"/>
        </w:numPr>
        <w:spacing w:line="360" w:lineRule="auto"/>
        <w:rPr>
          <w:sz w:val="24"/>
          <w:szCs w:val="24"/>
        </w:rPr>
      </w:pPr>
      <w:r>
        <w:rPr>
          <w:sz w:val="24"/>
          <w:szCs w:val="24"/>
        </w:rPr>
        <w:t>Find and click the button “Download ZIP” on the right hand side of the page</w:t>
      </w:r>
    </w:p>
    <w:p w:rsidR="002174D9" w:rsidRDefault="002174D9" w:rsidP="001E3351">
      <w:pPr>
        <w:pStyle w:val="ListParagraph"/>
        <w:numPr>
          <w:ilvl w:val="0"/>
          <w:numId w:val="1"/>
        </w:numPr>
        <w:spacing w:line="360" w:lineRule="auto"/>
        <w:rPr>
          <w:sz w:val="24"/>
          <w:szCs w:val="24"/>
        </w:rPr>
      </w:pPr>
      <w:r>
        <w:rPr>
          <w:sz w:val="24"/>
          <w:szCs w:val="24"/>
        </w:rPr>
        <w:t>Once the download has completed, unzip the file</w:t>
      </w:r>
    </w:p>
    <w:p w:rsidR="002174D9" w:rsidRDefault="002174D9" w:rsidP="001E3351">
      <w:pPr>
        <w:pStyle w:val="ListParagraph"/>
        <w:numPr>
          <w:ilvl w:val="0"/>
          <w:numId w:val="1"/>
        </w:numPr>
        <w:spacing w:line="360" w:lineRule="auto"/>
        <w:rPr>
          <w:sz w:val="24"/>
          <w:szCs w:val="24"/>
        </w:rPr>
      </w:pPr>
      <w:r>
        <w:rPr>
          <w:sz w:val="24"/>
          <w:szCs w:val="24"/>
        </w:rPr>
        <w:t>Navigate to the top level of the FLI folder</w:t>
      </w:r>
    </w:p>
    <w:p w:rsidR="002174D9" w:rsidRDefault="002174D9" w:rsidP="001E3351">
      <w:pPr>
        <w:pStyle w:val="ListParagraph"/>
        <w:numPr>
          <w:ilvl w:val="0"/>
          <w:numId w:val="1"/>
        </w:numPr>
        <w:spacing w:line="360" w:lineRule="auto"/>
        <w:rPr>
          <w:sz w:val="24"/>
          <w:szCs w:val="24"/>
        </w:rPr>
      </w:pPr>
      <w:r>
        <w:rPr>
          <w:sz w:val="24"/>
          <w:szCs w:val="24"/>
        </w:rPr>
        <w:t>Double click the “FLI.exe” program. This will normally boot up the FLI UI, however on first usage the MMI and OE models will be installed. This may take a few minutes.</w:t>
      </w:r>
    </w:p>
    <w:p w:rsidR="002174D9" w:rsidRPr="002174D9" w:rsidRDefault="002174D9" w:rsidP="001E3351">
      <w:pPr>
        <w:spacing w:line="360" w:lineRule="auto"/>
        <w:rPr>
          <w:sz w:val="24"/>
          <w:szCs w:val="24"/>
        </w:rPr>
      </w:pPr>
      <w:r>
        <w:rPr>
          <w:sz w:val="24"/>
          <w:szCs w:val="24"/>
        </w:rPr>
        <w:t xml:space="preserve">Using </w:t>
      </w:r>
      <w:r w:rsidRPr="002174D9">
        <w:rPr>
          <w:sz w:val="24"/>
          <w:szCs w:val="24"/>
        </w:rPr>
        <w:t>the Family Level Index User Interface</w:t>
      </w:r>
    </w:p>
    <w:p w:rsidR="002174D9" w:rsidRDefault="002174D9" w:rsidP="001E3351">
      <w:pPr>
        <w:pStyle w:val="ListParagraph"/>
        <w:numPr>
          <w:ilvl w:val="0"/>
          <w:numId w:val="2"/>
        </w:numPr>
        <w:spacing w:line="360" w:lineRule="auto"/>
        <w:rPr>
          <w:sz w:val="24"/>
          <w:szCs w:val="24"/>
        </w:rPr>
      </w:pPr>
      <w:r>
        <w:rPr>
          <w:sz w:val="24"/>
          <w:szCs w:val="24"/>
        </w:rPr>
        <w:t>Double click the “FLI.exe” program</w:t>
      </w:r>
      <w:r>
        <w:rPr>
          <w:sz w:val="24"/>
          <w:szCs w:val="24"/>
        </w:rPr>
        <w:t>. The application should boot up in your web browser (specifically, at localhost</w:t>
      </w:r>
      <w:proofErr w:type="gramStart"/>
      <w:r>
        <w:rPr>
          <w:sz w:val="24"/>
          <w:szCs w:val="24"/>
        </w:rPr>
        <w:t>:5678</w:t>
      </w:r>
      <w:proofErr w:type="gramEnd"/>
      <w:r>
        <w:rPr>
          <w:sz w:val="24"/>
          <w:szCs w:val="24"/>
        </w:rPr>
        <w:t>).</w:t>
      </w:r>
    </w:p>
    <w:p w:rsidR="002174D9" w:rsidRDefault="00EA18D8" w:rsidP="001E3351">
      <w:pPr>
        <w:pStyle w:val="ListParagraph"/>
        <w:numPr>
          <w:ilvl w:val="0"/>
          <w:numId w:val="2"/>
        </w:numPr>
        <w:spacing w:line="360" w:lineRule="auto"/>
        <w:rPr>
          <w:sz w:val="24"/>
          <w:szCs w:val="24"/>
        </w:rPr>
      </w:pPr>
      <w:r>
        <w:rPr>
          <w:sz w:val="24"/>
          <w:szCs w:val="24"/>
        </w:rPr>
        <w:t xml:space="preserve">First, input a CSV file containing your benthic </w:t>
      </w:r>
      <w:proofErr w:type="spellStart"/>
      <w:r>
        <w:rPr>
          <w:sz w:val="24"/>
          <w:szCs w:val="24"/>
        </w:rPr>
        <w:t>macroinvertibrate</w:t>
      </w:r>
      <w:proofErr w:type="spellEnd"/>
      <w:r>
        <w:rPr>
          <w:sz w:val="24"/>
          <w:szCs w:val="24"/>
        </w:rPr>
        <w:t xml:space="preserve"> (BMI) data. This CSV should contain five columns:</w:t>
      </w:r>
    </w:p>
    <w:p w:rsidR="00EA18D8" w:rsidRDefault="00EA18D8" w:rsidP="001E3351">
      <w:pPr>
        <w:pStyle w:val="ListParagraph"/>
        <w:numPr>
          <w:ilvl w:val="1"/>
          <w:numId w:val="2"/>
        </w:numPr>
        <w:spacing w:line="360" w:lineRule="auto"/>
        <w:rPr>
          <w:sz w:val="24"/>
          <w:szCs w:val="24"/>
        </w:rPr>
      </w:pPr>
      <w:proofErr w:type="spellStart"/>
      <w:r>
        <w:rPr>
          <w:sz w:val="24"/>
          <w:szCs w:val="24"/>
        </w:rPr>
        <w:t>SampleID</w:t>
      </w:r>
      <w:proofErr w:type="spellEnd"/>
      <w:r>
        <w:rPr>
          <w:sz w:val="24"/>
          <w:szCs w:val="24"/>
        </w:rPr>
        <w:t>: Names given to identify the sampling events</w:t>
      </w:r>
    </w:p>
    <w:p w:rsidR="00EA18D8" w:rsidRDefault="00EA18D8" w:rsidP="001E3351">
      <w:pPr>
        <w:pStyle w:val="ListParagraph"/>
        <w:numPr>
          <w:ilvl w:val="1"/>
          <w:numId w:val="2"/>
        </w:numPr>
        <w:spacing w:line="360" w:lineRule="auto"/>
        <w:rPr>
          <w:sz w:val="24"/>
          <w:szCs w:val="24"/>
        </w:rPr>
      </w:pPr>
      <w:proofErr w:type="spellStart"/>
      <w:r>
        <w:rPr>
          <w:sz w:val="24"/>
          <w:szCs w:val="24"/>
        </w:rPr>
        <w:t>StationCode</w:t>
      </w:r>
      <w:proofErr w:type="spellEnd"/>
      <w:r>
        <w:rPr>
          <w:sz w:val="24"/>
          <w:szCs w:val="24"/>
        </w:rPr>
        <w:t>: The stations where the sampling events occurred</w:t>
      </w:r>
    </w:p>
    <w:p w:rsidR="00EA18D8" w:rsidRDefault="00EA18D8" w:rsidP="001E3351">
      <w:pPr>
        <w:pStyle w:val="ListParagraph"/>
        <w:numPr>
          <w:ilvl w:val="1"/>
          <w:numId w:val="2"/>
        </w:numPr>
        <w:spacing w:line="360" w:lineRule="auto"/>
        <w:rPr>
          <w:sz w:val="24"/>
          <w:szCs w:val="24"/>
        </w:rPr>
      </w:pPr>
      <w:proofErr w:type="spellStart"/>
      <w:r>
        <w:rPr>
          <w:sz w:val="24"/>
          <w:szCs w:val="24"/>
        </w:rPr>
        <w:t>FinalID</w:t>
      </w:r>
      <w:proofErr w:type="spellEnd"/>
      <w:r>
        <w:rPr>
          <w:sz w:val="24"/>
          <w:szCs w:val="24"/>
        </w:rPr>
        <w:t xml:space="preserve">: Taxon names. These must be exact matches with SAFIT </w:t>
      </w:r>
      <w:proofErr w:type="spellStart"/>
      <w:r>
        <w:rPr>
          <w:sz w:val="24"/>
          <w:szCs w:val="24"/>
        </w:rPr>
        <w:t>FinalIDs</w:t>
      </w:r>
      <w:proofErr w:type="spellEnd"/>
      <w:r>
        <w:rPr>
          <w:sz w:val="24"/>
          <w:szCs w:val="24"/>
        </w:rPr>
        <w:t>.</w:t>
      </w:r>
    </w:p>
    <w:p w:rsidR="00EA18D8" w:rsidRDefault="00EA18D8" w:rsidP="001E3351">
      <w:pPr>
        <w:pStyle w:val="ListParagraph"/>
        <w:numPr>
          <w:ilvl w:val="1"/>
          <w:numId w:val="2"/>
        </w:numPr>
        <w:spacing w:line="360" w:lineRule="auto"/>
        <w:rPr>
          <w:sz w:val="24"/>
          <w:szCs w:val="24"/>
        </w:rPr>
      </w:pPr>
      <w:proofErr w:type="spellStart"/>
      <w:r>
        <w:rPr>
          <w:sz w:val="24"/>
          <w:szCs w:val="24"/>
        </w:rPr>
        <w:t>BAResult</w:t>
      </w:r>
      <w:proofErr w:type="spellEnd"/>
      <w:r>
        <w:rPr>
          <w:sz w:val="24"/>
          <w:szCs w:val="24"/>
        </w:rPr>
        <w:t>: Counts of the taxon in that sample</w:t>
      </w:r>
    </w:p>
    <w:p w:rsidR="00EA18D8" w:rsidRDefault="00EA18D8" w:rsidP="001E3351">
      <w:pPr>
        <w:pStyle w:val="ListParagraph"/>
        <w:numPr>
          <w:ilvl w:val="1"/>
          <w:numId w:val="2"/>
        </w:numPr>
        <w:spacing w:line="360" w:lineRule="auto"/>
        <w:rPr>
          <w:sz w:val="24"/>
          <w:szCs w:val="24"/>
        </w:rPr>
      </w:pPr>
      <w:proofErr w:type="spellStart"/>
      <w:r>
        <w:rPr>
          <w:sz w:val="24"/>
          <w:szCs w:val="24"/>
        </w:rPr>
        <w:t>LifeStageCode</w:t>
      </w:r>
      <w:proofErr w:type="spellEnd"/>
      <w:r>
        <w:rPr>
          <w:sz w:val="24"/>
          <w:szCs w:val="24"/>
        </w:rPr>
        <w:t xml:space="preserve">: The life stage of the taxon. May be “L” (larvae), “P” (pupae), or “A” (adult) for insect taxa. All non-insects may only have a </w:t>
      </w:r>
      <w:proofErr w:type="spellStart"/>
      <w:r>
        <w:rPr>
          <w:sz w:val="24"/>
          <w:szCs w:val="24"/>
        </w:rPr>
        <w:t>LifeStageCode</w:t>
      </w:r>
      <w:proofErr w:type="spellEnd"/>
      <w:r>
        <w:rPr>
          <w:sz w:val="24"/>
          <w:szCs w:val="24"/>
        </w:rPr>
        <w:t xml:space="preserve"> of “X”.</w:t>
      </w:r>
    </w:p>
    <w:p w:rsidR="00EA18D8" w:rsidRDefault="00EA18D8" w:rsidP="001E3351">
      <w:pPr>
        <w:pStyle w:val="ListParagraph"/>
        <w:numPr>
          <w:ilvl w:val="0"/>
          <w:numId w:val="2"/>
        </w:numPr>
        <w:spacing w:line="360" w:lineRule="auto"/>
        <w:rPr>
          <w:sz w:val="24"/>
          <w:szCs w:val="24"/>
        </w:rPr>
      </w:pPr>
      <w:r>
        <w:rPr>
          <w:sz w:val="24"/>
          <w:szCs w:val="24"/>
        </w:rPr>
        <w:t xml:space="preserve">Next, input a CSV file containing your station data. This file should contain three columns: </w:t>
      </w:r>
    </w:p>
    <w:p w:rsidR="00EA18D8" w:rsidRDefault="00EA18D8" w:rsidP="001E3351">
      <w:pPr>
        <w:pStyle w:val="ListParagraph"/>
        <w:numPr>
          <w:ilvl w:val="1"/>
          <w:numId w:val="2"/>
        </w:numPr>
        <w:spacing w:line="360" w:lineRule="auto"/>
        <w:rPr>
          <w:sz w:val="24"/>
          <w:szCs w:val="24"/>
        </w:rPr>
      </w:pPr>
      <w:proofErr w:type="spellStart"/>
      <w:r>
        <w:rPr>
          <w:sz w:val="24"/>
          <w:szCs w:val="24"/>
        </w:rPr>
        <w:t>StationCode</w:t>
      </w:r>
      <w:proofErr w:type="spellEnd"/>
      <w:r>
        <w:rPr>
          <w:sz w:val="24"/>
          <w:szCs w:val="24"/>
        </w:rPr>
        <w:t>: Station names that match with station names in the BMI data</w:t>
      </w:r>
    </w:p>
    <w:p w:rsidR="00EA18D8" w:rsidRDefault="00EA18D8" w:rsidP="001E3351">
      <w:pPr>
        <w:pStyle w:val="ListParagraph"/>
        <w:numPr>
          <w:ilvl w:val="1"/>
          <w:numId w:val="2"/>
        </w:numPr>
        <w:spacing w:line="360" w:lineRule="auto"/>
        <w:rPr>
          <w:sz w:val="24"/>
          <w:szCs w:val="24"/>
        </w:rPr>
      </w:pPr>
      <w:proofErr w:type="spellStart"/>
      <w:r>
        <w:rPr>
          <w:sz w:val="24"/>
          <w:szCs w:val="24"/>
        </w:rPr>
        <w:t>Lat</w:t>
      </w:r>
      <w:proofErr w:type="spellEnd"/>
      <w:r>
        <w:rPr>
          <w:sz w:val="24"/>
          <w:szCs w:val="24"/>
        </w:rPr>
        <w:t>: The latitude in decimal notation</w:t>
      </w:r>
    </w:p>
    <w:p w:rsidR="00EA18D8" w:rsidRDefault="00EA18D8" w:rsidP="001E3351">
      <w:pPr>
        <w:pStyle w:val="ListParagraph"/>
        <w:numPr>
          <w:ilvl w:val="1"/>
          <w:numId w:val="2"/>
        </w:numPr>
        <w:spacing w:line="360" w:lineRule="auto"/>
        <w:rPr>
          <w:sz w:val="24"/>
          <w:szCs w:val="24"/>
        </w:rPr>
      </w:pPr>
      <w:r>
        <w:rPr>
          <w:sz w:val="24"/>
          <w:szCs w:val="24"/>
        </w:rPr>
        <w:t>Long: The longitude in decimal notation. Use negative values to indicate degrees west.</w:t>
      </w:r>
    </w:p>
    <w:p w:rsidR="006E2653" w:rsidRDefault="006E2653" w:rsidP="001E3351">
      <w:pPr>
        <w:pStyle w:val="ListParagraph"/>
        <w:numPr>
          <w:ilvl w:val="0"/>
          <w:numId w:val="2"/>
        </w:numPr>
        <w:spacing w:line="360" w:lineRule="auto"/>
        <w:rPr>
          <w:sz w:val="24"/>
          <w:szCs w:val="24"/>
        </w:rPr>
      </w:pPr>
      <w:r>
        <w:rPr>
          <w:sz w:val="24"/>
          <w:szCs w:val="24"/>
        </w:rPr>
        <w:t>Select the level at which you want to subsample your BMI data</w:t>
      </w:r>
    </w:p>
    <w:p w:rsidR="006E2653" w:rsidRDefault="006E2653" w:rsidP="001E3351">
      <w:pPr>
        <w:pStyle w:val="ListParagraph"/>
        <w:numPr>
          <w:ilvl w:val="0"/>
          <w:numId w:val="2"/>
        </w:numPr>
        <w:spacing w:line="360" w:lineRule="auto"/>
        <w:rPr>
          <w:sz w:val="24"/>
          <w:szCs w:val="24"/>
        </w:rPr>
      </w:pPr>
      <w:r>
        <w:rPr>
          <w:sz w:val="24"/>
          <w:szCs w:val="24"/>
        </w:rPr>
        <w:t>Click the submit button</w:t>
      </w:r>
    </w:p>
    <w:p w:rsidR="006E2653" w:rsidRPr="001E3351" w:rsidRDefault="006E2653" w:rsidP="001E3351">
      <w:pPr>
        <w:pStyle w:val="ListParagraph"/>
        <w:numPr>
          <w:ilvl w:val="0"/>
          <w:numId w:val="2"/>
        </w:numPr>
        <w:spacing w:line="360" w:lineRule="auto"/>
        <w:rPr>
          <w:sz w:val="24"/>
          <w:szCs w:val="24"/>
        </w:rPr>
      </w:pPr>
      <w:r>
        <w:rPr>
          <w:sz w:val="24"/>
          <w:szCs w:val="24"/>
        </w:rPr>
        <w:lastRenderedPageBreak/>
        <w:t>Your core results should disp</w:t>
      </w:r>
      <w:r w:rsidR="009041D1">
        <w:rPr>
          <w:sz w:val="24"/>
          <w:szCs w:val="24"/>
        </w:rPr>
        <w:t>layed on the screen. You can access other aspects of the results, such has the metric scores in the MMI component, by selecting the various reports from the drop-down menu. Pressing “Get Report” will cause the report to saved/opened as a CSV file.</w:t>
      </w:r>
    </w:p>
    <w:p w:rsidR="00EA18D8" w:rsidRDefault="006E2653" w:rsidP="001E3351">
      <w:pPr>
        <w:spacing w:line="360" w:lineRule="auto"/>
        <w:rPr>
          <w:sz w:val="24"/>
          <w:szCs w:val="24"/>
        </w:rPr>
      </w:pPr>
      <w:r>
        <w:rPr>
          <w:sz w:val="24"/>
          <w:szCs w:val="24"/>
        </w:rPr>
        <w:t>Troubleshooting</w:t>
      </w:r>
    </w:p>
    <w:p w:rsidR="006E2653" w:rsidRDefault="006E2653" w:rsidP="001E3351">
      <w:pPr>
        <w:spacing w:line="360" w:lineRule="auto"/>
        <w:rPr>
          <w:sz w:val="24"/>
          <w:szCs w:val="24"/>
        </w:rPr>
      </w:pPr>
      <w:r>
        <w:rPr>
          <w:sz w:val="24"/>
          <w:szCs w:val="24"/>
        </w:rPr>
        <w:tab/>
        <w:t xml:space="preserve">If the FLI UI run into a problem, it will simply </w:t>
      </w:r>
      <w:r w:rsidR="001E4101">
        <w:rPr>
          <w:sz w:val="24"/>
          <w:szCs w:val="24"/>
        </w:rPr>
        <w:t>return</w:t>
      </w:r>
      <w:r>
        <w:rPr>
          <w:sz w:val="24"/>
          <w:szCs w:val="24"/>
        </w:rPr>
        <w:t xml:space="preserve"> “</w:t>
      </w:r>
      <w:proofErr w:type="spellStart"/>
      <w:r>
        <w:rPr>
          <w:sz w:val="24"/>
          <w:szCs w:val="24"/>
        </w:rPr>
        <w:t>ThereWasAnError</w:t>
      </w:r>
      <w:proofErr w:type="spellEnd"/>
      <w:r>
        <w:rPr>
          <w:sz w:val="24"/>
          <w:szCs w:val="24"/>
        </w:rPr>
        <w:t>”. While not especially informative, it is likely the case that such errors are caused by formatting issues with the input data. Try checking the following to resolve the problem:</w:t>
      </w:r>
    </w:p>
    <w:p w:rsidR="006E2653" w:rsidRDefault="001C6971" w:rsidP="001E3351">
      <w:pPr>
        <w:pStyle w:val="ListParagraph"/>
        <w:numPr>
          <w:ilvl w:val="0"/>
          <w:numId w:val="3"/>
        </w:numPr>
        <w:spacing w:line="360" w:lineRule="auto"/>
        <w:rPr>
          <w:sz w:val="24"/>
          <w:szCs w:val="24"/>
        </w:rPr>
      </w:pPr>
      <w:r>
        <w:rPr>
          <w:sz w:val="24"/>
          <w:szCs w:val="24"/>
        </w:rPr>
        <w:t>The BMI and stations data inputs have all of the required columns. The column names must exactly match the above specifications, including having the same case. Erroneous extra whitespace at the end of the name (which can be difficult to notice in MS Excel) will count as a different name.</w:t>
      </w:r>
    </w:p>
    <w:p w:rsidR="001C6971" w:rsidRDefault="001C6971" w:rsidP="001E3351">
      <w:pPr>
        <w:pStyle w:val="ListParagraph"/>
        <w:numPr>
          <w:ilvl w:val="0"/>
          <w:numId w:val="3"/>
        </w:numPr>
        <w:spacing w:line="360" w:lineRule="auto"/>
        <w:rPr>
          <w:sz w:val="24"/>
          <w:szCs w:val="24"/>
        </w:rPr>
      </w:pPr>
      <w:r>
        <w:rPr>
          <w:sz w:val="24"/>
          <w:szCs w:val="24"/>
        </w:rPr>
        <w:t>All of the coordinates are within the State of California. This tool contains GIS data only for data points within California. No predictor data will be generated for those that lie even slightly outside of California.</w:t>
      </w:r>
    </w:p>
    <w:p w:rsidR="001C6971" w:rsidRDefault="001C6971" w:rsidP="001E3351">
      <w:pPr>
        <w:pStyle w:val="ListParagraph"/>
        <w:numPr>
          <w:ilvl w:val="0"/>
          <w:numId w:val="3"/>
        </w:numPr>
        <w:spacing w:line="360" w:lineRule="auto"/>
        <w:rPr>
          <w:sz w:val="24"/>
          <w:szCs w:val="24"/>
        </w:rPr>
      </w:pPr>
      <w:r>
        <w:rPr>
          <w:sz w:val="24"/>
          <w:szCs w:val="24"/>
        </w:rPr>
        <w:t xml:space="preserve">Your stations data has coordinates for all of the stations in your BMI data. Again, these names must match exactly (both case and whitespace sensitive). Also, make sure that each station is only listed once in the stations data. </w:t>
      </w:r>
    </w:p>
    <w:p w:rsidR="001C6971" w:rsidRPr="006E2653" w:rsidRDefault="001C6971" w:rsidP="001E3351">
      <w:pPr>
        <w:pStyle w:val="ListParagraph"/>
        <w:numPr>
          <w:ilvl w:val="0"/>
          <w:numId w:val="3"/>
        </w:numPr>
        <w:spacing w:line="360" w:lineRule="auto"/>
        <w:rPr>
          <w:sz w:val="24"/>
          <w:szCs w:val="24"/>
        </w:rPr>
      </w:pPr>
      <w:r>
        <w:rPr>
          <w:sz w:val="24"/>
          <w:szCs w:val="24"/>
        </w:rPr>
        <w:t xml:space="preserve">All </w:t>
      </w:r>
      <w:proofErr w:type="spellStart"/>
      <w:r>
        <w:rPr>
          <w:sz w:val="24"/>
          <w:szCs w:val="24"/>
        </w:rPr>
        <w:t>FinalIDs</w:t>
      </w:r>
      <w:proofErr w:type="spellEnd"/>
      <w:r>
        <w:rPr>
          <w:sz w:val="24"/>
          <w:szCs w:val="24"/>
        </w:rPr>
        <w:t xml:space="preserve"> are recognized SAFIT names. </w:t>
      </w:r>
      <w:proofErr w:type="spellStart"/>
      <w:r>
        <w:rPr>
          <w:sz w:val="24"/>
          <w:szCs w:val="24"/>
        </w:rPr>
        <w:t>FinalIDs</w:t>
      </w:r>
      <w:proofErr w:type="spellEnd"/>
      <w:r>
        <w:rPr>
          <w:sz w:val="24"/>
          <w:szCs w:val="24"/>
        </w:rPr>
        <w:t xml:space="preserve"> do not necessarily need to already be at the family level (the tool will automatically aggregate taxa</w:t>
      </w:r>
      <w:r w:rsidR="00EF4B83">
        <w:rPr>
          <w:sz w:val="24"/>
          <w:szCs w:val="24"/>
        </w:rPr>
        <w:t xml:space="preserve"> at greater resolution to family level). However, whatever names are used, they must match both in spelling and in case to the tool’s internal database of recognized taxa.</w:t>
      </w:r>
    </w:p>
    <w:p w:rsidR="002174D9" w:rsidRDefault="002174D9" w:rsidP="001E3351">
      <w:pPr>
        <w:spacing w:line="360" w:lineRule="auto"/>
        <w:jc w:val="center"/>
        <w:rPr>
          <w:sz w:val="32"/>
          <w:szCs w:val="32"/>
        </w:rPr>
      </w:pPr>
    </w:p>
    <w:p w:rsidR="00EF4B83" w:rsidRDefault="00EF4B83" w:rsidP="001E3351">
      <w:pPr>
        <w:spacing w:line="360" w:lineRule="auto"/>
        <w:rPr>
          <w:sz w:val="32"/>
          <w:szCs w:val="32"/>
        </w:rPr>
      </w:pPr>
    </w:p>
    <w:p w:rsidR="001E3351" w:rsidRDefault="001E3351" w:rsidP="001E3351">
      <w:pPr>
        <w:spacing w:line="360" w:lineRule="auto"/>
        <w:rPr>
          <w:sz w:val="32"/>
          <w:szCs w:val="32"/>
        </w:rPr>
      </w:pPr>
    </w:p>
    <w:p w:rsidR="00312C8A" w:rsidRDefault="00312C8A" w:rsidP="001E3351">
      <w:pPr>
        <w:spacing w:line="360" w:lineRule="auto"/>
        <w:rPr>
          <w:sz w:val="32"/>
          <w:szCs w:val="32"/>
        </w:rPr>
      </w:pPr>
    </w:p>
    <w:p w:rsidR="00EF4B83" w:rsidRPr="00EF4B83" w:rsidRDefault="00EF4B83" w:rsidP="001E3351">
      <w:pPr>
        <w:spacing w:line="360" w:lineRule="auto"/>
        <w:rPr>
          <w:sz w:val="24"/>
          <w:szCs w:val="24"/>
        </w:rPr>
      </w:pPr>
      <w:r w:rsidRPr="00EF4B83">
        <w:rPr>
          <w:sz w:val="24"/>
          <w:szCs w:val="24"/>
        </w:rPr>
        <w:t>Explanation and Interpretation of the FLI</w:t>
      </w:r>
    </w:p>
    <w:p w:rsidR="00EF4B83" w:rsidRDefault="001E3351" w:rsidP="001E3351">
      <w:pPr>
        <w:spacing w:line="360" w:lineRule="auto"/>
        <w:rPr>
          <w:sz w:val="24"/>
          <w:szCs w:val="24"/>
        </w:rPr>
      </w:pPr>
      <w:r>
        <w:rPr>
          <w:sz w:val="24"/>
          <w:szCs w:val="24"/>
        </w:rPr>
        <w:t xml:space="preserve">The FLI is a hybrid of two different models: a multi-metric index (MMI), and an observed to expected richness model (OE). Though both models use the same data sets to predict site condition, they assess different aspect of the benthic community, which the FLI </w:t>
      </w:r>
      <w:proofErr w:type="spellStart"/>
      <w:r>
        <w:rPr>
          <w:sz w:val="24"/>
          <w:szCs w:val="24"/>
        </w:rPr>
        <w:t>combinds</w:t>
      </w:r>
      <w:proofErr w:type="spellEnd"/>
      <w:r>
        <w:rPr>
          <w:sz w:val="24"/>
          <w:szCs w:val="24"/>
        </w:rPr>
        <w:t xml:space="preserve"> together by taking the mean score of the MMI and OE components.</w:t>
      </w:r>
    </w:p>
    <w:p w:rsidR="001E3351" w:rsidRDefault="001E3351" w:rsidP="001E3351">
      <w:pPr>
        <w:spacing w:line="360" w:lineRule="auto"/>
        <w:rPr>
          <w:sz w:val="24"/>
          <w:szCs w:val="24"/>
        </w:rPr>
      </w:pPr>
      <w:r>
        <w:rPr>
          <w:sz w:val="24"/>
          <w:szCs w:val="24"/>
        </w:rPr>
        <w:t>Before either the MMI or OE model predictions are generated, several data pre-processing steps must be done. First, using the station coordinates provided by the user, several environmental parameters are looked up against a reference GIS data for the State of California. These include the long-term</w:t>
      </w:r>
      <w:r w:rsidR="006E0546">
        <w:rPr>
          <w:sz w:val="24"/>
          <w:szCs w:val="24"/>
        </w:rPr>
        <w:t xml:space="preserve"> (1971-2000)</w:t>
      </w:r>
      <w:r>
        <w:rPr>
          <w:sz w:val="24"/>
          <w:szCs w:val="24"/>
        </w:rPr>
        <w:t xml:space="preserve"> average annual precipitation, </w:t>
      </w:r>
      <w:r>
        <w:rPr>
          <w:sz w:val="24"/>
          <w:szCs w:val="24"/>
        </w:rPr>
        <w:t xml:space="preserve">long-term average annual </w:t>
      </w:r>
      <w:r>
        <w:rPr>
          <w:sz w:val="24"/>
          <w:szCs w:val="24"/>
        </w:rPr>
        <w:t xml:space="preserve">water temperature, and </w:t>
      </w:r>
      <w:r w:rsidR="006E0546">
        <w:rPr>
          <w:sz w:val="24"/>
          <w:szCs w:val="24"/>
        </w:rPr>
        <w:t xml:space="preserve">the site elevation. </w:t>
      </w:r>
    </w:p>
    <w:p w:rsidR="009E7BAF" w:rsidRDefault="003E2701" w:rsidP="001E3351">
      <w:pPr>
        <w:spacing w:line="360" w:lineRule="auto"/>
        <w:rPr>
          <w:sz w:val="24"/>
          <w:szCs w:val="24"/>
        </w:rPr>
      </w:pPr>
      <w:r>
        <w:rPr>
          <w:sz w:val="24"/>
          <w:szCs w:val="24"/>
        </w:rPr>
        <w:t xml:space="preserve">Next, the benthic </w:t>
      </w:r>
      <w:proofErr w:type="spellStart"/>
      <w:r>
        <w:rPr>
          <w:sz w:val="24"/>
          <w:szCs w:val="24"/>
        </w:rPr>
        <w:t>macroinvertebrate</w:t>
      </w:r>
      <w:proofErr w:type="spellEnd"/>
      <w:r>
        <w:rPr>
          <w:sz w:val="24"/>
          <w:szCs w:val="24"/>
        </w:rPr>
        <w:t xml:space="preserve"> </w:t>
      </w:r>
      <w:r>
        <w:rPr>
          <w:sz w:val="24"/>
          <w:szCs w:val="24"/>
        </w:rPr>
        <w:t>(BMI)</w:t>
      </w:r>
      <w:r>
        <w:rPr>
          <w:sz w:val="24"/>
          <w:szCs w:val="24"/>
        </w:rPr>
        <w:t xml:space="preserve"> data are subsampled based on user’s input. Available options are subsampling to 100, 200, 300, or 500 individuals. </w:t>
      </w:r>
      <w:r w:rsidR="009E7BAF">
        <w:rPr>
          <w:sz w:val="24"/>
          <w:szCs w:val="24"/>
        </w:rPr>
        <w:t>This subsampling will only affect those sample which have more individuals than the selected level of subsampling, e.g. a sample with only 95 individuals will always be left as-is.</w:t>
      </w:r>
    </w:p>
    <w:p w:rsidR="009E7BAF" w:rsidRDefault="009E7BAF" w:rsidP="001E3351">
      <w:pPr>
        <w:spacing w:line="360" w:lineRule="auto"/>
        <w:rPr>
          <w:sz w:val="24"/>
          <w:szCs w:val="24"/>
        </w:rPr>
      </w:pPr>
      <w:r>
        <w:rPr>
          <w:sz w:val="24"/>
          <w:szCs w:val="24"/>
        </w:rPr>
        <w:t xml:space="preserve">To finish the pre-processing, the BMI data are aggregated to the correct taxonomic resolution. For insects, this is the family level, though many non-insects are aggregated to the ordinal level (e.g., </w:t>
      </w:r>
      <w:proofErr w:type="spellStart"/>
      <w:r>
        <w:rPr>
          <w:sz w:val="24"/>
          <w:szCs w:val="24"/>
        </w:rPr>
        <w:t>Oligochaeta</w:t>
      </w:r>
      <w:proofErr w:type="spellEnd"/>
      <w:r>
        <w:rPr>
          <w:sz w:val="24"/>
          <w:szCs w:val="24"/>
        </w:rPr>
        <w:t xml:space="preserve">). </w:t>
      </w:r>
      <w:r w:rsidR="00E01DD4">
        <w:rPr>
          <w:sz w:val="24"/>
          <w:szCs w:val="24"/>
        </w:rPr>
        <w:t xml:space="preserve">When multiple </w:t>
      </w:r>
      <w:proofErr w:type="spellStart"/>
      <w:r w:rsidR="00E01DD4">
        <w:rPr>
          <w:sz w:val="24"/>
          <w:szCs w:val="24"/>
        </w:rPr>
        <w:t>FinalIDs</w:t>
      </w:r>
      <w:proofErr w:type="spellEnd"/>
      <w:r w:rsidR="00E01DD4">
        <w:rPr>
          <w:sz w:val="24"/>
          <w:szCs w:val="24"/>
        </w:rPr>
        <w:t xml:space="preserve"> belong to the same family, the counts associated with that family a</w:t>
      </w:r>
      <w:r w:rsidR="006A6A8A">
        <w:rPr>
          <w:sz w:val="24"/>
          <w:szCs w:val="24"/>
        </w:rPr>
        <w:t xml:space="preserve">re summed. Additionally, for the data to be used in the OE component, some taxa are thrown out for one of several reasons: they are excluded because, though they may be collected in freshwater streams, they are not truly benthic (e.g., </w:t>
      </w:r>
      <w:proofErr w:type="spellStart"/>
      <w:r w:rsidR="006A6A8A">
        <w:rPr>
          <w:sz w:val="24"/>
          <w:szCs w:val="24"/>
        </w:rPr>
        <w:t>Culicidae</w:t>
      </w:r>
      <w:proofErr w:type="spellEnd"/>
      <w:r w:rsidR="006A6A8A">
        <w:rPr>
          <w:sz w:val="24"/>
          <w:szCs w:val="24"/>
        </w:rPr>
        <w:t xml:space="preserve">); the </w:t>
      </w:r>
      <w:proofErr w:type="spellStart"/>
      <w:r w:rsidR="006A6A8A">
        <w:rPr>
          <w:sz w:val="24"/>
          <w:szCs w:val="24"/>
        </w:rPr>
        <w:t>FinalID’s</w:t>
      </w:r>
      <w:proofErr w:type="spellEnd"/>
      <w:r w:rsidR="006A6A8A">
        <w:rPr>
          <w:sz w:val="24"/>
          <w:szCs w:val="24"/>
        </w:rPr>
        <w:t xml:space="preserve"> resolution is less than the resolution of the target taxonomic level, and thus are ambiguous (e.g., </w:t>
      </w:r>
      <w:proofErr w:type="spellStart"/>
      <w:r w:rsidR="006A6A8A" w:rsidRPr="006A6A8A">
        <w:rPr>
          <w:sz w:val="24"/>
          <w:szCs w:val="24"/>
        </w:rPr>
        <w:t>Brachycera</w:t>
      </w:r>
      <w:proofErr w:type="spellEnd"/>
      <w:r w:rsidR="006A6A8A">
        <w:rPr>
          <w:sz w:val="24"/>
          <w:szCs w:val="24"/>
        </w:rPr>
        <w:t xml:space="preserve">); the taxon is both benthic and is not ambiguous, but never occurred in the reference sites used to calibrate the models (e.g., </w:t>
      </w:r>
      <w:proofErr w:type="spellStart"/>
      <w:r w:rsidR="006A6A8A" w:rsidRPr="006A6A8A">
        <w:rPr>
          <w:i/>
          <w:sz w:val="24"/>
          <w:szCs w:val="24"/>
        </w:rPr>
        <w:t>Branchinecta</w:t>
      </w:r>
      <w:proofErr w:type="spellEnd"/>
      <w:r w:rsidR="006A6A8A" w:rsidRPr="006A6A8A">
        <w:rPr>
          <w:i/>
          <w:sz w:val="24"/>
          <w:szCs w:val="24"/>
        </w:rPr>
        <w:t xml:space="preserve"> </w:t>
      </w:r>
      <w:proofErr w:type="spellStart"/>
      <w:r w:rsidR="006A6A8A" w:rsidRPr="006A6A8A">
        <w:rPr>
          <w:i/>
          <w:sz w:val="24"/>
          <w:szCs w:val="24"/>
        </w:rPr>
        <w:t>campestris</w:t>
      </w:r>
      <w:proofErr w:type="spellEnd"/>
      <w:r w:rsidR="006A6A8A">
        <w:rPr>
          <w:sz w:val="24"/>
          <w:szCs w:val="24"/>
        </w:rPr>
        <w:t>).</w:t>
      </w:r>
      <w:r w:rsidR="00312C8A">
        <w:rPr>
          <w:sz w:val="24"/>
          <w:szCs w:val="24"/>
        </w:rPr>
        <w:t xml:space="preserve"> </w:t>
      </w:r>
    </w:p>
    <w:p w:rsidR="00312C8A" w:rsidRDefault="00312C8A" w:rsidP="001E3351">
      <w:pPr>
        <w:spacing w:line="360" w:lineRule="auto"/>
        <w:rPr>
          <w:sz w:val="24"/>
          <w:szCs w:val="24"/>
        </w:rPr>
      </w:pPr>
      <w:r>
        <w:rPr>
          <w:sz w:val="24"/>
          <w:szCs w:val="24"/>
        </w:rPr>
        <w:t>The MMI begins by calculating a suite of metrics considering different aspects of the BMI data. A different suite of metrics is used based on which level of subsampling is used (see table 1).</w:t>
      </w:r>
    </w:p>
    <w:p w:rsidR="00BB26E4" w:rsidRDefault="00BB26E4" w:rsidP="001E3351">
      <w:pPr>
        <w:spacing w:line="360" w:lineRule="auto"/>
        <w:cnfStyle w:val="101000000100" w:firstRow="1" w:lastRow="0" w:firstColumn="1" w:lastColumn="0" w:oddVBand="0" w:evenVBand="0" w:oddHBand="0" w:evenHBand="0" w:firstRowFirstColumn="1" w:firstRowLastColumn="0" w:lastRowFirstColumn="0" w:lastRowLastColumn="0"/>
        <w:rPr>
          <w:rFonts w:asciiTheme="majorHAnsi" w:eastAsiaTheme="majorEastAsia" w:hAnsiTheme="majorHAnsi" w:cstheme="majorBidi"/>
          <w:i/>
          <w:iCs/>
          <w:sz w:val="24"/>
          <w:szCs w:val="24"/>
        </w:rPr>
        <w:sectPr w:rsidR="00BB26E4">
          <w:pgSz w:w="12240" w:h="15840"/>
          <w:pgMar w:top="1440" w:right="1440" w:bottom="1440" w:left="1440" w:header="720" w:footer="720" w:gutter="0"/>
          <w:cols w:space="720"/>
          <w:docGrid w:linePitch="360"/>
        </w:sectPr>
      </w:pPr>
    </w:p>
    <w:tbl>
      <w:tblPr>
        <w:tblStyle w:val="PlainTable5"/>
        <w:tblW w:w="0" w:type="auto"/>
        <w:tblLayout w:type="fixed"/>
        <w:tblLook w:val="04A0" w:firstRow="1" w:lastRow="0" w:firstColumn="1" w:lastColumn="0" w:noHBand="0" w:noVBand="1"/>
      </w:tblPr>
      <w:tblGrid>
        <w:gridCol w:w="1260"/>
        <w:gridCol w:w="2606"/>
        <w:gridCol w:w="3070"/>
        <w:gridCol w:w="3012"/>
        <w:gridCol w:w="3012"/>
      </w:tblGrid>
      <w:tr w:rsidR="00BB26E4" w:rsidRPr="00312C8A" w:rsidTr="00BB26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0" w:type="dxa"/>
          </w:tcPr>
          <w:p w:rsidR="00BB26E4" w:rsidRPr="00312C8A" w:rsidRDefault="00BB26E4" w:rsidP="001E3351">
            <w:pPr>
              <w:spacing w:line="360" w:lineRule="auto"/>
              <w:rPr>
                <w:sz w:val="24"/>
                <w:szCs w:val="24"/>
              </w:rPr>
            </w:pPr>
          </w:p>
        </w:tc>
        <w:tc>
          <w:tcPr>
            <w:tcW w:w="2606" w:type="dxa"/>
          </w:tcPr>
          <w:p w:rsidR="00BB26E4" w:rsidRPr="00312C8A" w:rsidRDefault="00BB26E4" w:rsidP="00312C8A">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p>
        </w:tc>
        <w:tc>
          <w:tcPr>
            <w:tcW w:w="3070" w:type="dxa"/>
          </w:tcPr>
          <w:p w:rsidR="00BB26E4" w:rsidRPr="00312C8A" w:rsidRDefault="00BB26E4" w:rsidP="00312C8A">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p>
        </w:tc>
        <w:tc>
          <w:tcPr>
            <w:tcW w:w="3012" w:type="dxa"/>
          </w:tcPr>
          <w:p w:rsidR="00BB26E4" w:rsidRPr="00312C8A" w:rsidRDefault="00BB26E4" w:rsidP="00312C8A">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p>
        </w:tc>
        <w:tc>
          <w:tcPr>
            <w:tcW w:w="3012" w:type="dxa"/>
          </w:tcPr>
          <w:p w:rsidR="00BB26E4" w:rsidRPr="00312C8A" w:rsidRDefault="00BB26E4" w:rsidP="00312C8A">
            <w:pPr>
              <w:spacing w:line="360" w:lineRule="auto"/>
              <w:cnfStyle w:val="100000000000" w:firstRow="1" w:lastRow="0" w:firstColumn="0" w:lastColumn="0" w:oddVBand="0" w:evenVBand="0" w:oddHBand="0" w:evenHBand="0" w:firstRowFirstColumn="0" w:firstRowLastColumn="0" w:lastRowFirstColumn="0" w:lastRowLastColumn="0"/>
              <w:rPr>
                <w:sz w:val="24"/>
                <w:szCs w:val="24"/>
              </w:rPr>
            </w:pPr>
          </w:p>
        </w:tc>
      </w:tr>
      <w:tr w:rsidR="00BB26E4" w:rsidRPr="00312C8A" w:rsidTr="00BB2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BB26E4" w:rsidRPr="00BB26E4" w:rsidRDefault="00BB26E4" w:rsidP="005F0AEC">
            <w:pPr>
              <w:spacing w:line="360" w:lineRule="auto"/>
              <w:rPr>
                <w:i w:val="0"/>
                <w:sz w:val="24"/>
                <w:szCs w:val="24"/>
              </w:rPr>
            </w:pPr>
            <w:r w:rsidRPr="00BB26E4">
              <w:rPr>
                <w:i w:val="0"/>
                <w:sz w:val="24"/>
                <w:szCs w:val="24"/>
              </w:rPr>
              <w:t>MMI Model</w:t>
            </w:r>
          </w:p>
        </w:tc>
        <w:tc>
          <w:tcPr>
            <w:tcW w:w="2606" w:type="dxa"/>
          </w:tcPr>
          <w:p w:rsidR="00BB26E4" w:rsidRPr="00711052" w:rsidRDefault="00BB26E4" w:rsidP="005F0AE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711052">
              <w:rPr>
                <w:sz w:val="24"/>
                <w:szCs w:val="24"/>
              </w:rPr>
              <w:t>FLI-100</w:t>
            </w:r>
          </w:p>
        </w:tc>
        <w:tc>
          <w:tcPr>
            <w:tcW w:w="3070" w:type="dxa"/>
          </w:tcPr>
          <w:p w:rsidR="00BB26E4" w:rsidRPr="00711052" w:rsidRDefault="00BB26E4" w:rsidP="005F0AE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711052">
              <w:rPr>
                <w:sz w:val="24"/>
                <w:szCs w:val="24"/>
              </w:rPr>
              <w:t>FLI-200</w:t>
            </w:r>
          </w:p>
        </w:tc>
        <w:tc>
          <w:tcPr>
            <w:tcW w:w="3012" w:type="dxa"/>
          </w:tcPr>
          <w:p w:rsidR="00BB26E4" w:rsidRPr="00711052" w:rsidRDefault="00BB26E4" w:rsidP="005F0AE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711052">
              <w:rPr>
                <w:sz w:val="24"/>
                <w:szCs w:val="24"/>
              </w:rPr>
              <w:t>FLI-300</w:t>
            </w:r>
          </w:p>
        </w:tc>
        <w:tc>
          <w:tcPr>
            <w:tcW w:w="3012" w:type="dxa"/>
          </w:tcPr>
          <w:p w:rsidR="00BB26E4" w:rsidRPr="00711052" w:rsidRDefault="00BB26E4" w:rsidP="005F0AEC">
            <w:pPr>
              <w:spacing w:line="360" w:lineRule="auto"/>
              <w:cnfStyle w:val="000000100000" w:firstRow="0" w:lastRow="0" w:firstColumn="0" w:lastColumn="0" w:oddVBand="0" w:evenVBand="0" w:oddHBand="1" w:evenHBand="0" w:firstRowFirstColumn="0" w:firstRowLastColumn="0" w:lastRowFirstColumn="0" w:lastRowLastColumn="0"/>
              <w:rPr>
                <w:sz w:val="24"/>
                <w:szCs w:val="24"/>
              </w:rPr>
            </w:pPr>
            <w:r w:rsidRPr="00711052">
              <w:rPr>
                <w:sz w:val="24"/>
                <w:szCs w:val="24"/>
              </w:rPr>
              <w:t>FLI-500</w:t>
            </w:r>
          </w:p>
        </w:tc>
      </w:tr>
      <w:tr w:rsidR="00BB26E4" w:rsidRPr="00312C8A" w:rsidTr="00BB26E4">
        <w:tc>
          <w:tcPr>
            <w:cnfStyle w:val="001000000000" w:firstRow="0" w:lastRow="0" w:firstColumn="1" w:lastColumn="0" w:oddVBand="0" w:evenVBand="0" w:oddHBand="0" w:evenHBand="0" w:firstRowFirstColumn="0" w:firstRowLastColumn="0" w:lastRowFirstColumn="0" w:lastRowLastColumn="0"/>
            <w:tcW w:w="1260" w:type="dxa"/>
          </w:tcPr>
          <w:p w:rsidR="00BB26E4" w:rsidRPr="00BB26E4" w:rsidRDefault="00BB26E4" w:rsidP="005F0AEC">
            <w:pPr>
              <w:spacing w:line="360" w:lineRule="auto"/>
              <w:rPr>
                <w:i w:val="0"/>
                <w:sz w:val="24"/>
                <w:szCs w:val="24"/>
              </w:rPr>
            </w:pPr>
            <w:r w:rsidRPr="00BB26E4">
              <w:rPr>
                <w:i w:val="0"/>
                <w:sz w:val="24"/>
                <w:szCs w:val="24"/>
              </w:rPr>
              <w:t>Metrics</w:t>
            </w:r>
          </w:p>
        </w:tc>
        <w:tc>
          <w:tcPr>
            <w:tcW w:w="2606" w:type="dxa"/>
          </w:tcPr>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color w:val="FF0000"/>
                <w:sz w:val="24"/>
                <w:szCs w:val="24"/>
              </w:rPr>
            </w:pPr>
            <w:proofErr w:type="spellStart"/>
            <w:r w:rsidRPr="00BB26E4">
              <w:rPr>
                <w:color w:val="FF0000"/>
                <w:sz w:val="24"/>
                <w:szCs w:val="24"/>
              </w:rPr>
              <w:t>Diptera</w:t>
            </w:r>
            <w:proofErr w:type="spellEnd"/>
            <w:r w:rsidRPr="00BB26E4">
              <w:rPr>
                <w:color w:val="FF0000"/>
                <w:sz w:val="24"/>
                <w:szCs w:val="24"/>
              </w:rPr>
              <w:t xml:space="preserve"> </w:t>
            </w:r>
            <w:r w:rsidRPr="00BB26E4">
              <w:rPr>
                <w:color w:val="FF0000"/>
                <w:sz w:val="24"/>
                <w:szCs w:val="24"/>
              </w:rPr>
              <w:t>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sidRPr="00BB26E4">
              <w:rPr>
                <w:color w:val="FF0000"/>
                <w:sz w:val="24"/>
                <w:szCs w:val="24"/>
              </w:rPr>
              <w:t>Predator</w:t>
            </w:r>
            <w:r w:rsidRPr="00BB26E4">
              <w:rPr>
                <w:color w:val="FF0000"/>
                <w:sz w:val="24"/>
                <w:szCs w:val="24"/>
              </w:rPr>
              <w:t xml:space="preserve"> Percent 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Intolerant</w:t>
            </w:r>
            <w:r w:rsidRPr="00BB26E4">
              <w:rPr>
                <w:sz w:val="24"/>
                <w:szCs w:val="24"/>
              </w:rPr>
              <w:t xml:space="preserve"> </w:t>
            </w:r>
            <w:r>
              <w:rPr>
                <w:sz w:val="24"/>
                <w:szCs w:val="24"/>
              </w:rPr>
              <w:t>Percent 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color w:val="FF0000"/>
                <w:sz w:val="24"/>
                <w:szCs w:val="24"/>
              </w:rPr>
            </w:pPr>
            <w:r w:rsidRPr="00BB26E4">
              <w:rPr>
                <w:color w:val="FF0000"/>
                <w:sz w:val="24"/>
                <w:szCs w:val="24"/>
              </w:rPr>
              <w:t>Burrower</w:t>
            </w:r>
            <w:r w:rsidRPr="00BB26E4">
              <w:rPr>
                <w:color w:val="FF0000"/>
                <w:sz w:val="24"/>
                <w:szCs w:val="24"/>
              </w:rPr>
              <w:t xml:space="preserve"> </w:t>
            </w:r>
            <w:r w:rsidRPr="00BB26E4">
              <w:rPr>
                <w:color w:val="FF0000"/>
                <w:sz w:val="24"/>
                <w:szCs w:val="24"/>
              </w:rPr>
              <w:t>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EPT</w:t>
            </w:r>
            <w:r w:rsidRPr="00BB26E4">
              <w:rPr>
                <w:sz w:val="24"/>
                <w:szCs w:val="24"/>
              </w:rPr>
              <w:t xml:space="preserve"> </w:t>
            </w:r>
            <w:r>
              <w:rPr>
                <w:sz w:val="24"/>
                <w:szCs w:val="24"/>
              </w:rPr>
              <w:t>Percent 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Non</w:t>
            </w:r>
            <w:r>
              <w:rPr>
                <w:sz w:val="24"/>
                <w:szCs w:val="24"/>
              </w:rPr>
              <w:t>-</w:t>
            </w:r>
            <w:r w:rsidRPr="00BB26E4">
              <w:rPr>
                <w:sz w:val="24"/>
                <w:szCs w:val="24"/>
              </w:rPr>
              <w:t>insect</w:t>
            </w:r>
            <w:r w:rsidRPr="00BB26E4">
              <w:rPr>
                <w:sz w:val="24"/>
                <w:szCs w:val="24"/>
              </w:rPr>
              <w:t xml:space="preserve"> </w:t>
            </w:r>
            <w:r>
              <w:rPr>
                <w:sz w:val="24"/>
                <w:szCs w:val="24"/>
              </w:rPr>
              <w:t>Percent 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Shredder</w:t>
            </w:r>
            <w:r w:rsidRPr="00BB26E4">
              <w:rPr>
                <w:sz w:val="24"/>
                <w:szCs w:val="24"/>
              </w:rPr>
              <w:t xml:space="preserve"> </w:t>
            </w:r>
            <w:r w:rsidRPr="00BB26E4">
              <w:rPr>
                <w:sz w:val="24"/>
                <w:szCs w:val="24"/>
              </w:rPr>
              <w:t>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Clinger</w:t>
            </w:r>
            <w:r w:rsidRPr="00BB26E4">
              <w:rPr>
                <w:sz w:val="24"/>
                <w:szCs w:val="24"/>
              </w:rPr>
              <w:t xml:space="preserve"> </w:t>
            </w:r>
            <w:r w:rsidRPr="00BB26E4">
              <w:rPr>
                <w:sz w:val="24"/>
                <w:szCs w:val="24"/>
              </w:rPr>
              <w:t>Taxa</w:t>
            </w:r>
          </w:p>
        </w:tc>
        <w:tc>
          <w:tcPr>
            <w:tcW w:w="3070" w:type="dxa"/>
          </w:tcPr>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Intolerant</w:t>
            </w:r>
            <w:r w:rsidRPr="00BB26E4">
              <w:rPr>
                <w:sz w:val="24"/>
                <w:szCs w:val="24"/>
              </w:rPr>
              <w:t xml:space="preserve"> </w:t>
            </w:r>
            <w:r>
              <w:rPr>
                <w:sz w:val="24"/>
                <w:szCs w:val="24"/>
              </w:rPr>
              <w:t>Percent 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B26E4">
              <w:rPr>
                <w:sz w:val="24"/>
                <w:szCs w:val="24"/>
              </w:rPr>
              <w:t>Noninsect</w:t>
            </w:r>
            <w:proofErr w:type="spellEnd"/>
            <w:r w:rsidRPr="00BB26E4">
              <w:rPr>
                <w:sz w:val="24"/>
                <w:szCs w:val="24"/>
              </w:rPr>
              <w:t xml:space="preserve"> </w:t>
            </w:r>
            <w:r>
              <w:rPr>
                <w:sz w:val="24"/>
                <w:szCs w:val="24"/>
              </w:rPr>
              <w:t>Percent 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EPT</w:t>
            </w:r>
            <w:r w:rsidRPr="00BB26E4">
              <w:rPr>
                <w:sz w:val="24"/>
                <w:szCs w:val="24"/>
              </w:rPr>
              <w:t xml:space="preserve"> </w:t>
            </w:r>
            <w:r>
              <w:rPr>
                <w:sz w:val="24"/>
                <w:szCs w:val="24"/>
              </w:rPr>
              <w:t>Percent 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Clinger</w:t>
            </w:r>
            <w:r w:rsidRPr="00BB26E4">
              <w:rPr>
                <w:sz w:val="24"/>
                <w:szCs w:val="24"/>
              </w:rPr>
              <w:t xml:space="preserve"> </w:t>
            </w:r>
            <w:r w:rsidRPr="00BB26E4">
              <w:rPr>
                <w:sz w:val="24"/>
                <w:szCs w:val="24"/>
              </w:rPr>
              <w:t>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B26E4">
              <w:rPr>
                <w:sz w:val="24"/>
                <w:szCs w:val="24"/>
              </w:rPr>
              <w:t>Ephemeroptera</w:t>
            </w:r>
            <w:proofErr w:type="spellEnd"/>
            <w:r w:rsidRPr="00BB26E4">
              <w:rPr>
                <w:sz w:val="24"/>
                <w:szCs w:val="24"/>
              </w:rPr>
              <w:t xml:space="preserve"> </w:t>
            </w:r>
            <w:r w:rsidRPr="00BB26E4">
              <w:rPr>
                <w:sz w:val="24"/>
                <w:szCs w:val="24"/>
              </w:rPr>
              <w:t>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B26E4">
              <w:rPr>
                <w:sz w:val="24"/>
                <w:szCs w:val="24"/>
              </w:rPr>
              <w:t>Plecoptera</w:t>
            </w:r>
            <w:proofErr w:type="spellEnd"/>
            <w:r w:rsidRPr="00BB26E4">
              <w:rPr>
                <w:sz w:val="24"/>
                <w:szCs w:val="24"/>
              </w:rPr>
              <w:t xml:space="preserve"> </w:t>
            </w:r>
            <w:r>
              <w:rPr>
                <w:sz w:val="24"/>
                <w:szCs w:val="24"/>
              </w:rPr>
              <w:t>Percent 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B26E4">
              <w:rPr>
                <w:sz w:val="24"/>
                <w:szCs w:val="24"/>
              </w:rPr>
              <w:t>Trichoptera</w:t>
            </w:r>
            <w:proofErr w:type="spellEnd"/>
            <w:r w:rsidRPr="00BB26E4">
              <w:rPr>
                <w:sz w:val="24"/>
                <w:szCs w:val="24"/>
              </w:rPr>
              <w:t xml:space="preserve"> </w:t>
            </w:r>
            <w:r w:rsidRPr="00BB26E4">
              <w:rPr>
                <w:sz w:val="24"/>
                <w:szCs w:val="24"/>
              </w:rPr>
              <w:t>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Shredder</w:t>
            </w:r>
            <w:r w:rsidRPr="00BB26E4">
              <w:rPr>
                <w:sz w:val="24"/>
                <w:szCs w:val="24"/>
              </w:rPr>
              <w:t xml:space="preserve"> </w:t>
            </w:r>
            <w:r w:rsidRPr="00BB26E4">
              <w:rPr>
                <w:sz w:val="24"/>
                <w:szCs w:val="24"/>
              </w:rPr>
              <w:t>Percent</w:t>
            </w:r>
            <w:r>
              <w:rPr>
                <w:sz w:val="24"/>
                <w:szCs w:val="24"/>
              </w:rPr>
              <w:t xml:space="preserve"> </w:t>
            </w:r>
            <w:r w:rsidRPr="00BB26E4">
              <w:rPr>
                <w:sz w:val="24"/>
                <w:szCs w:val="24"/>
              </w:rPr>
              <w:t>Taxa</w:t>
            </w:r>
          </w:p>
        </w:tc>
        <w:tc>
          <w:tcPr>
            <w:tcW w:w="3012" w:type="dxa"/>
          </w:tcPr>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Intolerant</w:t>
            </w:r>
            <w:r w:rsidRPr="00BB26E4">
              <w:rPr>
                <w:sz w:val="24"/>
                <w:szCs w:val="24"/>
              </w:rPr>
              <w:t xml:space="preserve"> </w:t>
            </w:r>
            <w:r>
              <w:rPr>
                <w:sz w:val="24"/>
                <w:szCs w:val="24"/>
              </w:rPr>
              <w:t>Percent 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EPT</w:t>
            </w:r>
            <w:r w:rsidRPr="00BB26E4">
              <w:rPr>
                <w:sz w:val="24"/>
                <w:szCs w:val="24"/>
              </w:rPr>
              <w:t xml:space="preserve"> </w:t>
            </w:r>
            <w:r w:rsidRPr="00BB26E4">
              <w:rPr>
                <w:sz w:val="24"/>
                <w:szCs w:val="24"/>
              </w:rPr>
              <w:t>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Non</w:t>
            </w:r>
            <w:r>
              <w:rPr>
                <w:sz w:val="24"/>
                <w:szCs w:val="24"/>
              </w:rPr>
              <w:t>-</w:t>
            </w:r>
            <w:r w:rsidRPr="00BB26E4">
              <w:rPr>
                <w:sz w:val="24"/>
                <w:szCs w:val="24"/>
              </w:rPr>
              <w:t>insect</w:t>
            </w:r>
            <w:r w:rsidRPr="00BB26E4">
              <w:rPr>
                <w:sz w:val="24"/>
                <w:szCs w:val="24"/>
              </w:rPr>
              <w:t xml:space="preserve"> </w:t>
            </w:r>
            <w:r>
              <w:rPr>
                <w:sz w:val="24"/>
                <w:szCs w:val="24"/>
              </w:rPr>
              <w:t>Percent 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B26E4">
              <w:rPr>
                <w:sz w:val="24"/>
                <w:szCs w:val="24"/>
              </w:rPr>
              <w:t>Plecoptera</w:t>
            </w:r>
            <w:proofErr w:type="spellEnd"/>
            <w:r w:rsidRPr="00BB26E4">
              <w:rPr>
                <w:sz w:val="24"/>
                <w:szCs w:val="24"/>
              </w:rPr>
              <w:t xml:space="preserve"> </w:t>
            </w:r>
            <w:r w:rsidRPr="00BB26E4">
              <w:rPr>
                <w:sz w:val="24"/>
                <w:szCs w:val="24"/>
              </w:rPr>
              <w:t>Taxa</w:t>
            </w:r>
          </w:p>
        </w:tc>
        <w:tc>
          <w:tcPr>
            <w:tcW w:w="3012" w:type="dxa"/>
          </w:tcPr>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Intolerant</w:t>
            </w:r>
            <w:r w:rsidRPr="00BB26E4">
              <w:rPr>
                <w:sz w:val="24"/>
                <w:szCs w:val="24"/>
              </w:rPr>
              <w:t xml:space="preserve"> </w:t>
            </w:r>
            <w:r>
              <w:rPr>
                <w:sz w:val="24"/>
                <w:szCs w:val="24"/>
              </w:rPr>
              <w:t>Percent 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Clinger</w:t>
            </w:r>
            <w:r w:rsidRPr="00BB26E4">
              <w:rPr>
                <w:sz w:val="24"/>
                <w:szCs w:val="24"/>
              </w:rPr>
              <w:t xml:space="preserve"> </w:t>
            </w:r>
            <w:r w:rsidRPr="00BB26E4">
              <w:rPr>
                <w:sz w:val="24"/>
                <w:szCs w:val="24"/>
              </w:rPr>
              <w:t>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Non</w:t>
            </w:r>
            <w:r>
              <w:rPr>
                <w:sz w:val="24"/>
                <w:szCs w:val="24"/>
              </w:rPr>
              <w:t>-</w:t>
            </w:r>
            <w:r w:rsidRPr="00BB26E4">
              <w:rPr>
                <w:sz w:val="24"/>
                <w:szCs w:val="24"/>
              </w:rPr>
              <w:t>insect</w:t>
            </w:r>
            <w:r w:rsidRPr="00BB26E4">
              <w:rPr>
                <w:sz w:val="24"/>
                <w:szCs w:val="24"/>
              </w:rPr>
              <w:t xml:space="preserve"> </w:t>
            </w:r>
            <w:r>
              <w:rPr>
                <w:sz w:val="24"/>
                <w:szCs w:val="24"/>
              </w:rPr>
              <w:t>Percent 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EPT</w:t>
            </w:r>
            <w:r w:rsidRPr="00BB26E4">
              <w:rPr>
                <w:sz w:val="24"/>
                <w:szCs w:val="24"/>
              </w:rPr>
              <w:t xml:space="preserve"> </w:t>
            </w:r>
            <w:r>
              <w:rPr>
                <w:sz w:val="24"/>
                <w:szCs w:val="24"/>
              </w:rPr>
              <w:t>Percent 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B26E4">
              <w:rPr>
                <w:sz w:val="24"/>
                <w:szCs w:val="24"/>
              </w:rPr>
              <w:t>Ephemeroptera</w:t>
            </w:r>
            <w:proofErr w:type="spellEnd"/>
            <w:r w:rsidRPr="00BB26E4">
              <w:rPr>
                <w:sz w:val="24"/>
                <w:szCs w:val="24"/>
              </w:rPr>
              <w:t xml:space="preserve"> </w:t>
            </w:r>
            <w:r w:rsidRPr="00BB26E4">
              <w:rPr>
                <w:sz w:val="24"/>
                <w:szCs w:val="24"/>
              </w:rPr>
              <w:t>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B26E4">
              <w:rPr>
                <w:sz w:val="24"/>
                <w:szCs w:val="24"/>
              </w:rPr>
              <w:t>Trichoptera</w:t>
            </w:r>
            <w:proofErr w:type="spellEnd"/>
            <w:r w:rsidRPr="00BB26E4">
              <w:rPr>
                <w:sz w:val="24"/>
                <w:szCs w:val="24"/>
              </w:rPr>
              <w:t xml:space="preserve"> </w:t>
            </w:r>
            <w:r w:rsidRPr="00BB26E4">
              <w:rPr>
                <w:sz w:val="24"/>
                <w:szCs w:val="24"/>
              </w:rPr>
              <w:t>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BB26E4">
              <w:rPr>
                <w:sz w:val="24"/>
                <w:szCs w:val="24"/>
              </w:rPr>
              <w:t>Shredder</w:t>
            </w:r>
            <w:r w:rsidRPr="00BB26E4">
              <w:rPr>
                <w:sz w:val="24"/>
                <w:szCs w:val="24"/>
              </w:rPr>
              <w:t xml:space="preserve"> </w:t>
            </w:r>
            <w:r w:rsidRPr="00BB26E4">
              <w:rPr>
                <w:sz w:val="24"/>
                <w:szCs w:val="24"/>
              </w:rPr>
              <w:t>Taxa</w:t>
            </w:r>
          </w:p>
          <w:p w:rsidR="00BB26E4" w:rsidRPr="00BB26E4" w:rsidRDefault="00BB26E4" w:rsidP="005F0AEC">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BB26E4">
              <w:rPr>
                <w:sz w:val="24"/>
                <w:szCs w:val="24"/>
              </w:rPr>
              <w:t>Plecoptera</w:t>
            </w:r>
            <w:proofErr w:type="spellEnd"/>
            <w:r w:rsidRPr="00BB26E4">
              <w:rPr>
                <w:sz w:val="24"/>
                <w:szCs w:val="24"/>
              </w:rPr>
              <w:t xml:space="preserve"> </w:t>
            </w:r>
            <w:r w:rsidRPr="00BB26E4">
              <w:rPr>
                <w:sz w:val="24"/>
                <w:szCs w:val="24"/>
              </w:rPr>
              <w:t>Taxa</w:t>
            </w:r>
          </w:p>
        </w:tc>
      </w:tr>
    </w:tbl>
    <w:p w:rsidR="00BB26E4" w:rsidRDefault="00BB26E4" w:rsidP="001E3351">
      <w:pPr>
        <w:spacing w:line="360" w:lineRule="auto"/>
        <w:rPr>
          <w:sz w:val="24"/>
          <w:szCs w:val="24"/>
        </w:rPr>
      </w:pPr>
    </w:p>
    <w:p w:rsidR="00BB26E4" w:rsidRDefault="00BB26E4" w:rsidP="001E3351">
      <w:pPr>
        <w:spacing w:line="360" w:lineRule="auto"/>
        <w:rPr>
          <w:sz w:val="24"/>
          <w:szCs w:val="24"/>
        </w:rPr>
        <w:sectPr w:rsidR="00BB26E4" w:rsidSect="00BB26E4">
          <w:pgSz w:w="15840" w:h="12240" w:orient="landscape"/>
          <w:pgMar w:top="1440" w:right="1440" w:bottom="1440" w:left="1440" w:header="720" w:footer="720" w:gutter="0"/>
          <w:cols w:space="720"/>
          <w:docGrid w:linePitch="360"/>
        </w:sectPr>
      </w:pPr>
      <w:r>
        <w:rPr>
          <w:sz w:val="24"/>
          <w:szCs w:val="24"/>
        </w:rPr>
        <w:t>Table 1: Metrics use</w:t>
      </w:r>
      <w:r w:rsidR="00711052">
        <w:rPr>
          <w:sz w:val="24"/>
          <w:szCs w:val="24"/>
        </w:rPr>
        <w:t xml:space="preserve">d in </w:t>
      </w:r>
      <w:r>
        <w:rPr>
          <w:sz w:val="24"/>
          <w:szCs w:val="24"/>
        </w:rPr>
        <w:t xml:space="preserve">different versions of the MMI model. </w:t>
      </w:r>
      <w:r w:rsidR="00711052">
        <w:rPr>
          <w:sz w:val="24"/>
          <w:szCs w:val="24"/>
        </w:rPr>
        <w:t xml:space="preserve"> Metrics appended with “taxa” are counts of     unique aggregated taxa occurring in that group, while those appended with “percent taxa” are the </w:t>
      </w:r>
      <w:r w:rsidR="00F247DC">
        <w:rPr>
          <w:sz w:val="24"/>
          <w:szCs w:val="24"/>
        </w:rPr>
        <w:t>proportion of</w:t>
      </w:r>
      <w:bookmarkStart w:id="0" w:name="_GoBack"/>
      <w:bookmarkEnd w:id="0"/>
      <w:r w:rsidR="00711052">
        <w:rPr>
          <w:sz w:val="24"/>
          <w:szCs w:val="24"/>
        </w:rPr>
        <w:t xml:space="preserve"> aggregated taxa out of the entire sample occurring within that group.  Metrics listed in black are   compared against a predicted value generated from a model; metrics listed in red are keep as their raw value before being scored.</w:t>
      </w:r>
    </w:p>
    <w:p w:rsidR="00312C8A" w:rsidRDefault="00711052" w:rsidP="001E3351">
      <w:pPr>
        <w:spacing w:line="360" w:lineRule="auto"/>
        <w:rPr>
          <w:sz w:val="24"/>
          <w:szCs w:val="24"/>
        </w:rPr>
      </w:pPr>
      <w:r>
        <w:rPr>
          <w:sz w:val="24"/>
          <w:szCs w:val="24"/>
        </w:rPr>
        <w:lastRenderedPageBreak/>
        <w:t>Next, the station GIS data is used as predictor inputs into a non-linear model to generate expected values for the metrics assuming the site is in reference condition</w:t>
      </w:r>
      <w:r w:rsidR="002613E2">
        <w:rPr>
          <w:sz w:val="24"/>
          <w:szCs w:val="24"/>
        </w:rPr>
        <w:t>. These predictors are compared against the observed values to produce the residual values (for most metrics, see table 1 for metrics that are left as raw values). These are then scored by comparing ratio of the difference between the observed value and 5</w:t>
      </w:r>
      <w:r w:rsidR="002613E2" w:rsidRPr="002613E2">
        <w:rPr>
          <w:sz w:val="24"/>
          <w:szCs w:val="24"/>
          <w:vertAlign w:val="superscript"/>
        </w:rPr>
        <w:t>th</w:t>
      </w:r>
      <w:r w:rsidR="002613E2">
        <w:rPr>
          <w:sz w:val="24"/>
          <w:szCs w:val="24"/>
        </w:rPr>
        <w:t xml:space="preserve"> percentile of the calibration data to the difference between the 95</w:t>
      </w:r>
      <w:r w:rsidR="002613E2" w:rsidRPr="002613E2">
        <w:rPr>
          <w:sz w:val="24"/>
          <w:szCs w:val="24"/>
          <w:vertAlign w:val="superscript"/>
        </w:rPr>
        <w:t>th</w:t>
      </w:r>
      <w:r w:rsidR="002613E2">
        <w:rPr>
          <w:sz w:val="24"/>
          <w:szCs w:val="24"/>
        </w:rPr>
        <w:t xml:space="preserve"> and 5</w:t>
      </w:r>
      <w:r w:rsidR="002613E2" w:rsidRPr="002613E2">
        <w:rPr>
          <w:sz w:val="24"/>
          <w:szCs w:val="24"/>
          <w:vertAlign w:val="superscript"/>
        </w:rPr>
        <w:t>th</w:t>
      </w:r>
      <w:r w:rsidR="002613E2">
        <w:rPr>
          <w:sz w:val="24"/>
          <w:szCs w:val="24"/>
        </w:rPr>
        <w:t xml:space="preserve"> percentile of the calibration data. This usually results in a score between zero and one, though for exceptional sites the score may be greater than one. The </w:t>
      </w:r>
      <w:proofErr w:type="spellStart"/>
      <w:r w:rsidR="002613E2">
        <w:rPr>
          <w:sz w:val="24"/>
          <w:szCs w:val="24"/>
        </w:rPr>
        <w:t>unweighted</w:t>
      </w:r>
      <w:proofErr w:type="spellEnd"/>
      <w:r w:rsidR="002613E2">
        <w:rPr>
          <w:sz w:val="24"/>
          <w:szCs w:val="24"/>
        </w:rPr>
        <w:t xml:space="preserve"> mean of the metric scores is the final MMI score.</w:t>
      </w:r>
    </w:p>
    <w:p w:rsidR="002613E2" w:rsidRDefault="00F25E2A" w:rsidP="001E3351">
      <w:pPr>
        <w:spacing w:line="360" w:lineRule="auto"/>
        <w:rPr>
          <w:sz w:val="24"/>
          <w:szCs w:val="24"/>
        </w:rPr>
      </w:pPr>
      <w:r>
        <w:rPr>
          <w:sz w:val="24"/>
          <w:szCs w:val="24"/>
        </w:rPr>
        <w:t xml:space="preserve">The OE component uses the station GIS data to predict the probability of membership to a biotic groups. These biotic groups, which were previous delineated during the development of the California Streams Condition Index (CSCI), are used to account to account for the different communities and levels of richness that is expected in reference status sites across a range of natural conditions. These group membership probabilities are used in conjunction with a calibration data set, containing mean taxon counts for reference sites within a biotic group, </w:t>
      </w:r>
      <w:r w:rsidR="00705132">
        <w:rPr>
          <w:sz w:val="24"/>
          <w:szCs w:val="24"/>
        </w:rPr>
        <w:t xml:space="preserve">in order </w:t>
      </w:r>
      <w:r>
        <w:rPr>
          <w:sz w:val="24"/>
          <w:szCs w:val="24"/>
        </w:rPr>
        <w:t xml:space="preserve">to generate the probability of capturing a taxon at the site (assuming the site is in reference condition). </w:t>
      </w:r>
      <w:r w:rsidR="00705132">
        <w:rPr>
          <w:sz w:val="24"/>
          <w:szCs w:val="24"/>
        </w:rPr>
        <w:t xml:space="preserve">Finally, the expected richness is calculated by counting the number of taxa with an expected capture probability greater than 0.5. The ratio of the actual richness observed at the site to this expected richness is the final OE score. Again, values tend to fall between zero and one, though it is possible to have a score exceeding one (that is, for the site to have a greater richness than expected given the natural conditions). </w:t>
      </w:r>
    </w:p>
    <w:p w:rsidR="00A30F35" w:rsidRDefault="00A30F35" w:rsidP="001E3351">
      <w:pPr>
        <w:spacing w:line="360" w:lineRule="auto"/>
        <w:rPr>
          <w:sz w:val="24"/>
          <w:szCs w:val="24"/>
        </w:rPr>
      </w:pPr>
    </w:p>
    <w:p w:rsidR="00A30F35" w:rsidRDefault="00A30F35" w:rsidP="001E3351">
      <w:pPr>
        <w:spacing w:line="360" w:lineRule="auto"/>
        <w:rPr>
          <w:sz w:val="24"/>
          <w:szCs w:val="24"/>
        </w:rPr>
      </w:pPr>
    </w:p>
    <w:p w:rsidR="00A30F35" w:rsidRDefault="00A30F35" w:rsidP="001E3351">
      <w:pPr>
        <w:spacing w:line="360" w:lineRule="auto"/>
        <w:rPr>
          <w:sz w:val="24"/>
          <w:szCs w:val="24"/>
        </w:rPr>
      </w:pPr>
    </w:p>
    <w:p w:rsidR="00A30F35" w:rsidRDefault="00A30F35" w:rsidP="001E3351">
      <w:pPr>
        <w:spacing w:line="360" w:lineRule="auto"/>
        <w:rPr>
          <w:sz w:val="24"/>
          <w:szCs w:val="24"/>
        </w:rPr>
      </w:pPr>
    </w:p>
    <w:p w:rsidR="00A30F35" w:rsidRDefault="00A30F35" w:rsidP="001E3351">
      <w:pPr>
        <w:spacing w:line="360" w:lineRule="auto"/>
        <w:rPr>
          <w:sz w:val="24"/>
          <w:szCs w:val="24"/>
        </w:rPr>
      </w:pPr>
    </w:p>
    <w:p w:rsidR="00A30F35" w:rsidRDefault="00A30F35" w:rsidP="001E3351">
      <w:pPr>
        <w:spacing w:line="360" w:lineRule="auto"/>
        <w:rPr>
          <w:sz w:val="24"/>
          <w:szCs w:val="24"/>
        </w:rPr>
      </w:pPr>
    </w:p>
    <w:p w:rsidR="00A30F35" w:rsidRDefault="00A30F35" w:rsidP="001E3351">
      <w:pPr>
        <w:spacing w:line="360" w:lineRule="auto"/>
        <w:rPr>
          <w:sz w:val="24"/>
          <w:szCs w:val="24"/>
        </w:rPr>
      </w:pPr>
      <w:r>
        <w:rPr>
          <w:sz w:val="24"/>
          <w:szCs w:val="24"/>
        </w:rPr>
        <w:lastRenderedPageBreak/>
        <w:t>Performance</w:t>
      </w:r>
    </w:p>
    <w:p w:rsidR="00DB5D82" w:rsidRDefault="00DB5D82" w:rsidP="001E3351">
      <w:pPr>
        <w:spacing w:line="360" w:lineRule="auto"/>
        <w:rPr>
          <w:sz w:val="24"/>
          <w:szCs w:val="24"/>
        </w:rPr>
      </w:pPr>
      <w:r>
        <w:rPr>
          <w:sz w:val="24"/>
          <w:szCs w:val="24"/>
        </w:rPr>
        <w:t>To assess the FLI, we looked at three aspects of its performance. First, the accuracy: does the index show any regional biases? Are reference condition sites in different ecoregions scored differently on average from each other? Can FLI scores be explained by a simple model using natural gradient data as an input?</w:t>
      </w:r>
    </w:p>
    <w:p w:rsidR="00DB5D82" w:rsidRDefault="00DB5D82" w:rsidP="001E3351">
      <w:pPr>
        <w:spacing w:line="360" w:lineRule="auto"/>
        <w:rPr>
          <w:sz w:val="24"/>
          <w:szCs w:val="24"/>
        </w:rPr>
      </w:pPr>
      <w:r>
        <w:rPr>
          <w:sz w:val="24"/>
          <w:szCs w:val="24"/>
        </w:rPr>
        <w:t>Second, we are interested in the precision of the index. Specifically, when a site is sampled multiple times, there should be little variance in the score. Finally, we assess the sensitivity of the index; that is, how well can the index distinguish between sites in reference condition and those that have been impacted? Here we should hope to find that FLI scores show a strong negative response as known stressors increase.</w:t>
      </w:r>
    </w:p>
    <w:p w:rsidR="00DB5D82" w:rsidRDefault="00DB5D82" w:rsidP="001E3351">
      <w:pPr>
        <w:spacing w:line="360" w:lineRule="auto"/>
        <w:rPr>
          <w:sz w:val="24"/>
          <w:szCs w:val="24"/>
        </w:rPr>
      </w:pPr>
      <w:r>
        <w:rPr>
          <w:sz w:val="24"/>
          <w:szCs w:val="24"/>
        </w:rPr>
        <w:t xml:space="preserve">Here we present the performance of the FLI on these measures in comparison to the California Streams Condition Index (CSCI). </w:t>
      </w:r>
      <w:r w:rsidR="00F379BF">
        <w:rPr>
          <w:sz w:val="24"/>
          <w:szCs w:val="24"/>
        </w:rPr>
        <w:t xml:space="preserve">The CSCI uses significantly more detailed data inputs, such as a larger suite of GIS-based station data and greater taxonomic resolution, to generate predicted values for its MMI and OE components. For the purpose of assessing the FLI, the CSCI score will be considered to represent the “true” condition of a given site. </w:t>
      </w:r>
    </w:p>
    <w:p w:rsidR="00F379BF" w:rsidRDefault="00F379BF" w:rsidP="001E3351">
      <w:pPr>
        <w:spacing w:line="360" w:lineRule="auto"/>
        <w:rPr>
          <w:sz w:val="24"/>
          <w:szCs w:val="24"/>
        </w:rPr>
      </w:pPr>
      <w:r>
        <w:rPr>
          <w:sz w:val="24"/>
          <w:szCs w:val="24"/>
        </w:rPr>
        <w:t>Overall, the FLI tended perform close to the level of the CSCI, though consistently worse, especially when using version of the FLI that implemented lower levels of subsampling (Table 2).</w:t>
      </w:r>
      <w:r w:rsidR="002773F8">
        <w:rPr>
          <w:sz w:val="24"/>
          <w:szCs w:val="24"/>
        </w:rPr>
        <w:t xml:space="preserve"> Comparisons of reference condition sites between ecoregions show no significant effects, and a non-linear model which attempted to predict FLI scores based on natural gradient data (e.g., soil composition, long term climatic conditions</w:t>
      </w:r>
      <w:r w:rsidR="005F7458">
        <w:rPr>
          <w:sz w:val="24"/>
          <w:szCs w:val="24"/>
        </w:rPr>
        <w:t>, watershed descriptors), failed to explain the variance in either the CSCI or FLI scores</w:t>
      </w:r>
      <w:r w:rsidR="002773F8">
        <w:rPr>
          <w:sz w:val="24"/>
          <w:szCs w:val="24"/>
        </w:rPr>
        <w:t xml:space="preserve">. </w:t>
      </w:r>
      <w:r w:rsidR="005F7458">
        <w:rPr>
          <w:sz w:val="24"/>
          <w:szCs w:val="24"/>
        </w:rPr>
        <w:t>Additionally, the FLI responded to an increase in the slope of the stream (i.e., the gradient from low land to mountain streams) for reference conditions sites in the same way as the CSCI (Fig. 1).</w:t>
      </w:r>
    </w:p>
    <w:p w:rsidR="005F7458" w:rsidRDefault="005F7458" w:rsidP="001E3351">
      <w:pPr>
        <w:spacing w:line="360" w:lineRule="auto"/>
        <w:rPr>
          <w:sz w:val="24"/>
          <w:szCs w:val="24"/>
        </w:rPr>
      </w:pPr>
      <w:r>
        <w:rPr>
          <w:sz w:val="24"/>
          <w:szCs w:val="24"/>
        </w:rPr>
        <w:t xml:space="preserve">For both precision, and sensitivity, there was a greater difference between the performance of the CSCI and FLIs (Table 1). The pooled standard deviation among repeatedly sampled sites was greater than the CSCI, and tended to increase as the level of subsampling decreased. The FLI was able to produce average </w:t>
      </w:r>
      <w:r w:rsidR="002E1569">
        <w:rPr>
          <w:sz w:val="24"/>
          <w:szCs w:val="24"/>
        </w:rPr>
        <w:t xml:space="preserve">scores for the reference and impacted condition sites that differed significantly, though not as much as the CSCI. Here again, as the level of subsampling </w:t>
      </w:r>
      <w:r w:rsidR="002E1569">
        <w:rPr>
          <w:sz w:val="24"/>
          <w:szCs w:val="24"/>
        </w:rPr>
        <w:lastRenderedPageBreak/>
        <w:t xml:space="preserve">decreased, the power to distinguish between reference and non-reference weakened. Both the FLI and CSCI showed similar responses when human impacts of the area near the site increased, though difference between the FLI-500 and CSCI tended to be smaller than when using the FLI-100 (Fig. 2). </w:t>
      </w:r>
    </w:p>
    <w:p w:rsidR="002E1569" w:rsidRDefault="002E1569" w:rsidP="001E3351">
      <w:pPr>
        <w:spacing w:line="360" w:lineRule="auto"/>
        <w:rPr>
          <w:sz w:val="24"/>
          <w:szCs w:val="24"/>
        </w:rPr>
      </w:pPr>
      <w:r>
        <w:rPr>
          <w:sz w:val="24"/>
          <w:szCs w:val="24"/>
        </w:rPr>
        <w:t>This difference is also seen clearly when residual FLI scores (i.e., the FLI score minus the CSCI score for the same sample) are compared against CSCI scores (Fig. 3). When the CSCI score is high (i.e., the site is in reference condition), the FLI tends to produce a similar score. However, as the CSCI score decreases, the FLI tends to deviate from the CSCI. This devi</w:t>
      </w:r>
      <w:r w:rsidR="008D1CB3">
        <w:rPr>
          <w:sz w:val="24"/>
          <w:szCs w:val="24"/>
        </w:rPr>
        <w:t xml:space="preserve">ation has a positive bias, such that impacted sites tend to have a higher score with the FLI than with the CSCI. This effect is strongest in FLIs with a low level of subsampling. For example, when FLI-100 evaluates sites in very poor condition may give a score 10 points greater than the CSCI on average. On the other end, the FLI-500 shows almost no bias, and remains very close to the CSCI scores at all levels. </w:t>
      </w:r>
    </w:p>
    <w:p w:rsidR="00F379BF" w:rsidRDefault="00F379BF" w:rsidP="001E3351">
      <w:pPr>
        <w:spacing w:line="360" w:lineRule="auto"/>
        <w:rPr>
          <w:sz w:val="24"/>
          <w:szCs w:val="24"/>
        </w:rPr>
      </w:pPr>
    </w:p>
    <w:p w:rsidR="00F379BF" w:rsidRDefault="00F379BF" w:rsidP="001E3351">
      <w:pPr>
        <w:spacing w:line="360" w:lineRule="auto"/>
        <w:rPr>
          <w:sz w:val="24"/>
          <w:szCs w:val="24"/>
        </w:rPr>
      </w:pPr>
    </w:p>
    <w:p w:rsidR="00F379BF" w:rsidRDefault="00F379BF" w:rsidP="001E3351">
      <w:pPr>
        <w:spacing w:line="360" w:lineRule="auto"/>
        <w:rPr>
          <w:sz w:val="24"/>
          <w:szCs w:val="24"/>
        </w:rPr>
      </w:pPr>
    </w:p>
    <w:p w:rsidR="00F379BF" w:rsidRDefault="00F379BF" w:rsidP="001E3351">
      <w:pPr>
        <w:spacing w:line="360" w:lineRule="auto"/>
        <w:rPr>
          <w:sz w:val="24"/>
          <w:szCs w:val="24"/>
        </w:rPr>
      </w:pPr>
    </w:p>
    <w:p w:rsidR="00F379BF" w:rsidRDefault="00F379BF" w:rsidP="001E3351">
      <w:pPr>
        <w:spacing w:line="360" w:lineRule="auto"/>
        <w:rPr>
          <w:sz w:val="24"/>
          <w:szCs w:val="24"/>
        </w:rPr>
      </w:pPr>
    </w:p>
    <w:p w:rsidR="00F379BF" w:rsidRDefault="00F379BF" w:rsidP="001E3351">
      <w:pPr>
        <w:spacing w:line="360" w:lineRule="auto"/>
        <w:rPr>
          <w:sz w:val="24"/>
          <w:szCs w:val="24"/>
        </w:rPr>
      </w:pPr>
    </w:p>
    <w:p w:rsidR="00F379BF" w:rsidRDefault="00F379BF" w:rsidP="001E3351">
      <w:pPr>
        <w:spacing w:line="360" w:lineRule="auto"/>
        <w:rPr>
          <w:sz w:val="24"/>
          <w:szCs w:val="24"/>
        </w:rPr>
      </w:pPr>
    </w:p>
    <w:p w:rsidR="00F379BF" w:rsidRDefault="00F379BF" w:rsidP="00F379BF">
      <w:pPr>
        <w:spacing w:line="360" w:lineRule="auto"/>
        <w:rPr>
          <w:b/>
          <w:bCs/>
          <w:sz w:val="24"/>
          <w:szCs w:val="24"/>
        </w:rPr>
        <w:sectPr w:rsidR="00F379BF">
          <w:pgSz w:w="12240" w:h="15840"/>
          <w:pgMar w:top="1440" w:right="1440" w:bottom="1440" w:left="1440" w:header="720" w:footer="720" w:gutter="0"/>
          <w:cols w:space="720"/>
          <w:docGrid w:linePitch="360"/>
        </w:sectPr>
      </w:pPr>
    </w:p>
    <w:tbl>
      <w:tblPr>
        <w:tblpPr w:leftFromText="180" w:rightFromText="180" w:vertAnchor="page" w:horzAnchor="margin" w:tblpXSpec="center" w:tblpY="721"/>
        <w:tblW w:w="14877" w:type="dxa"/>
        <w:tblCellMar>
          <w:left w:w="0" w:type="dxa"/>
          <w:right w:w="0" w:type="dxa"/>
        </w:tblCellMar>
        <w:tblLook w:val="0420" w:firstRow="1" w:lastRow="0" w:firstColumn="0" w:lastColumn="0" w:noHBand="0" w:noVBand="1"/>
      </w:tblPr>
      <w:tblGrid>
        <w:gridCol w:w="1488"/>
        <w:gridCol w:w="1488"/>
        <w:gridCol w:w="1488"/>
        <w:gridCol w:w="1488"/>
        <w:gridCol w:w="939"/>
        <w:gridCol w:w="2505"/>
        <w:gridCol w:w="1017"/>
        <w:gridCol w:w="1488"/>
        <w:gridCol w:w="1488"/>
        <w:gridCol w:w="1488"/>
      </w:tblGrid>
      <w:tr w:rsidR="003D6B45" w:rsidRPr="003D6B45" w:rsidTr="003D6B45">
        <w:trPr>
          <w:trHeight w:val="486"/>
        </w:trPr>
        <w:tc>
          <w:tcPr>
            <w:tcW w:w="1488" w:type="dxa"/>
            <w:tcBorders>
              <w:top w:val="single" w:sz="8" w:space="0" w:color="FFFFFF"/>
              <w:left w:val="single" w:sz="8" w:space="0" w:color="FFFFFF"/>
              <w:bottom w:val="single" w:sz="24"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r w:rsidRPr="003D6B45">
              <w:rPr>
                <w:b/>
                <w:bCs/>
                <w:sz w:val="24"/>
                <w:szCs w:val="24"/>
              </w:rPr>
              <w:lastRenderedPageBreak/>
              <w:t> </w:t>
            </w:r>
          </w:p>
        </w:tc>
        <w:tc>
          <w:tcPr>
            <w:tcW w:w="4464" w:type="dxa"/>
            <w:gridSpan w:val="3"/>
            <w:tcBorders>
              <w:top w:val="single" w:sz="8" w:space="0" w:color="FFFFFF"/>
              <w:left w:val="single" w:sz="8" w:space="0" w:color="FFFFFF"/>
              <w:bottom w:val="single" w:sz="24"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r w:rsidRPr="003D6B45">
              <w:rPr>
                <w:b/>
                <w:bCs/>
                <w:sz w:val="24"/>
                <w:szCs w:val="24"/>
                <w:u w:val="single"/>
              </w:rPr>
              <w:t>Accuracy</w:t>
            </w:r>
          </w:p>
        </w:tc>
        <w:tc>
          <w:tcPr>
            <w:tcW w:w="939" w:type="dxa"/>
            <w:tcBorders>
              <w:top w:val="single" w:sz="8" w:space="0" w:color="FFFFFF"/>
              <w:left w:val="single" w:sz="8" w:space="0" w:color="FFFFFF"/>
              <w:bottom w:val="single" w:sz="24"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p>
        </w:tc>
        <w:tc>
          <w:tcPr>
            <w:tcW w:w="2505" w:type="dxa"/>
            <w:tcBorders>
              <w:top w:val="single" w:sz="8" w:space="0" w:color="FFFFFF"/>
              <w:left w:val="single" w:sz="8" w:space="0" w:color="FFFFFF"/>
              <w:bottom w:val="single" w:sz="24"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r w:rsidRPr="003D6B45">
              <w:rPr>
                <w:b/>
                <w:bCs/>
                <w:sz w:val="24"/>
                <w:szCs w:val="24"/>
                <w:u w:val="single"/>
              </w:rPr>
              <w:t>Precision</w:t>
            </w:r>
          </w:p>
        </w:tc>
        <w:tc>
          <w:tcPr>
            <w:tcW w:w="1017" w:type="dxa"/>
            <w:tcBorders>
              <w:top w:val="single" w:sz="8" w:space="0" w:color="FFFFFF"/>
              <w:left w:val="single" w:sz="8" w:space="0" w:color="FFFFFF"/>
              <w:bottom w:val="single" w:sz="24"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p>
        </w:tc>
        <w:tc>
          <w:tcPr>
            <w:tcW w:w="4464" w:type="dxa"/>
            <w:gridSpan w:val="3"/>
            <w:tcBorders>
              <w:top w:val="single" w:sz="8" w:space="0" w:color="FFFFFF"/>
              <w:left w:val="single" w:sz="8" w:space="0" w:color="FFFFFF"/>
              <w:bottom w:val="single" w:sz="24"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r w:rsidRPr="003D6B45">
              <w:rPr>
                <w:b/>
                <w:bCs/>
                <w:sz w:val="24"/>
                <w:szCs w:val="24"/>
                <w:u w:val="single"/>
              </w:rPr>
              <w:t>Sensitivity</w:t>
            </w:r>
          </w:p>
        </w:tc>
      </w:tr>
      <w:tr w:rsidR="003D6B45" w:rsidRPr="003D6B45" w:rsidTr="003D6B45">
        <w:trPr>
          <w:trHeight w:val="526"/>
        </w:trPr>
        <w:tc>
          <w:tcPr>
            <w:tcW w:w="1488" w:type="dxa"/>
            <w:tcBorders>
              <w:top w:val="single" w:sz="24"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r w:rsidRPr="003D6B45">
              <w:rPr>
                <w:b/>
                <w:bCs/>
                <w:sz w:val="24"/>
                <w:szCs w:val="24"/>
              </w:rPr>
              <w:t>Model</w:t>
            </w:r>
          </w:p>
        </w:tc>
        <w:tc>
          <w:tcPr>
            <w:tcW w:w="1488" w:type="dxa"/>
            <w:tcBorders>
              <w:top w:val="single" w:sz="24"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b/>
                <w:bCs/>
                <w:sz w:val="24"/>
                <w:szCs w:val="24"/>
              </w:rPr>
              <w:t>F (</w:t>
            </w:r>
            <w:proofErr w:type="spellStart"/>
            <w:r w:rsidRPr="003D6B45">
              <w:rPr>
                <w:b/>
                <w:bCs/>
                <w:sz w:val="24"/>
                <w:szCs w:val="24"/>
              </w:rPr>
              <w:t>cal</w:t>
            </w:r>
            <w:proofErr w:type="spellEnd"/>
            <w:r w:rsidRPr="003D6B45">
              <w:rPr>
                <w:b/>
                <w:bCs/>
                <w:sz w:val="24"/>
                <w:szCs w:val="24"/>
              </w:rPr>
              <w:t>)</w:t>
            </w:r>
          </w:p>
        </w:tc>
        <w:tc>
          <w:tcPr>
            <w:tcW w:w="1488" w:type="dxa"/>
            <w:tcBorders>
              <w:top w:val="single" w:sz="24"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b/>
                <w:bCs/>
                <w:sz w:val="24"/>
                <w:szCs w:val="24"/>
              </w:rPr>
              <w:t>F (</w:t>
            </w:r>
            <w:proofErr w:type="spellStart"/>
            <w:r w:rsidRPr="003D6B45">
              <w:rPr>
                <w:b/>
                <w:bCs/>
                <w:sz w:val="24"/>
                <w:szCs w:val="24"/>
              </w:rPr>
              <w:t>val</w:t>
            </w:r>
            <w:proofErr w:type="spellEnd"/>
            <w:r w:rsidRPr="003D6B45">
              <w:rPr>
                <w:b/>
                <w:bCs/>
                <w:sz w:val="24"/>
                <w:szCs w:val="24"/>
              </w:rPr>
              <w:t>)</w:t>
            </w:r>
          </w:p>
        </w:tc>
        <w:tc>
          <w:tcPr>
            <w:tcW w:w="1488" w:type="dxa"/>
            <w:tcBorders>
              <w:top w:val="single" w:sz="24"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proofErr w:type="spellStart"/>
            <w:r w:rsidRPr="003D6B45">
              <w:rPr>
                <w:b/>
                <w:bCs/>
                <w:sz w:val="24"/>
                <w:szCs w:val="24"/>
              </w:rPr>
              <w:t>VarExp</w:t>
            </w:r>
            <w:proofErr w:type="spellEnd"/>
          </w:p>
        </w:tc>
        <w:tc>
          <w:tcPr>
            <w:tcW w:w="939" w:type="dxa"/>
            <w:tcBorders>
              <w:top w:val="single" w:sz="24"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p>
        </w:tc>
        <w:tc>
          <w:tcPr>
            <w:tcW w:w="2505" w:type="dxa"/>
            <w:tcBorders>
              <w:top w:val="single" w:sz="24"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b/>
                <w:bCs/>
                <w:sz w:val="24"/>
                <w:szCs w:val="24"/>
              </w:rPr>
              <w:t>Within-site SD</w:t>
            </w:r>
          </w:p>
        </w:tc>
        <w:tc>
          <w:tcPr>
            <w:tcW w:w="1017" w:type="dxa"/>
            <w:tcBorders>
              <w:top w:val="single" w:sz="24"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p>
        </w:tc>
        <w:tc>
          <w:tcPr>
            <w:tcW w:w="1488" w:type="dxa"/>
            <w:tcBorders>
              <w:top w:val="single" w:sz="24"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proofErr w:type="spellStart"/>
            <w:r w:rsidRPr="003D6B45">
              <w:rPr>
                <w:b/>
                <w:bCs/>
                <w:sz w:val="24"/>
                <w:szCs w:val="24"/>
              </w:rPr>
              <w:t>t.cal</w:t>
            </w:r>
            <w:proofErr w:type="spellEnd"/>
          </w:p>
        </w:tc>
        <w:tc>
          <w:tcPr>
            <w:tcW w:w="1488" w:type="dxa"/>
            <w:tcBorders>
              <w:top w:val="single" w:sz="24"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proofErr w:type="spellStart"/>
            <w:r w:rsidRPr="003D6B45">
              <w:rPr>
                <w:b/>
                <w:bCs/>
                <w:sz w:val="24"/>
                <w:szCs w:val="24"/>
              </w:rPr>
              <w:t>t.val</w:t>
            </w:r>
            <w:proofErr w:type="spellEnd"/>
          </w:p>
        </w:tc>
        <w:tc>
          <w:tcPr>
            <w:tcW w:w="1488" w:type="dxa"/>
            <w:tcBorders>
              <w:top w:val="single" w:sz="24"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proofErr w:type="spellStart"/>
            <w:r w:rsidRPr="003D6B45">
              <w:rPr>
                <w:b/>
                <w:bCs/>
                <w:sz w:val="24"/>
                <w:szCs w:val="24"/>
              </w:rPr>
              <w:t>VarExp</w:t>
            </w:r>
            <w:proofErr w:type="spellEnd"/>
          </w:p>
        </w:tc>
      </w:tr>
      <w:tr w:rsidR="003D6B45" w:rsidRPr="003D6B45" w:rsidTr="003D6B45">
        <w:trPr>
          <w:trHeight w:val="129"/>
        </w:trPr>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p>
        </w:tc>
        <w:tc>
          <w:tcPr>
            <w:tcW w:w="939"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p>
        </w:tc>
        <w:tc>
          <w:tcPr>
            <w:tcW w:w="2505"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p>
        </w:tc>
        <w:tc>
          <w:tcPr>
            <w:tcW w:w="1017"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p>
        </w:tc>
      </w:tr>
      <w:tr w:rsidR="003D6B45" w:rsidRPr="003D6B45" w:rsidTr="003D6B45">
        <w:trPr>
          <w:trHeight w:val="521"/>
        </w:trPr>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r w:rsidRPr="003D6B45">
              <w:rPr>
                <w:sz w:val="24"/>
                <w:szCs w:val="24"/>
              </w:rPr>
              <w:t>CSCI</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1.1</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1.3</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-9</w:t>
            </w:r>
          </w:p>
        </w:tc>
        <w:tc>
          <w:tcPr>
            <w:tcW w:w="939"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p>
        </w:tc>
        <w:tc>
          <w:tcPr>
            <w:tcW w:w="2505"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0.0</w:t>
            </w:r>
            <w:r>
              <w:rPr>
                <w:sz w:val="24"/>
                <w:szCs w:val="24"/>
              </w:rPr>
              <w:t>8</w:t>
            </w:r>
          </w:p>
        </w:tc>
        <w:tc>
          <w:tcPr>
            <w:tcW w:w="1017"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23</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26</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53</w:t>
            </w:r>
          </w:p>
        </w:tc>
      </w:tr>
      <w:tr w:rsidR="003D6B45" w:rsidRPr="003D6B45" w:rsidTr="003D6B45">
        <w:trPr>
          <w:trHeight w:val="401"/>
        </w:trPr>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r w:rsidRPr="003D6B45">
              <w:rPr>
                <w:sz w:val="24"/>
                <w:szCs w:val="24"/>
              </w:rPr>
              <w:t>FLI-500</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1.3</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1.1</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-16</w:t>
            </w:r>
          </w:p>
        </w:tc>
        <w:tc>
          <w:tcPr>
            <w:tcW w:w="939"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p>
        </w:tc>
        <w:tc>
          <w:tcPr>
            <w:tcW w:w="2505"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0.</w:t>
            </w:r>
            <w:r>
              <w:rPr>
                <w:sz w:val="24"/>
                <w:szCs w:val="24"/>
              </w:rPr>
              <w:t>09</w:t>
            </w:r>
          </w:p>
        </w:tc>
        <w:tc>
          <w:tcPr>
            <w:tcW w:w="1017"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19.4</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21.0</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58</w:t>
            </w:r>
          </w:p>
        </w:tc>
      </w:tr>
      <w:tr w:rsidR="003D6B45" w:rsidRPr="003D6B45" w:rsidTr="003D6B45">
        <w:trPr>
          <w:trHeight w:val="283"/>
        </w:trPr>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r w:rsidRPr="003D6B45">
              <w:rPr>
                <w:sz w:val="24"/>
                <w:szCs w:val="24"/>
              </w:rPr>
              <w:t>FLI-300</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0.6</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0.4</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-17</w:t>
            </w:r>
          </w:p>
        </w:tc>
        <w:tc>
          <w:tcPr>
            <w:tcW w:w="939"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p>
        </w:tc>
        <w:tc>
          <w:tcPr>
            <w:tcW w:w="2505"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0.</w:t>
            </w:r>
            <w:r>
              <w:rPr>
                <w:sz w:val="24"/>
                <w:szCs w:val="24"/>
              </w:rPr>
              <w:t>10</w:t>
            </w:r>
          </w:p>
        </w:tc>
        <w:tc>
          <w:tcPr>
            <w:tcW w:w="1017"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18.7</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20.2</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57</w:t>
            </w:r>
          </w:p>
        </w:tc>
      </w:tr>
      <w:tr w:rsidR="003D6B45" w:rsidRPr="003D6B45" w:rsidTr="003D6B45">
        <w:trPr>
          <w:trHeight w:val="288"/>
        </w:trPr>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rPr>
                <w:sz w:val="24"/>
                <w:szCs w:val="24"/>
              </w:rPr>
            </w:pPr>
            <w:r w:rsidRPr="003D6B45">
              <w:rPr>
                <w:sz w:val="24"/>
                <w:szCs w:val="24"/>
              </w:rPr>
              <w:t>FLI-200</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1.4</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0.8</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-13</w:t>
            </w:r>
          </w:p>
        </w:tc>
        <w:tc>
          <w:tcPr>
            <w:tcW w:w="939"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p>
        </w:tc>
        <w:tc>
          <w:tcPr>
            <w:tcW w:w="2505"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0.</w:t>
            </w:r>
            <w:r>
              <w:rPr>
                <w:sz w:val="24"/>
                <w:szCs w:val="24"/>
              </w:rPr>
              <w:t>10</w:t>
            </w:r>
          </w:p>
        </w:tc>
        <w:tc>
          <w:tcPr>
            <w:tcW w:w="1017"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19.3</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20.6</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15" w:type="dxa"/>
              <w:left w:w="108" w:type="dxa"/>
              <w:bottom w:w="0" w:type="dxa"/>
              <w:right w:w="108" w:type="dxa"/>
            </w:tcMar>
            <w:vAlign w:val="bottom"/>
            <w:hideMark/>
          </w:tcPr>
          <w:p w:rsidR="003D6B45" w:rsidRPr="003D6B45" w:rsidRDefault="003D6B45" w:rsidP="003D6B45">
            <w:pPr>
              <w:spacing w:line="360" w:lineRule="auto"/>
              <w:jc w:val="right"/>
              <w:rPr>
                <w:sz w:val="24"/>
                <w:szCs w:val="24"/>
              </w:rPr>
            </w:pPr>
            <w:r w:rsidRPr="003D6B45">
              <w:rPr>
                <w:sz w:val="24"/>
                <w:szCs w:val="24"/>
              </w:rPr>
              <w:t>54</w:t>
            </w:r>
          </w:p>
        </w:tc>
      </w:tr>
      <w:tr w:rsidR="003D6B45" w:rsidRPr="003D6B45" w:rsidTr="003D6B45">
        <w:trPr>
          <w:trHeight w:val="515"/>
        </w:trPr>
        <w:tc>
          <w:tcPr>
            <w:tcW w:w="14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rPr>
                <w:sz w:val="24"/>
                <w:szCs w:val="24"/>
              </w:rPr>
            </w:pPr>
            <w:r w:rsidRPr="003D6B45">
              <w:rPr>
                <w:sz w:val="24"/>
                <w:szCs w:val="24"/>
              </w:rPr>
              <w:t>FLI-100</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jc w:val="right"/>
              <w:rPr>
                <w:sz w:val="24"/>
                <w:szCs w:val="24"/>
              </w:rPr>
            </w:pPr>
            <w:r w:rsidRPr="003D6B45">
              <w:rPr>
                <w:sz w:val="24"/>
                <w:szCs w:val="24"/>
              </w:rPr>
              <w:t xml:space="preserve"> 0.7</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jc w:val="right"/>
              <w:rPr>
                <w:sz w:val="24"/>
                <w:szCs w:val="24"/>
              </w:rPr>
            </w:pPr>
            <w:r w:rsidRPr="003D6B45">
              <w:rPr>
                <w:sz w:val="24"/>
                <w:szCs w:val="24"/>
              </w:rPr>
              <w:t>0.8</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jc w:val="right"/>
              <w:rPr>
                <w:sz w:val="24"/>
                <w:szCs w:val="24"/>
              </w:rPr>
            </w:pPr>
            <w:r w:rsidRPr="003D6B45">
              <w:rPr>
                <w:sz w:val="24"/>
                <w:szCs w:val="24"/>
              </w:rPr>
              <w:t>-17</w:t>
            </w:r>
          </w:p>
        </w:tc>
        <w:tc>
          <w:tcPr>
            <w:tcW w:w="939"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jc w:val="right"/>
              <w:rPr>
                <w:sz w:val="24"/>
                <w:szCs w:val="24"/>
              </w:rPr>
            </w:pPr>
          </w:p>
        </w:tc>
        <w:tc>
          <w:tcPr>
            <w:tcW w:w="2505"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jc w:val="right"/>
              <w:rPr>
                <w:sz w:val="24"/>
                <w:szCs w:val="24"/>
              </w:rPr>
            </w:pPr>
            <w:r>
              <w:rPr>
                <w:sz w:val="24"/>
                <w:szCs w:val="24"/>
              </w:rPr>
              <w:t>0.12</w:t>
            </w:r>
          </w:p>
        </w:tc>
        <w:tc>
          <w:tcPr>
            <w:tcW w:w="1017"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jc w:val="right"/>
              <w:rPr>
                <w:sz w:val="24"/>
                <w:szCs w:val="24"/>
              </w:rPr>
            </w:pP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jc w:val="right"/>
              <w:rPr>
                <w:sz w:val="24"/>
                <w:szCs w:val="24"/>
              </w:rPr>
            </w:pPr>
            <w:r w:rsidRPr="003D6B45">
              <w:rPr>
                <w:sz w:val="24"/>
                <w:szCs w:val="24"/>
              </w:rPr>
              <w:t>17.2</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jc w:val="right"/>
              <w:rPr>
                <w:sz w:val="24"/>
                <w:szCs w:val="24"/>
              </w:rPr>
            </w:pPr>
            <w:r w:rsidRPr="003D6B45">
              <w:rPr>
                <w:sz w:val="24"/>
                <w:szCs w:val="24"/>
              </w:rPr>
              <w:t>19.0</w:t>
            </w: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jc w:val="right"/>
              <w:rPr>
                <w:sz w:val="24"/>
                <w:szCs w:val="24"/>
              </w:rPr>
            </w:pPr>
            <w:r w:rsidRPr="003D6B45">
              <w:rPr>
                <w:sz w:val="24"/>
                <w:szCs w:val="24"/>
              </w:rPr>
              <w:t>48</w:t>
            </w:r>
          </w:p>
        </w:tc>
      </w:tr>
      <w:tr w:rsidR="003D6B45" w:rsidRPr="003D6B45" w:rsidTr="003D6B45">
        <w:trPr>
          <w:trHeight w:val="223"/>
        </w:trPr>
        <w:tc>
          <w:tcPr>
            <w:tcW w:w="14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rPr>
                <w:sz w:val="24"/>
                <w:szCs w:val="24"/>
              </w:rPr>
            </w:pP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rPr>
                <w:sz w:val="24"/>
                <w:szCs w:val="24"/>
              </w:rPr>
            </w:pP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rPr>
                <w:sz w:val="24"/>
                <w:szCs w:val="24"/>
              </w:rPr>
            </w:pP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rPr>
                <w:sz w:val="24"/>
                <w:szCs w:val="24"/>
              </w:rPr>
            </w:pPr>
          </w:p>
        </w:tc>
        <w:tc>
          <w:tcPr>
            <w:tcW w:w="939"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rPr>
                <w:sz w:val="24"/>
                <w:szCs w:val="24"/>
              </w:rPr>
            </w:pPr>
          </w:p>
        </w:tc>
        <w:tc>
          <w:tcPr>
            <w:tcW w:w="2505"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rPr>
                <w:sz w:val="24"/>
                <w:szCs w:val="24"/>
              </w:rPr>
            </w:pPr>
          </w:p>
        </w:tc>
        <w:tc>
          <w:tcPr>
            <w:tcW w:w="1017"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rPr>
                <w:sz w:val="24"/>
                <w:szCs w:val="24"/>
              </w:rPr>
            </w:pP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rPr>
                <w:sz w:val="24"/>
                <w:szCs w:val="24"/>
              </w:rPr>
            </w:pP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rPr>
                <w:sz w:val="24"/>
                <w:szCs w:val="24"/>
              </w:rPr>
            </w:pPr>
          </w:p>
        </w:tc>
        <w:tc>
          <w:tcPr>
            <w:tcW w:w="1488"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hideMark/>
          </w:tcPr>
          <w:p w:rsidR="003D6B45" w:rsidRPr="003D6B45" w:rsidRDefault="003D6B45" w:rsidP="003D6B45">
            <w:pPr>
              <w:spacing w:line="360" w:lineRule="auto"/>
              <w:rPr>
                <w:sz w:val="24"/>
                <w:szCs w:val="24"/>
              </w:rPr>
            </w:pPr>
          </w:p>
        </w:tc>
      </w:tr>
    </w:tbl>
    <w:p w:rsidR="003D6B45" w:rsidRDefault="003D6B45" w:rsidP="003D6B45">
      <w:pPr>
        <w:spacing w:line="360" w:lineRule="auto"/>
        <w:rPr>
          <w:sz w:val="24"/>
          <w:szCs w:val="24"/>
        </w:rPr>
      </w:pPr>
    </w:p>
    <w:p w:rsidR="003D6B45" w:rsidRPr="003D6B45" w:rsidRDefault="003D6B45" w:rsidP="003D6B45">
      <w:pPr>
        <w:spacing w:line="360" w:lineRule="auto"/>
      </w:pPr>
      <w:r>
        <w:rPr>
          <w:sz w:val="24"/>
          <w:szCs w:val="24"/>
        </w:rPr>
        <w:t>Tab</w:t>
      </w:r>
      <w:r>
        <w:rPr>
          <w:sz w:val="24"/>
          <w:szCs w:val="24"/>
        </w:rPr>
        <w:t>le 2</w:t>
      </w:r>
      <w:r>
        <w:rPr>
          <w:sz w:val="24"/>
          <w:szCs w:val="24"/>
        </w:rPr>
        <w:t xml:space="preserve">: </w:t>
      </w:r>
      <w:r w:rsidRPr="003D6B45">
        <w:t xml:space="preserve">Accuracy: F-ratio for O/E scores by PSA region; </w:t>
      </w:r>
      <w:proofErr w:type="spellStart"/>
      <w:r w:rsidRPr="003D6B45">
        <w:t>VarExp</w:t>
      </w:r>
      <w:proofErr w:type="spellEnd"/>
      <w:r w:rsidRPr="003D6B45">
        <w:t xml:space="preserve"> is from random forest model regressing reference scores against natural gradient variables (i.e., geology, watershed size, max elevation, etc.)</w:t>
      </w:r>
    </w:p>
    <w:p w:rsidR="003D6B45" w:rsidRPr="003D6B45" w:rsidRDefault="003D6B45" w:rsidP="003D6B45">
      <w:pPr>
        <w:spacing w:line="360" w:lineRule="auto"/>
        <w:rPr>
          <w:sz w:val="24"/>
          <w:szCs w:val="24"/>
        </w:rPr>
      </w:pPr>
      <w:r w:rsidRPr="003D6B45">
        <w:rPr>
          <w:sz w:val="24"/>
          <w:szCs w:val="24"/>
        </w:rPr>
        <w:t xml:space="preserve">Precision: </w:t>
      </w:r>
      <w:r>
        <w:rPr>
          <w:sz w:val="24"/>
          <w:szCs w:val="24"/>
        </w:rPr>
        <w:t>Pooled SD</w:t>
      </w:r>
      <w:r w:rsidR="002773F8">
        <w:rPr>
          <w:sz w:val="24"/>
          <w:szCs w:val="24"/>
        </w:rPr>
        <w:t xml:space="preserve"> of repeatedly sampled sites</w:t>
      </w:r>
    </w:p>
    <w:p w:rsidR="003D6B45" w:rsidRPr="003D6B45" w:rsidRDefault="003D6B45" w:rsidP="003D6B45">
      <w:pPr>
        <w:spacing w:line="360" w:lineRule="auto"/>
        <w:rPr>
          <w:sz w:val="24"/>
          <w:szCs w:val="24"/>
        </w:rPr>
      </w:pPr>
      <w:r w:rsidRPr="003D6B45">
        <w:rPr>
          <w:sz w:val="24"/>
          <w:szCs w:val="24"/>
        </w:rPr>
        <w:t xml:space="preserve">Sensitivity: T-value for comparison between reference and stressed sites; </w:t>
      </w:r>
      <w:proofErr w:type="spellStart"/>
      <w:r w:rsidRPr="003D6B45">
        <w:rPr>
          <w:sz w:val="24"/>
          <w:szCs w:val="24"/>
        </w:rPr>
        <w:t>VarExp</w:t>
      </w:r>
      <w:proofErr w:type="spellEnd"/>
      <w:r w:rsidRPr="003D6B45">
        <w:rPr>
          <w:sz w:val="24"/>
          <w:szCs w:val="24"/>
        </w:rPr>
        <w:t xml:space="preserve"> is from random forest model regressing scores against stressor gradient variables (i.e., %urban, %agriculture, road density, etc.)</w:t>
      </w:r>
    </w:p>
    <w:p w:rsidR="003D6B45" w:rsidRDefault="003D6B45" w:rsidP="003D6B45">
      <w:pPr>
        <w:spacing w:line="360" w:lineRule="auto"/>
        <w:rPr>
          <w:sz w:val="24"/>
          <w:szCs w:val="24"/>
        </w:rPr>
        <w:sectPr w:rsidR="003D6B45" w:rsidSect="00BB26E4">
          <w:pgSz w:w="15840" w:h="12240" w:orient="landscape"/>
          <w:pgMar w:top="1440" w:right="1440" w:bottom="1440" w:left="1440" w:header="720" w:footer="720" w:gutter="0"/>
          <w:cols w:space="720"/>
          <w:docGrid w:linePitch="360"/>
        </w:sectPr>
      </w:pPr>
    </w:p>
    <w:p w:rsidR="005F7458" w:rsidRDefault="005F7458" w:rsidP="001E3351">
      <w:pPr>
        <w:spacing w:line="360" w:lineRule="auto"/>
        <w:rPr>
          <w:sz w:val="24"/>
          <w:szCs w:val="24"/>
        </w:rPr>
      </w:pPr>
      <w:r w:rsidRPr="005F7458">
        <w:rPr>
          <w:sz w:val="24"/>
          <w:szCs w:val="24"/>
        </w:rPr>
        <w:lastRenderedPageBreak/>
        <w:drawing>
          <wp:inline distT="0" distB="0" distL="0" distR="0" wp14:anchorId="56562782" wp14:editId="3E8B8CFB">
            <wp:extent cx="5943600" cy="46882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943600" cy="4688205"/>
                    </a:xfrm>
                    <a:prstGeom prst="rect">
                      <a:avLst/>
                    </a:prstGeom>
                  </pic:spPr>
                </pic:pic>
              </a:graphicData>
            </a:graphic>
          </wp:inline>
        </w:drawing>
      </w:r>
    </w:p>
    <w:p w:rsidR="005F7458" w:rsidRDefault="005F7458" w:rsidP="001E3351">
      <w:pPr>
        <w:spacing w:line="360" w:lineRule="auto"/>
        <w:rPr>
          <w:sz w:val="24"/>
          <w:szCs w:val="24"/>
        </w:rPr>
      </w:pPr>
    </w:p>
    <w:p w:rsidR="005F7458" w:rsidRDefault="005F7458" w:rsidP="001E3351">
      <w:pPr>
        <w:spacing w:line="360" w:lineRule="auto"/>
        <w:rPr>
          <w:sz w:val="24"/>
          <w:szCs w:val="24"/>
        </w:rPr>
      </w:pPr>
      <w:r>
        <w:rPr>
          <w:sz w:val="24"/>
          <w:szCs w:val="24"/>
        </w:rPr>
        <w:t>Figure 1: Residual FLI scores for reference condition sites against slope (as percent gradient).</w:t>
      </w:r>
    </w:p>
    <w:p w:rsidR="005F7458" w:rsidRDefault="005F7458" w:rsidP="001E3351">
      <w:pPr>
        <w:spacing w:line="360" w:lineRule="auto"/>
        <w:rPr>
          <w:sz w:val="24"/>
          <w:szCs w:val="24"/>
        </w:rPr>
      </w:pPr>
    </w:p>
    <w:p w:rsidR="005F7458" w:rsidRDefault="005F7458" w:rsidP="001E3351">
      <w:pPr>
        <w:spacing w:line="360" w:lineRule="auto"/>
        <w:rPr>
          <w:sz w:val="24"/>
          <w:szCs w:val="24"/>
        </w:rPr>
      </w:pPr>
    </w:p>
    <w:p w:rsidR="005F7458" w:rsidRDefault="005F7458" w:rsidP="001E3351">
      <w:pPr>
        <w:spacing w:line="360" w:lineRule="auto"/>
        <w:rPr>
          <w:sz w:val="24"/>
          <w:szCs w:val="24"/>
        </w:rPr>
      </w:pPr>
    </w:p>
    <w:p w:rsidR="005F7458" w:rsidRDefault="005F7458" w:rsidP="001E3351">
      <w:pPr>
        <w:spacing w:line="360" w:lineRule="auto"/>
        <w:rPr>
          <w:sz w:val="24"/>
          <w:szCs w:val="24"/>
        </w:rPr>
      </w:pPr>
    </w:p>
    <w:p w:rsidR="005F7458" w:rsidRDefault="005F7458" w:rsidP="001E3351">
      <w:pPr>
        <w:spacing w:line="360" w:lineRule="auto"/>
        <w:rPr>
          <w:sz w:val="24"/>
          <w:szCs w:val="24"/>
        </w:rPr>
      </w:pPr>
    </w:p>
    <w:p w:rsidR="005F7458" w:rsidRDefault="005F7458" w:rsidP="001E3351">
      <w:pPr>
        <w:spacing w:line="360" w:lineRule="auto"/>
        <w:rPr>
          <w:sz w:val="24"/>
          <w:szCs w:val="24"/>
        </w:rPr>
      </w:pPr>
    </w:p>
    <w:p w:rsidR="005F7458" w:rsidRDefault="005F7458" w:rsidP="001E3351">
      <w:pPr>
        <w:spacing w:line="360" w:lineRule="auto"/>
        <w:rPr>
          <w:sz w:val="24"/>
          <w:szCs w:val="24"/>
        </w:rPr>
      </w:pPr>
    </w:p>
    <w:p w:rsidR="00F379BF" w:rsidRDefault="002773F8" w:rsidP="001E3351">
      <w:pPr>
        <w:spacing w:line="360" w:lineRule="auto"/>
        <w:rPr>
          <w:sz w:val="24"/>
          <w:szCs w:val="24"/>
        </w:rPr>
      </w:pPr>
      <w:r w:rsidRPr="002773F8">
        <w:rPr>
          <w:sz w:val="24"/>
          <w:szCs w:val="24"/>
        </w:rPr>
        <w:lastRenderedPageBreak/>
        <w:drawing>
          <wp:inline distT="0" distB="0" distL="0" distR="0" wp14:anchorId="5411BF14" wp14:editId="656DFB53">
            <wp:extent cx="5943600" cy="520255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943600" cy="5202555"/>
                    </a:xfrm>
                    <a:prstGeom prst="rect">
                      <a:avLst/>
                    </a:prstGeom>
                  </pic:spPr>
                </pic:pic>
              </a:graphicData>
            </a:graphic>
          </wp:inline>
        </w:drawing>
      </w:r>
    </w:p>
    <w:p w:rsidR="002773F8" w:rsidRDefault="005F7458" w:rsidP="001E3351">
      <w:pPr>
        <w:spacing w:line="360" w:lineRule="auto"/>
        <w:rPr>
          <w:sz w:val="24"/>
          <w:szCs w:val="24"/>
        </w:rPr>
        <w:sectPr w:rsidR="002773F8" w:rsidSect="00F379BF">
          <w:pgSz w:w="12240" w:h="15840"/>
          <w:pgMar w:top="1440" w:right="1440" w:bottom="1440" w:left="1440" w:header="720" w:footer="720" w:gutter="0"/>
          <w:cols w:space="720"/>
          <w:docGrid w:linePitch="360"/>
        </w:sectPr>
      </w:pPr>
      <w:r>
        <w:rPr>
          <w:sz w:val="24"/>
          <w:szCs w:val="24"/>
        </w:rPr>
        <w:t xml:space="preserve">Figure </w:t>
      </w:r>
      <w:r w:rsidR="002E1569">
        <w:rPr>
          <w:sz w:val="24"/>
          <w:szCs w:val="24"/>
        </w:rPr>
        <w:t>2</w:t>
      </w:r>
      <w:r w:rsidR="002773F8">
        <w:rPr>
          <w:sz w:val="24"/>
          <w:szCs w:val="24"/>
        </w:rPr>
        <w:t xml:space="preserve">:  The residual FLI </w:t>
      </w:r>
      <w:proofErr w:type="gramStart"/>
      <w:r w:rsidR="002773F8">
        <w:rPr>
          <w:sz w:val="24"/>
          <w:szCs w:val="24"/>
        </w:rPr>
        <w:t>score  against</w:t>
      </w:r>
      <w:proofErr w:type="gramEnd"/>
      <w:r w:rsidR="002773F8">
        <w:rPr>
          <w:sz w:val="24"/>
          <w:szCs w:val="24"/>
        </w:rPr>
        <w:t xml:space="preserve"> the level of human influence, as defined by the sum percentage of agricultural, urban, and managed land use within a 1 km   radius of the site within its watershed.</w:t>
      </w:r>
    </w:p>
    <w:p w:rsidR="00F379BF" w:rsidRDefault="002E1569" w:rsidP="001E3351">
      <w:pPr>
        <w:spacing w:line="360" w:lineRule="auto"/>
        <w:rPr>
          <w:sz w:val="24"/>
          <w:szCs w:val="24"/>
        </w:rPr>
      </w:pPr>
      <w:r>
        <w:rPr>
          <w:sz w:val="24"/>
          <w:szCs w:val="24"/>
        </w:rPr>
        <w:lastRenderedPageBreak/>
        <w:t>Figure</w:t>
      </w:r>
      <w:r w:rsidRPr="002E1569">
        <w:rPr>
          <w:sz w:val="24"/>
          <w:szCs w:val="24"/>
        </w:rPr>
        <w:drawing>
          <wp:inline distT="0" distB="0" distL="0" distR="0" wp14:anchorId="077B34E1" wp14:editId="224A680E">
            <wp:extent cx="5943600" cy="4944110"/>
            <wp:effectExtent l="0" t="0" r="0" b="889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943600" cy="4944110"/>
                    </a:xfrm>
                    <a:prstGeom prst="rect">
                      <a:avLst/>
                    </a:prstGeom>
                  </pic:spPr>
                </pic:pic>
              </a:graphicData>
            </a:graphic>
          </wp:inline>
        </w:drawing>
      </w:r>
    </w:p>
    <w:p w:rsidR="002E1569" w:rsidRPr="00312C8A" w:rsidRDefault="002E1569" w:rsidP="001E3351">
      <w:pPr>
        <w:spacing w:line="360" w:lineRule="auto"/>
        <w:rPr>
          <w:sz w:val="24"/>
          <w:szCs w:val="24"/>
        </w:rPr>
      </w:pPr>
      <w:r>
        <w:rPr>
          <w:sz w:val="24"/>
          <w:szCs w:val="24"/>
        </w:rPr>
        <w:t>Figure 3: Residual of the FLI vs. CSCI scores.</w:t>
      </w:r>
    </w:p>
    <w:sectPr w:rsidR="002E1569" w:rsidRPr="00312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D0157"/>
    <w:multiLevelType w:val="hybridMultilevel"/>
    <w:tmpl w:val="2196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7B7211"/>
    <w:multiLevelType w:val="hybridMultilevel"/>
    <w:tmpl w:val="9C28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AE1CF8"/>
    <w:multiLevelType w:val="hybridMultilevel"/>
    <w:tmpl w:val="37CC06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4D9"/>
    <w:rsid w:val="001C6971"/>
    <w:rsid w:val="001E3351"/>
    <w:rsid w:val="001E4101"/>
    <w:rsid w:val="002174D9"/>
    <w:rsid w:val="002613E2"/>
    <w:rsid w:val="002773F8"/>
    <w:rsid w:val="002E1569"/>
    <w:rsid w:val="00312C8A"/>
    <w:rsid w:val="003D6B45"/>
    <w:rsid w:val="003E2701"/>
    <w:rsid w:val="005F7458"/>
    <w:rsid w:val="006A3E05"/>
    <w:rsid w:val="006A6A8A"/>
    <w:rsid w:val="006E0546"/>
    <w:rsid w:val="006E2653"/>
    <w:rsid w:val="00705132"/>
    <w:rsid w:val="00711052"/>
    <w:rsid w:val="007F1722"/>
    <w:rsid w:val="008D1CB3"/>
    <w:rsid w:val="009041D1"/>
    <w:rsid w:val="009E7BAF"/>
    <w:rsid w:val="00A123D6"/>
    <w:rsid w:val="00A30F35"/>
    <w:rsid w:val="00BB26E4"/>
    <w:rsid w:val="00DB5D82"/>
    <w:rsid w:val="00E01DD4"/>
    <w:rsid w:val="00EA18D8"/>
    <w:rsid w:val="00EF4B83"/>
    <w:rsid w:val="00F247DC"/>
    <w:rsid w:val="00F25E2A"/>
    <w:rsid w:val="00F3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5AF9B-8343-40D9-85DA-C943C9401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4D9"/>
    <w:pPr>
      <w:ind w:left="720"/>
      <w:contextualSpacing/>
    </w:pPr>
  </w:style>
  <w:style w:type="character" w:styleId="Hyperlink">
    <w:name w:val="Hyperlink"/>
    <w:basedOn w:val="DefaultParagraphFont"/>
    <w:uiPriority w:val="99"/>
    <w:unhideWhenUsed/>
    <w:rsid w:val="002174D9"/>
    <w:rPr>
      <w:color w:val="0563C1" w:themeColor="hyperlink"/>
      <w:u w:val="single"/>
    </w:rPr>
  </w:style>
  <w:style w:type="character" w:customStyle="1" w:styleId="apple-style-span">
    <w:name w:val="apple-style-span"/>
    <w:basedOn w:val="DefaultParagraphFont"/>
    <w:rsid w:val="006A6A8A"/>
  </w:style>
  <w:style w:type="table" w:styleId="TableGrid">
    <w:name w:val="Table Grid"/>
    <w:basedOn w:val="TableNormal"/>
    <w:uiPriority w:val="39"/>
    <w:rsid w:val="00312C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312C8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312C8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12C8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3D6B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47366">
      <w:bodyDiv w:val="1"/>
      <w:marLeft w:val="0"/>
      <w:marRight w:val="0"/>
      <w:marTop w:val="0"/>
      <w:marBottom w:val="0"/>
      <w:divBdr>
        <w:top w:val="none" w:sz="0" w:space="0" w:color="auto"/>
        <w:left w:val="none" w:sz="0" w:space="0" w:color="auto"/>
        <w:bottom w:val="none" w:sz="0" w:space="0" w:color="auto"/>
        <w:right w:val="none" w:sz="0" w:space="0" w:color="auto"/>
      </w:divBdr>
    </w:div>
    <w:div w:id="666370330">
      <w:bodyDiv w:val="1"/>
      <w:marLeft w:val="0"/>
      <w:marRight w:val="0"/>
      <w:marTop w:val="0"/>
      <w:marBottom w:val="0"/>
      <w:divBdr>
        <w:top w:val="none" w:sz="0" w:space="0" w:color="auto"/>
        <w:left w:val="none" w:sz="0" w:space="0" w:color="auto"/>
        <w:bottom w:val="none" w:sz="0" w:space="0" w:color="auto"/>
        <w:right w:val="none" w:sz="0" w:space="0" w:color="auto"/>
      </w:divBdr>
    </w:div>
    <w:div w:id="890842413">
      <w:bodyDiv w:val="1"/>
      <w:marLeft w:val="0"/>
      <w:marRight w:val="0"/>
      <w:marTop w:val="0"/>
      <w:marBottom w:val="0"/>
      <w:divBdr>
        <w:top w:val="none" w:sz="0" w:space="0" w:color="auto"/>
        <w:left w:val="none" w:sz="0" w:space="0" w:color="auto"/>
        <w:bottom w:val="none" w:sz="0" w:space="0" w:color="auto"/>
        <w:right w:val="none" w:sz="0" w:space="0" w:color="auto"/>
      </w:divBdr>
    </w:div>
    <w:div w:id="1205365968">
      <w:bodyDiv w:val="1"/>
      <w:marLeft w:val="0"/>
      <w:marRight w:val="0"/>
      <w:marTop w:val="0"/>
      <w:marBottom w:val="0"/>
      <w:divBdr>
        <w:top w:val="none" w:sz="0" w:space="0" w:color="auto"/>
        <w:left w:val="none" w:sz="0" w:space="0" w:color="auto"/>
        <w:bottom w:val="none" w:sz="0" w:space="0" w:color="auto"/>
        <w:right w:val="none" w:sz="0" w:space="0" w:color="auto"/>
      </w:divBdr>
    </w:div>
    <w:div w:id="197671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engeln/FL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CB4B9-FDC0-403E-B55C-4B9D7B1D7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11</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Engeln</dc:creator>
  <cp:keywords/>
  <dc:description/>
  <cp:lastModifiedBy>Mark Engeln</cp:lastModifiedBy>
  <cp:revision>8</cp:revision>
  <dcterms:created xsi:type="dcterms:W3CDTF">2014-04-22T22:23:00Z</dcterms:created>
  <dcterms:modified xsi:type="dcterms:W3CDTF">2014-04-23T22:53:00Z</dcterms:modified>
</cp:coreProperties>
</file>