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(Index of Physical Integrity, IPI; California Rapid Assessment Method, CRAM) that describe instream (i.e., substrate) condition and stream corridor (i.e., riparian) condition;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no physical or chemical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chemistry and/or physical habitat stressor(s)); and (4)</w:t>
      </w:r>
      <w:r>
        <w:t xml:space="preserve"> </w:t>
      </w:r>
      <w:r>
        <w:t xml:space="preserve">“</w:t>
      </w:r>
      <w:r>
        <w:t xml:space="preserve">impacted by unknown stress</w:t>
      </w:r>
      <w:r>
        <w:t xml:space="preserve">”</w:t>
      </w:r>
      <w:r>
        <w:t xml:space="preserve"> </w:t>
      </w:r>
      <w:r>
        <w:t xml:space="preserve">(i.e., biology is impacted, but chemical and physical stressors are low).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 (IBI;</w:t>
      </w:r>
      <w:r>
        <w:t xml:space="preserve"> </w:t>
      </w:r>
      <w:r>
        <w:t xml:space="preserve">[</w:t>
      </w:r>
      <w:hyperlink w:anchor="ref-Karr81">
        <w:r>
          <w:rPr>
            <w:rStyle w:val="Hyperlink"/>
          </w:rPr>
          <w:t xml:space="preserve">9</w:t>
        </w:r>
      </w:hyperlink>
      <w:r>
        <w:t xml:space="preserve">]</w:t>
      </w:r>
      <w:r>
        <w:t xml:space="preserve">), Observed to Expected ratios (O/E;</w:t>
      </w:r>
      <w:r>
        <w:t xml:space="preserve"> </w:t>
      </w:r>
      <w:r>
        <w:t xml:space="preserve">[</w:t>
      </w:r>
      <w:hyperlink w:anchor="ref-Hawkins00b">
        <w:r>
          <w:rPr>
            <w:rStyle w:val="Hyperlink"/>
          </w:rPr>
          <w:t xml:space="preserve">10</w:t>
        </w:r>
      </w:hyperlink>
      <w:r>
        <w:t xml:space="preserve">]</w:t>
      </w:r>
      <w:r>
        <w:t xml:space="preserve">), and hybrids of the IBI and O/E</w:t>
      </w:r>
      <w:r>
        <w:t xml:space="preserve"> </w:t>
      </w:r>
      <w:r>
        <w:t xml:space="preserve">[</w:t>
      </w:r>
      <w:hyperlink w:anchor="ref-Mazor16">
        <w:r>
          <w:rPr>
            <w:rStyle w:val="Hyperlink"/>
          </w:rPr>
          <w:t xml:space="preserve">11</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12</w:t>
        </w:r>
      </w:hyperlink>
      <w:r>
        <w:t xml:space="preserve">,</w:t>
      </w:r>
      <w:hyperlink w:anchor="ref-Hurley12">
        <w:r>
          <w:rPr>
            <w:rStyle w:val="Hyperlink"/>
          </w:rPr>
          <w:t xml:space="preserve">13</w:t>
        </w:r>
      </w:hyperlink>
      <w:r>
        <w:t xml:space="preserve">]</w:t>
      </w:r>
      <w:r>
        <w:t xml:space="preserve">. Physical habitat assessment tools, which are less common, include the California Rapid Assessment Method</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16</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17</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 This is fundamentally different than treating indicators as equivalent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18</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11</w:t>
        </w:r>
      </w:hyperlink>
      <w:r>
        <w:t xml:space="preserve">,</w:t>
      </w:r>
      <w:hyperlink w:anchor="ref-Therouxip">
        <w:r>
          <w:rPr>
            <w:rStyle w:val="Hyperlink"/>
          </w:rPr>
          <w:t xml:space="preserve">19</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11</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20</w:t>
        </w:r>
      </w:hyperlink>
      <w:r>
        <w:t xml:space="preserve">,</w:t>
      </w:r>
      <w:hyperlink w:anchor="ref-Cao07">
        <w:r>
          <w:rPr>
            <w:rStyle w:val="Hyperlink"/>
          </w:rPr>
          <w:t xml:space="preserve">21</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19</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19</w:t>
        </w:r>
      </w:hyperlink>
      <w:r>
        <w:t xml:space="preserve">,</w:t>
      </w:r>
      <w:hyperlink w:anchor="ref-Mazor15">
        <w:r>
          <w:rPr>
            <w:rStyle w:val="Hyperlink"/>
          </w:rPr>
          <w:t xml:space="preserve">22</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23</w:t>
        </w:r>
      </w:hyperlink>
      <w:r>
        <w:t xml:space="preserve">,</w:t>
      </w:r>
      <w:hyperlink w:anchor="ref-Pan02">
        <w:r>
          <w:rPr>
            <w:rStyle w:val="Hyperlink"/>
          </w:rPr>
          <w:t xml:space="preserve">24</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 We also acknowledge that relationships between stressors and biological condition are complex and our simple models linking the two provide only a simple description in the context of more nuanced relationships. The modelled associations provide the basis for communicating results as a screening tool and are not replacements for more comprehensive causal assessments.</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25</w:t>
        </w:r>
      </w:hyperlink>
      <w:r>
        <w:t xml:space="preserve">]</w:t>
      </w:r>
      <w:r>
        <w:t xml:space="preserve">,</w:t>
      </w:r>
      <w:r>
        <w:t xml:space="preserve"> </w:t>
      </w:r>
      <w:r>
        <w:t xml:space="preserve">[</w:t>
      </w:r>
      <w:hyperlink w:anchor="ref-Walsh05">
        <w:r>
          <w:rPr>
            <w:rStyle w:val="Hyperlink"/>
          </w:rPr>
          <w:t xml:space="preserve">26</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27</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22</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w:t>
      </w:r>
      <w:hyperlink w:anchor="ref-Rehn18">
        <w:r>
          <w:rPr>
            <w:rStyle w:val="Hyperlink"/>
          </w:rPr>
          <w:t xml:space="preserve">16</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Although IPI and CRAM scores can be correlated, the individual metrics that establish each index provide unique information about speciic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10</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16</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w:t>
      </w:r>
      <w:hyperlink w:anchor="ref-Ode07">
        <w:r>
          <w:rPr>
            <w:rStyle w:val="Hyperlink"/>
          </w:rPr>
          <w:t xml:space="preserve">28</w:t>
        </w:r>
      </w:hyperlink>
      <w:r>
        <w:t xml:space="preserve">]</w:t>
      </w:r>
      <w:r>
        <w:t xml:space="preserve">, which are derived from protocols used in national assessments</w:t>
      </w:r>
      <w:r>
        <w:t xml:space="preserve"> </w:t>
      </w:r>
      <w:r>
        <w:t xml:space="preserve">[</w:t>
      </w:r>
      <w:hyperlink w:anchor="ref-USEPA16">
        <w:r>
          <w:rPr>
            <w:rStyle w:val="Hyperlink"/>
          </w:rPr>
          <w:t xml:space="preserve">29</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30</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31</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32</w:t>
        </w:r>
      </w:hyperlink>
      <w:r>
        <w:t xml:space="preserve">,</w:t>
      </w:r>
      <w:hyperlink w:anchor="ref-Venables02">
        <w:r>
          <w:rPr>
            <w:rStyle w:val="Hyperlink"/>
          </w:rPr>
          <w:t xml:space="preserve">33</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combinations of high/low CSCI and high/low ASCI: (1) healthy, (2) impacted for CSCI, (3) impacted for ASCI, and (4) impacted for both.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both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w:t>
      </w:r>
    </w:p>
    <w:p>
      <w:pPr>
        <w:pStyle w:val="BodyText"/>
      </w:pPr>
      <w:r>
        <w:t xml:space="preserve">Thresholds for biological indices that defined altered/unaltered condition for the SQI categories were based on the tenth percentile distribution of scores at reference sites for each index.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22</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a subsample of all sites monitored by the SMC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28</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and fines,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w:t>
      </w:r>
      <w:r>
        <w:t xml:space="preserve"> </w:t>
      </w:r>
      <w:r>
        <w:t xml:space="preserve">[</w:t>
      </w:r>
      <w:hyperlink w:anchor="ref-Dobbie14">
        <w:r>
          <w:rPr>
            <w:rStyle w:val="Hyperlink"/>
          </w:rPr>
          <w:t xml:space="preserve">34</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SQI have been developed, although key differences exist. The Canadian Water Quality Index (CWQI,</w:t>
      </w:r>
      <w:r>
        <w:t xml:space="preserve"> </w:t>
      </w:r>
      <w:r>
        <w:t xml:space="preserve">[</w:t>
      </w:r>
      <w:hyperlink w:anchor="ref-CCME01">
        <w:r>
          <w:rPr>
            <w:rStyle w:val="Hyperlink"/>
          </w:rPr>
          <w:t xml:space="preserve">12</w:t>
        </w:r>
      </w:hyperlink>
      <w:r>
        <w:t xml:space="preserve">]</w:t>
      </w:r>
      <w:r>
        <w:t xml:space="preserve">,</w:t>
      </w:r>
      <w:r>
        <w:t xml:space="preserve"> </w:t>
      </w:r>
      <w:r>
        <w:t xml:space="preserve">[</w:t>
      </w:r>
      <w:hyperlink w:anchor="ref-Hurley12">
        <w:r>
          <w:rPr>
            <w:rStyle w:val="Hyperlink"/>
          </w:rPr>
          <w:t xml:space="preserve">13</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22</w:t>
        </w:r>
      </w:hyperlink>
      <w:r>
        <w:t xml:space="preserve">]</w:t>
      </w:r>
      <w:r>
        <w:t xml:space="preserve">;</w:t>
      </w:r>
      <w:r>
        <w:t xml:space="preserve"> </w:t>
      </w:r>
      <w:r>
        <w:t xml:space="preserve">[</w:t>
      </w:r>
      <w:hyperlink w:anchor="ref-USEPA16">
        <w:r>
          <w:rPr>
            <w:rStyle w:val="Hyperlink"/>
          </w:rPr>
          <w:t xml:space="preserve">29</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35</w:t>
        </w:r>
      </w:hyperlink>
      <w:r>
        <w:t xml:space="preserve">,</w:t>
      </w:r>
      <w:hyperlink w:anchor="ref-RDCT18">
        <w:r>
          <w:rPr>
            <w:rStyle w:val="Hyperlink"/>
          </w:rPr>
          <w:t xml:space="preserve">36</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37</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examples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38</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37</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CSCI: California Stream Condition Index, ASCI: Algal Stream Condition Index</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7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7</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and fines</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5"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9" w:name="ref-Hawkins00b"/>
    <w:p>
      <w:pPr>
        <w:pStyle w:val="Bibliography"/>
      </w:pPr>
      <w:r>
        <w:t xml:space="preserve">[10] C.P. Hawkins, R.H. Norris, J.N. Hogue, J.W. Feminella, Development and evaluation of predictive models for measuring the biological integrity of streams, Ecol. Appl. 10 (2000) 1456–1477. doi:</w:t>
      </w:r>
      <w:hyperlink r:id="rId78">
        <w:r>
          <w:rPr>
            <w:rStyle w:val="Hyperlink"/>
          </w:rPr>
          <w:t xml:space="preserve">10.1890/1051-0761(2000)010[1456:DAEOPM]2.0.CO;2</w:t>
        </w:r>
      </w:hyperlink>
      <w:r>
        <w:t xml:space="preserve">.</w:t>
      </w:r>
    </w:p>
    <w:bookmarkEnd w:id="79"/>
    <w:bookmarkStart w:id="80" w:name="ref-Mazor16"/>
    <w:p>
      <w:pPr>
        <w:pStyle w:val="Bibliography"/>
      </w:pPr>
      <w:r>
        <w:t xml:space="preserve">[11] R.D. Mazor, A.C. Rehn, P.R. Ode, M. Engeln, K.C. Schiff, E.D. Stein, D.J. Gillett, D.B. Herbst, C.P. Hawkins, Bioassessment in complex environments: Designing an index for consistent meaning in different settings, Freshw. Sci. 35 (2016) 249–271.</w:t>
      </w:r>
    </w:p>
    <w:bookmarkEnd w:id="80"/>
    <w:bookmarkStart w:id="81" w:name="ref-CCME01"/>
    <w:p>
      <w:pPr>
        <w:pStyle w:val="Bibliography"/>
      </w:pPr>
      <w:r>
        <w:t xml:space="preserve">[12]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1"/>
    <w:bookmarkStart w:id="83" w:name="ref-Hurley12"/>
    <w:p>
      <w:pPr>
        <w:pStyle w:val="Bibliography"/>
      </w:pPr>
      <w:r>
        <w:t xml:space="preserve">[13] T. Hurley, R. Sadiq, A. Mazumder, Adaptation and evaluation of the Canadian Council of Ministers of the Environment Water Quality Index (CCME WQI) for use as an effective tool to characterize drinking source water quality, Water Res. 46 (2012) 3544–3552. doi:</w:t>
      </w:r>
      <w:hyperlink r:id="rId82">
        <w:r>
          <w:rPr>
            <w:rStyle w:val="Hyperlink"/>
          </w:rPr>
          <w:t xml:space="preserve">10.1016/j.watres.2012.03.061</w:t>
        </w:r>
      </w:hyperlink>
      <w:r>
        <w:t xml:space="preserve">.</w:t>
      </w:r>
    </w:p>
    <w:bookmarkEnd w:id="83"/>
    <w:bookmarkStart w:id="85" w:name="ref-Collins07"/>
    <w:p>
      <w:pPr>
        <w:pStyle w:val="Bibliography"/>
      </w:pPr>
      <w:r>
        <w:t xml:space="preserve">[14] J.N. Collins, E.D. Stein, M. Sutula, R. Clark, A.E. Fetscher, L. Grenier, C. Grosso, A. Wiskind, California Rapid Assessment Method (CRAM) for wetlands, ver.5.0., 2007.</w:t>
      </w:r>
      <w:r>
        <w:t xml:space="preserve"> </w:t>
      </w:r>
      <w:hyperlink r:id="rId84">
        <w:r>
          <w:rPr>
            <w:rStyle w:val="Hyperlink"/>
          </w:rPr>
          <w:t xml:space="preserve">\url{http://www.cramwetlands.org/documents/}</w:t>
        </w:r>
      </w:hyperlink>
      <w:r>
        <w:t xml:space="preserve">.</w:t>
      </w:r>
    </w:p>
    <w:bookmarkEnd w:id="85"/>
    <w:bookmarkStart w:id="87" w:name="ref-Solek11"/>
    <w:p>
      <w:pPr>
        <w:pStyle w:val="Bibliography"/>
      </w:pPr>
      <w:r>
        <w:t xml:space="preserve">[15] C.W. Solek, E.D. Stein, M. Sutula, Demonstration of an integrated watershed assessment using a three-tiered assessment framework, Wetl. Ecol. Manag. 19 (2011) 459–474. doi:</w:t>
      </w:r>
      <w:hyperlink r:id="rId86">
        <w:r>
          <w:rPr>
            <w:rStyle w:val="Hyperlink"/>
          </w:rPr>
          <w:t xml:space="preserve">10.1007/s11273-011-9230-6</w:t>
        </w:r>
      </w:hyperlink>
      <w:r>
        <w:t xml:space="preserve">.</w:t>
      </w:r>
    </w:p>
    <w:bookmarkEnd w:id="87"/>
    <w:bookmarkStart w:id="89" w:name="ref-Rehn18"/>
    <w:p>
      <w:pPr>
        <w:pStyle w:val="Bibliography"/>
      </w:pPr>
      <w:r>
        <w:t xml:space="preserve">[16]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88">
        <w:r>
          <w:rPr>
            <w:rStyle w:val="Hyperlink"/>
          </w:rPr>
          <w:t xml:space="preserve">https://www.waterboards.ca.gov/water_issues/programs/swamp/bioassessment/docs/physical_habitat_index_technical_memo.pdf</w:t>
        </w:r>
      </w:hyperlink>
      <w:r>
        <w:t xml:space="preserve">.</w:t>
      </w:r>
    </w:p>
    <w:bookmarkEnd w:id="89"/>
    <w:bookmarkStart w:id="91" w:name="ref-Bay12"/>
    <w:p>
      <w:pPr>
        <w:pStyle w:val="Bibliography"/>
      </w:pPr>
      <w:r>
        <w:t xml:space="preserve">[17] S.M. Bay, S.B. Weisberg, Framework for interpreting sediment quality triad data, Integr. Environ. Assess. Manag. 8 (2012) 589–596. doi:</w:t>
      </w:r>
      <w:hyperlink r:id="rId90">
        <w:r>
          <w:rPr>
            <w:rStyle w:val="Hyperlink"/>
          </w:rPr>
          <w:t xml:space="preserve">10.1002/ieam.118</w:t>
        </w:r>
      </w:hyperlink>
      <w:r>
        <w:t xml:space="preserve">.</w:t>
      </w:r>
    </w:p>
    <w:bookmarkEnd w:id="91"/>
    <w:bookmarkStart w:id="92" w:name="ref-Karr99"/>
    <w:p>
      <w:pPr>
        <w:pStyle w:val="Bibliography"/>
      </w:pPr>
      <w:r>
        <w:t xml:space="preserve">[18] J.R. Karr, E.W. Chu, Restoring life in running waters: Better biological monitoring, Island Press, Washington, DC, 1999.</w:t>
      </w:r>
    </w:p>
    <w:bookmarkEnd w:id="92"/>
    <w:bookmarkStart w:id="93" w:name="ref-Therouxip"/>
    <w:p>
      <w:pPr>
        <w:pStyle w:val="Bibliography"/>
      </w:pPr>
      <w:r>
        <w:t xml:space="preserve">[19] S. Theroux, R.D. Mazor, M.W. Beck, P. Ode, M. Sutula, E.D. Stein, A non-predictive algal index for complex environments, Ecol. Indic. (n.d.).</w:t>
      </w:r>
    </w:p>
    <w:bookmarkEnd w:id="93"/>
    <w:bookmarkStart w:id="95" w:name="ref-Moss87"/>
    <w:p>
      <w:pPr>
        <w:pStyle w:val="Bibliography"/>
      </w:pPr>
      <w:r>
        <w:t xml:space="preserve">[20] D. Moss, M.T. Furse, J.F. Wright, P.D. Armitage, The prediction of the macro-invertebrate fauna of unpolluted running-water sites in Great Britain using environmental data, Freshwater Biology. 17 (1987) 41–52. doi:</w:t>
      </w:r>
      <w:hyperlink r:id="rId94">
        <w:r>
          <w:rPr>
            <w:rStyle w:val="Hyperlink"/>
          </w:rPr>
          <w:t xml:space="preserve">10.1111/j.1365-2427.1987.tb01027.x</w:t>
        </w:r>
      </w:hyperlink>
      <w:r>
        <w:t xml:space="preserve">.</w:t>
      </w:r>
    </w:p>
    <w:bookmarkEnd w:id="95"/>
    <w:bookmarkStart w:id="97" w:name="ref-Cao07"/>
    <w:p>
      <w:pPr>
        <w:pStyle w:val="Bibliography"/>
      </w:pPr>
      <w:r>
        <w:t xml:space="preserve">[21] Y. Cao, C.P. Hawkins, J. Olson, M.A. Kosterman, Modeling natural environmental gradients improves the accuracy and precision of diatom-based indicators, J. North Am. Benthol. Soc. 26 (2007) 566–585. doi:</w:t>
      </w:r>
      <w:hyperlink r:id="rId96">
        <w:r>
          <w:rPr>
            <w:rStyle w:val="Hyperlink"/>
          </w:rPr>
          <w:t xml:space="preserve">10.1899/06-078.1</w:t>
        </w:r>
      </w:hyperlink>
      <w:r>
        <w:t xml:space="preserve">.</w:t>
      </w:r>
    </w:p>
    <w:bookmarkEnd w:id="97"/>
    <w:bookmarkStart w:id="98" w:name="ref-Mazor15"/>
    <w:p>
      <w:pPr>
        <w:pStyle w:val="Bibliography"/>
      </w:pPr>
      <w:r>
        <w:t xml:space="preserve">[22] R.D. Mazor, Bioassessment of perennial streams in Southern California: A report on the first five years of the Stormwater Monitoring Coalition’s regional stream survey, Southern California Coastal Water Research Project, Costa Mesa, California, 2015.</w:t>
      </w:r>
    </w:p>
    <w:bookmarkEnd w:id="98"/>
    <w:bookmarkStart w:id="100" w:name="ref-Richards97"/>
    <w:p>
      <w:pPr>
        <w:pStyle w:val="Bibliography"/>
      </w:pPr>
      <w:r>
        <w:t xml:space="preserve">[23] C. Richards, R. Haro, L. Johnson, G. Host, Catchment and reach-scale properties as indicators of macroinvertebrate species traits, Freshw. Biology. 37 (1997) 219–230. doi:</w:t>
      </w:r>
      <w:hyperlink r:id="rId99">
        <w:r>
          <w:rPr>
            <w:rStyle w:val="Hyperlink"/>
          </w:rPr>
          <w:t xml:space="preserve">10.1046/j.1365-2427.1997.d01-540.x</w:t>
        </w:r>
      </w:hyperlink>
      <w:r>
        <w:t xml:space="preserve">.</w:t>
      </w:r>
    </w:p>
    <w:bookmarkEnd w:id="100"/>
    <w:bookmarkStart w:id="102" w:name="ref-Pan02"/>
    <w:p>
      <w:pPr>
        <w:pStyle w:val="Bibliography"/>
      </w:pPr>
      <w:r>
        <w:t xml:space="preserve">[24] Y. Pan, R.J. Stevenson, B.H. Hill, P.R. Kaufmann, A.T. Herlihy, Spatial patterns and ecological determinants of benthic algal assemblages in mid-Atlantic streams, USA, J. Phycol. 35 (2002) 460–468. doi:</w:t>
      </w:r>
      <w:hyperlink r:id="rId101">
        <w:r>
          <w:rPr>
            <w:rStyle w:val="Hyperlink"/>
          </w:rPr>
          <w:t xml:space="preserve">10.1046/j.1529-8817.1999.3530460.x</w:t>
        </w:r>
      </w:hyperlink>
      <w:r>
        <w:t xml:space="preserve">.</w:t>
      </w:r>
    </w:p>
    <w:bookmarkEnd w:id="102"/>
    <w:bookmarkStart w:id="104" w:name="ref-Dodds02"/>
    <w:p>
      <w:pPr>
        <w:pStyle w:val="Bibliography"/>
      </w:pPr>
      <w:r>
        <w:t xml:space="preserve">[25] W.K. Dodds, V.H. Smith, K. Lohman, Nitrogen and phosphorus relationships to benthic algal biomass in temperate streams, Can. J. Fish. Aquat. Sci. 59 (2002) 865–874. doi:</w:t>
      </w:r>
      <w:hyperlink r:id="rId103">
        <w:r>
          <w:rPr>
            <w:rStyle w:val="Hyperlink"/>
          </w:rPr>
          <w:t xml:space="preserve">10.1139/f02-063</w:t>
        </w:r>
      </w:hyperlink>
      <w:r>
        <w:t xml:space="preserve">.</w:t>
      </w:r>
    </w:p>
    <w:bookmarkEnd w:id="104"/>
    <w:bookmarkStart w:id="106" w:name="ref-Walsh05"/>
    <w:p>
      <w:pPr>
        <w:pStyle w:val="Bibliography"/>
      </w:pPr>
      <w:r>
        <w:t xml:space="preserve">[26] C.J. Walsh, A.H. Roy, J. w. Feminella, P.D. Cottingham, P.M. Groffman, R.P. Morgan, The urban stream syndrome: Current knowledge and the search for a cure, J. North Am. Benthol. Soc. 24 (2005) 706–723. doi:</w:t>
      </w:r>
      <w:hyperlink r:id="rId105">
        <w:r>
          <w:rPr>
            <w:rStyle w:val="Hyperlink"/>
          </w:rPr>
          <w:t xml:space="preserve">10.1899/04-028.1</w:t>
        </w:r>
      </w:hyperlink>
      <w:r>
        <w:t xml:space="preserve">.</w:t>
      </w:r>
    </w:p>
    <w:bookmarkEnd w:id="106"/>
    <w:bookmarkStart w:id="108" w:name="ref-Dodds16"/>
    <w:p>
      <w:pPr>
        <w:pStyle w:val="Bibliography"/>
      </w:pPr>
      <w:r>
        <w:t xml:space="preserve">[27] W.K. Dodds, V.H. Smith, Nitrogen, phosphorus, and eutrophication in streams, Inland Waters. 6 (2016) 155–164. doi:</w:t>
      </w:r>
      <w:hyperlink r:id="rId107">
        <w:r>
          <w:rPr>
            <w:rStyle w:val="Hyperlink"/>
          </w:rPr>
          <w:t xml:space="preserve">10.5268/IW-6.2.909</w:t>
        </w:r>
      </w:hyperlink>
      <w:r>
        <w:t xml:space="preserve">.</w:t>
      </w:r>
    </w:p>
    <w:bookmarkEnd w:id="108"/>
    <w:bookmarkStart w:id="109" w:name="ref-Ode07"/>
    <w:p>
      <w:pPr>
        <w:pStyle w:val="Bibliography"/>
      </w:pPr>
      <w:r>
        <w:t xml:space="preserve">[28] P.R. Ode, Standard operating procedures for collecting benthic macroinvertebrate samples and associated physical and chemical data for ambient bioassessment in California, (2007).</w:t>
      </w:r>
    </w:p>
    <w:bookmarkEnd w:id="109"/>
    <w:bookmarkStart w:id="110" w:name="ref-USEPA16"/>
    <w:p>
      <w:pPr>
        <w:pStyle w:val="Bibliography"/>
      </w:pPr>
      <w:r>
        <w:t xml:space="preserve">[29] USEPA (US Environmental Protection Agency), National rivers and streams assessment 2008-2009: A collaborative survey, Washington, DC, 2016.</w:t>
      </w:r>
    </w:p>
    <w:bookmarkEnd w:id="110"/>
    <w:bookmarkStart w:id="111" w:name="ref-Fox11"/>
    <w:p>
      <w:pPr>
        <w:pStyle w:val="Bibliography"/>
      </w:pPr>
      <w:r>
        <w:t xml:space="preserve">[30] J. Fox, S. Weisberg, An R companion to applied regression, SAGE Publications Inc., Thousand Oaks, California, 2011.</w:t>
      </w:r>
    </w:p>
    <w:bookmarkEnd w:id="111"/>
    <w:bookmarkStart w:id="112" w:name="ref-Zuur07"/>
    <w:p>
      <w:pPr>
        <w:pStyle w:val="Bibliography"/>
      </w:pPr>
      <w:r>
        <w:t xml:space="preserve">[31] A.F. Zuur, E.N. Ieno, G.M. Smith, Analysing ecological data, Springer-Verlag, New York, New York, 2007.</w:t>
      </w:r>
    </w:p>
    <w:bookmarkEnd w:id="112"/>
    <w:bookmarkStart w:id="113" w:name="ref-Akaike73"/>
    <w:p>
      <w:pPr>
        <w:pStyle w:val="Bibliography"/>
      </w:pPr>
      <w:r>
        <w:t xml:space="preserve">[32] H. Akaike, Information theory and an extension of the maximum likelihood principle, in: B.N. Petrov, F. Csaki (Eds.), Second International Symposium on Information Theory, Akademiai Kiado, Budapest, 1973: pp. 267–281.</w:t>
      </w:r>
    </w:p>
    <w:bookmarkEnd w:id="113"/>
    <w:bookmarkStart w:id="115" w:name="ref-Venables02"/>
    <w:p>
      <w:pPr>
        <w:pStyle w:val="Bibliography"/>
      </w:pPr>
      <w:r>
        <w:t xml:space="preserve">[33] W.N. Venables, B.D. Ripley, Modern applied statistics with S, Fourth, Springer-Verlag, New York, New York, 2002.</w:t>
      </w:r>
      <w:r>
        <w:t xml:space="preserve"> </w:t>
      </w:r>
      <w:hyperlink r:id="rId114">
        <w:r>
          <w:rPr>
            <w:rStyle w:val="Hyperlink"/>
          </w:rPr>
          <w:t xml:space="preserve">http://www.stats.ox.ac.uk/pub/MASS4</w:t>
        </w:r>
      </w:hyperlink>
      <w:r>
        <w:t xml:space="preserve">.</w:t>
      </w:r>
    </w:p>
    <w:bookmarkEnd w:id="115"/>
    <w:bookmarkStart w:id="117" w:name="ref-Dobbie14"/>
    <w:p>
      <w:pPr>
        <w:pStyle w:val="Bibliography"/>
      </w:pPr>
      <w:r>
        <w:t xml:space="preserve">[34] M.J. Dobbie, D. Clifford, Quantifying uncertainty in environmental indices: An application to an estuarine health index, Mar. Freshw. Res. 66 (2014) 95–105. doi:</w:t>
      </w:r>
      <w:hyperlink r:id="rId116">
        <w:r>
          <w:rPr>
            <w:rStyle w:val="Hyperlink"/>
          </w:rPr>
          <w:t xml:space="preserve">10.1071/MF13065</w:t>
        </w:r>
      </w:hyperlink>
      <w:r>
        <w:t xml:space="preserve">.</w:t>
      </w:r>
    </w:p>
    <w:bookmarkEnd w:id="117"/>
    <w:bookmarkStart w:id="119" w:name="ref-Chang18"/>
    <w:p>
      <w:pPr>
        <w:pStyle w:val="Bibliography"/>
      </w:pPr>
      <w:r>
        <w:t xml:space="preserve">[35] W. Chang, J. Cheng, J. Allaire, Y. Xie, J. McPherson, Shiny: Web application framework for r, 2018.</w:t>
      </w:r>
      <w:r>
        <w:t xml:space="preserve"> </w:t>
      </w:r>
      <w:hyperlink r:id="rId118">
        <w:r>
          <w:rPr>
            <w:rStyle w:val="Hyperlink"/>
          </w:rPr>
          <w:t xml:space="preserve">https://CRAN.R-project.org/package=shiny</w:t>
        </w:r>
      </w:hyperlink>
      <w:r>
        <w:t xml:space="preserve">.</w:t>
      </w:r>
    </w:p>
    <w:bookmarkEnd w:id="119"/>
    <w:bookmarkStart w:id="120" w:name="ref-RDCT18"/>
    <w:p>
      <w:pPr>
        <w:pStyle w:val="Bibliography"/>
      </w:pPr>
      <w:r>
        <w:t xml:space="preserve">[36] RDCT (R Development Core Team), R: A language and environment for statistical computing, v3.5.1. R Foundation for Statistical Computing, Vienna, Austria, (2018).</w:t>
      </w:r>
    </w:p>
    <w:bookmarkEnd w:id="120"/>
    <w:bookmarkStart w:id="122" w:name="ref-Beck18f"/>
    <w:p>
      <w:pPr>
        <w:pStyle w:val="Bibliography"/>
      </w:pPr>
      <w:r>
        <w:t xml:space="preserve">[37] M.W. Beck, R.D. Mazor, SCCWRP/SQI: v1.2.0 (Version 1.2.0). Zenodo,</w:t>
      </w:r>
      <w:r>
        <w:t xml:space="preserve"> </w:t>
      </w:r>
      <w:hyperlink r:id="rId121">
        <w:r>
          <w:rPr>
            <w:rStyle w:val="Hyperlink"/>
          </w:rPr>
          <w:t xml:space="preserve">http://doi.org/10.5281/zenodo.2587212</w:t>
        </w:r>
      </w:hyperlink>
      <w:r>
        <w:t xml:space="preserve">, (2018).</w:t>
      </w:r>
    </w:p>
    <w:bookmarkEnd w:id="122"/>
    <w:bookmarkStart w:id="124" w:name="ref-Beck19"/>
    <w:p>
      <w:pPr>
        <w:pStyle w:val="Bibliography"/>
      </w:pPr>
      <w:r>
        <w:t xml:space="preserve">[38] M.W. Beck, R.D. Mazor, S. Theroux, K.C. Schiff, SCCWRP/SQI_Shiny: v1.0.0 (Version 1.0.0). Zenodo,</w:t>
      </w:r>
      <w:r>
        <w:t xml:space="preserve"> </w:t>
      </w:r>
      <w:hyperlink r:id="rId123">
        <w:r>
          <w:rPr>
            <w:rStyle w:val="Hyperlink"/>
          </w:rPr>
          <w:t xml:space="preserve">http://doi.org/10.5281/zenodo.2605438</w:t>
        </w:r>
      </w:hyperlink>
      <w:r>
        <w:t xml:space="preserve">, (2019).</w:t>
      </w:r>
    </w:p>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2019-07-16T00:15:44Z</dcterms:created>
  <dcterms:modified xsi:type="dcterms:W3CDTF">2019-07-16T00:15:44Z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