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9.png" ContentType="image/png"/>
  <Override PartName="/word/media/rId60.png" ContentType="image/png"/>
  <Override PartName="/word/media/rId55.png" ContentType="image/png"/>
  <Override PartName="/word/media/rId54.png" ContentType="image/png"/>
  <Override PartName="/word/media/rId56.png" ContentType="image/png"/>
  <Override PartName="/word/media/rId5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-6 to +5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b</m:t>
              </m:r>
              <m:r>
                <m:t>l</m:t>
              </m:r>
              <m:r>
                <m:t>c</m:t>
              </m:r>
            </m:sub>
          </m:sSub>
          <m:r>
            <m:t>+</m:t>
          </m:r>
          <m:sSub>
            <m:e>
              <m:r>
                <m:t>β</m:t>
              </m:r>
            </m:e>
            <m:sub>
              <m:r>
                <m:t>2</m:t>
              </m:r>
            </m:sub>
          </m:sSub>
          <m:r>
            <m:t>C</m:t>
          </m:r>
          <m:r>
            <m:t>R</m:t>
          </m:r>
          <m:r>
            <m:t>A</m:t>
          </m:r>
          <m:sSub>
            <m:e>
              <m:r>
                <m:t>M</m:t>
              </m:r>
            </m:e>
            <m:sub>
              <m:r>
                <m:t>p</m:t>
              </m:r>
              <m:r>
                <m:t>s</m:t>
              </m:r>
            </m:sub>
          </m:sSub>
          <m:r>
            <m:t>+</m:t>
          </m:r>
          <m:sSub>
            <m:e>
              <m:r>
                <m:t>β</m:t>
              </m:r>
            </m:e>
            <m:sub>
              <m:r>
                <m:t>3</m:t>
              </m:r>
            </m:sub>
          </m:sSub>
          <m:r>
            <m:t>I</m:t>
          </m:r>
          <m:r>
            <m:t>P</m:t>
          </m:r>
          <m:sSub>
            <m:e>
              <m:r>
                <m:t>I</m:t>
              </m:r>
            </m:e>
            <m:sub>
              <m:r>
                <m:t>P</m:t>
              </m:r>
              <m:r>
                <m:t>C</m:t>
              </m:r>
              <m:r>
                <m:t>T</m:t>
              </m:r>
              <m:r>
                <m:t>_</m:t>
              </m:r>
              <m:r>
                <m:t>S</m:t>
              </m:r>
              <m:r>
                <m:t>A</m:t>
              </m:r>
              <m:r>
                <m:t>F</m:t>
              </m:r>
              <m:r>
                <m:t>N</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(Zuur et al.,</w:t>
      </w:r>
      <w:r>
        <w:t xml:space="preserve"> </w:t>
      </w:r>
      <w:hyperlink w:anchor="ref-Zuur07">
        <w:r>
          <w:rPr>
            <w:rStyle w:val="Hyperlink"/>
          </w:rPr>
          <w:t xml:space="preserve">2007</w:t>
        </w:r>
      </w:hyperlink>
      <w:r>
        <w:t xml:space="preserve">)</w:t>
      </w:r>
      <w:r>
        <w:t xml:space="preserve">. The most parsimonious model was then identified using backward and forward selection to minimize Akaike Information Criterion</w:t>
      </w:r>
      <w:r>
        <w:t xml:space="preserve"> </w:t>
      </w:r>
      <w:r>
        <w:t xml:space="preserve">(Akaike,</w:t>
      </w:r>
      <w:r>
        <w:t xml:space="preserve"> </w:t>
      </w:r>
      <w:hyperlink w:anchor="ref-Akaike73">
        <w:r>
          <w:rPr>
            <w:rStyle w:val="Hyperlink"/>
          </w:rPr>
          <w:t xml:space="preserve">1973</w:t>
        </w:r>
      </w:hyperlink>
      <w:r>
        <w:t xml:space="preserve">; Venables and Ripley,</w:t>
      </w:r>
      <w:r>
        <w:t xml:space="preserve"> </w:t>
      </w:r>
      <w:hyperlink w:anchor="ref-Venables02">
        <w:r>
          <w:rPr>
            <w:rStyle w:val="Hyperlink"/>
          </w:rPr>
          <w:t xml:space="preserve">2002</w:t>
        </w:r>
      </w:hyperlink>
      <w:r>
        <w:t xml:space="preserve">)</w:t>
      </w:r>
      <w:r>
        <w:t xml:space="preserve">. The selected variables for each model are shown above (equation (1), TN: total nitrogen, TP: total phosphorus, cond: specific conductivity; equation (2), CRAM</w:t>
      </w:r>
      <m:oMath>
        <m:sSub>
          <m:e>
            <m:r>
              <m:t/>
            </m:r>
          </m:e>
          <m:sub>
            <m:r>
              <m:t>b</m:t>
            </m:r>
            <m:r>
              <m:t>l</m:t>
            </m:r>
            <m:r>
              <m:t>c</m:t>
            </m:r>
          </m:sub>
        </m:sSub>
      </m:oMath>
      <w:r>
        <w:t xml:space="preserve">: CRAM buffer landscape condition, CRAM</w:t>
      </w:r>
      <m:oMath>
        <m:sSub>
          <m:e>
            <m:r>
              <m:t/>
            </m:r>
          </m:e>
          <m:sub>
            <m:r>
              <m:t>p</m:t>
            </m:r>
            <m:r>
              <m:t>s</m:t>
            </m:r>
          </m:sub>
        </m:sSub>
      </m:oMath>
      <w:r>
        <w:t xml:space="preserve">: CRAM physical structure, IPI</w:t>
      </w:r>
      <m:oMath>
        <m:sSub>
          <m:e>
            <m:r>
              <m:t/>
            </m:r>
          </m:e>
          <m:sub>
            <m:r>
              <m:t>P</m:t>
            </m:r>
            <m:r>
              <m:t>C</m:t>
            </m:r>
            <m:r>
              <m:t>T</m:t>
            </m:r>
            <m:r>
              <m:t>_</m:t>
            </m:r>
            <m:r>
              <m:t>S</m:t>
            </m:r>
            <m:r>
              <m:t>A</m:t>
            </m:r>
            <m:r>
              <m:t>F</m:t>
            </m:r>
            <m:r>
              <m:t>N</m:t>
            </m:r>
          </m:sub>
        </m:sSub>
      </m:oMath>
      <w:r>
        <w:t xml:space="preserve">: IPI % sands and fines).</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threshold for the likelihood of observing altered biology that defined the categorical results were also evaluated.</w:t>
      </w:r>
    </w:p>
    <w:p>
      <w:pPr>
        <w:pStyle w:val="Heading2"/>
      </w:pPr>
      <w:bookmarkStart w:id="36" w:name="selected-case-studies"/>
      <w:r>
        <w:t xml:space="preserve">Selected case studies</w:t>
      </w:r>
      <w:bookmarkEnd w:id="36"/>
    </w:p>
    <w:p>
      <w:pPr>
        <w:pStyle w:val="FirstParagraph"/>
      </w:pPr>
      <w:r>
        <w:t xml:space="preserve">SQI results for two examples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37">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38" w:name="results"/>
      <w:r>
        <w:t xml:space="preserve">Results</w:t>
      </w:r>
      <w:bookmarkEnd w:id="38"/>
    </w:p>
    <w:p>
      <w:pPr>
        <w:pStyle w:val="Heading2"/>
      </w:pPr>
      <w:bookmarkStart w:id="39" w:name="sqi-patterns"/>
      <w:r>
        <w:t xml:space="preserve">SQI patterns</w:t>
      </w:r>
      <w:bookmarkEnd w:id="39"/>
    </w:p>
    <w:p>
      <w:pPr>
        <w:pStyle w:val="FirstParagraph"/>
      </w:pPr>
      <w:r>
        <w:t xml:space="preserve">Among all sites, the overall SQI categorized a majority of sites as having altered biology under high stress conditions (impacted and stressed, 71% of sites, Table</w:t>
      </w:r>
      <w:r>
        <w:t xml:space="preserve"> </w:t>
      </w:r>
      <w:r>
        <w:t xml:space="preserve">2</w:t>
      </w:r>
      <w:r>
        <w:t xml:space="preserve">). Almost 20% of sites were in the opposite category of unaltered biology in low stress conditions (healthy and unstressed). For the remaining two categories of the overall SQI, only 3%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40% of sites were stressed by both chemistry and physical habitat stressors. More sites were stressed by water chemistry (22%) than physical habitat degradation (5%) if only one stressor was present. Over 25% of sites had low stress, and 8%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40" w:name="model-precision"/>
      <w:r>
        <w:t xml:space="preserve">Model precision</w:t>
      </w:r>
      <w:bookmarkEnd w:id="40"/>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5.89, df = 19.09,</w:t>
      </w:r>
      <w:r>
        <w:t xml:space="preserve"> </w:t>
      </w:r>
      <w:r>
        <w:rPr>
          <w:i/>
        </w:rPr>
        <w:t xml:space="preserve">p</w:t>
      </w:r>
      <w:r>
        <w:t xml:space="preserve"> </w:t>
      </w:r>
      <w:r>
        <w:t xml:space="preserve">&lt; 0.001 for</w:t>
      </w:r>
      <w:r>
        <w:t xml:space="preserve"> </w:t>
      </w:r>
      <w:r>
        <w:rPr>
          <w:i/>
        </w:rPr>
        <w:t xml:space="preserve">pChem</w:t>
      </w:r>
      <w:r>
        <w:t xml:space="preserve">; t = 6.26, df = 26.51,</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77% of sites (n = 205) had greater than 50% likelihood of biological alteration from water chemistry stressors, and 84% (n = 224) had greater than 50% likelihood of biological alteration from physical habitat stressors (Figure</w:t>
      </w:r>
      <w:r>
        <w:t xml:space="preserve"> </w:t>
      </w:r>
      <w:r>
        <w:t xml:space="preserve">5</w:t>
      </w:r>
      <w:r>
        <w:t xml:space="preserve">). Collectively, 97% (n = 258)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For the</w:t>
      </w:r>
      <w:r>
        <w:t xml:space="preserve"> </w:t>
      </w:r>
      <w:r>
        <w:rPr>
          <w:i/>
        </w:rPr>
        <w:t xml:space="preserve">pHab</w:t>
      </w:r>
      <w:r>
        <w:t xml:space="preserve"> </w:t>
      </w:r>
      <w:r>
        <w:t xml:space="preserve">model, three predictors were removed that had VIF values greater than three (diversity of natural substrate, biological structure, and hydrology). Predictors included in the final</w:t>
      </w:r>
      <w:r>
        <w:t xml:space="preserve"> </w:t>
      </w:r>
      <w:r>
        <w:rPr>
          <w:i/>
        </w:rPr>
        <w:t xml:space="preserve">pHab</w:t>
      </w:r>
      <w:r>
        <w:t xml:space="preserve"> </w:t>
      </w:r>
      <w:r>
        <w:t xml:space="preserve">model after variable selection were buffer and landscape condition, physical structure, and percent sands and fines. All predictors were negatively associated with the likelihood of biological alteration, whereas buffer landscape condition had the only significant association.</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associated with habitat integrity). The strongest relationship was observed with increases in CRAM buffer landscape condition, where likelihood of alteration decreased sharply with scores greater than 60.</w:t>
      </w:r>
    </w:p>
    <w:p>
      <w:pPr>
        <w:pStyle w:val="Heading2"/>
      </w:pPr>
      <w:bookmarkStart w:id="41" w:name="model-sensitivity-to-biological-decision-points"/>
      <w:r>
        <w:t xml:space="preserve">Model sensitivity to biological decision points</w:t>
      </w:r>
      <w:bookmarkEnd w:id="41"/>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(-6)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(-6)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2"/>
      </w:pPr>
      <w:bookmarkStart w:id="42" w:name="case-study-results"/>
      <w:r>
        <w:t xml:space="preserve">Case study results</w:t>
      </w:r>
      <w:bookmarkEnd w:id="42"/>
    </w:p>
    <w:p>
      <w:pPr>
        <w:pStyle w:val="Heading3"/>
      </w:pPr>
      <w:bookmarkStart w:id="43" w:name="san-diego-creek"/>
      <w:r>
        <w:t xml:space="preserve">San Diego Creek</w:t>
      </w:r>
      <w:bookmarkEnd w:id="43"/>
    </w:p>
    <w:p>
      <w:pPr>
        <w:pStyle w:val="FirstParagraph"/>
      </w:pPr>
      <w:r>
        <w:t xml:space="preserve">San Diego Creek is a coastal stream in the County of Orange that drains the San Joaquin Hills and Loma Ridge into the Newport Bay estuary. The watershed is heavily urbanized and most of the creek has been engineered for flood control as a concrete-lined or reinforced channel with no natural riparian structure. The creek is designated for aquatic life (wildlife and warmwater habitat) and recreational (contact and non-contact) uses under the county’s water quality control plan. Bioassessment results from the CSCI have shown that the structure and function of macroinvertebrate communities is very likely altered from regional reference conditions.</w:t>
      </w:r>
    </w:p>
    <w:p>
      <w:pPr>
        <w:pStyle w:val="BodyText"/>
      </w:pPr>
      <w:r>
        <w:t xml:space="preserve">The dataset used to develop the SQI included five sites on San Diego Creek with one sample in 2010, three in 2011, and one in 2016. Biological condition at these sites was poor with ASCI scores ranging from 0.45 to 0.79 and CSCI scores ranging from 0.22 to 0.53. All sites were impacted for both CSCI and ASCI scores. The SQI stressor condition for all five sites indicated nearly a 100% likelihood of chemistry and physical habitat stressors impacting biology, with a 100% likelihood of overall stress based on the combined effects of both. Average total nitrogen, total phosphorus, and conductivity were 8.1 mg/L, 0.2 mg/L, and 2077</w:t>
      </w:r>
      <w:r>
        <w:t xml:space="preserve"> </w:t>
      </w:r>
      <m:oMath>
        <m:r>
          <m:t>μ</m:t>
        </m:r>
      </m:oMath>
      <w:r>
        <w:t xml:space="preserve">S/cm, placing the creek in the 91st, 79th, and 75th percentiles for water chemistry, respectively, among all sites in the complete dataset. Similarly, CRAM and IPI scores averaged across sites were 46 and 0.52, placing the creek in the 24th and 23rd percentiles for the region. The overall SQI category for all five sites was</w:t>
      </w:r>
      <w:r>
        <w:t xml:space="preserve"> </w:t>
      </w:r>
      <w:r>
        <w:t xml:space="preserve">“</w:t>
      </w:r>
      <w:r>
        <w:t xml:space="preserve">impacted and stressed</w:t>
      </w:r>
      <w:r>
        <w:t xml:space="preserve">”</w:t>
      </w:r>
      <w:r>
        <w:t xml:space="preserve">.</w:t>
      </w:r>
    </w:p>
    <w:p>
      <w:pPr>
        <w:pStyle w:val="BodyText"/>
      </w:pPr>
      <w:r>
        <w:t xml:space="preserve">An independent causal assessment study was conducted in 2018 to determine the causes of biological impairment in San Diego Creek. A detailed description of causal assessment is beyond the scope of this paper, although in short, causal assessment is a formalized approach using multiple lines of evidence to characterize stressors as likely, unlikely, or insufficient evidence in relation to the biological condition</w:t>
      </w:r>
      <w:r>
        <w:t xml:space="preserve"> </w:t>
      </w:r>
      <w:r>
        <w:t xml:space="preserve">(Norton et al.,</w:t>
      </w:r>
      <w:r>
        <w:t xml:space="preserve"> </w:t>
      </w:r>
      <w:hyperlink w:anchor="ref-Norton14">
        <w:r>
          <w:rPr>
            <w:rStyle w:val="Hyperlink"/>
          </w:rPr>
          <w:t xml:space="preserve">2014</w:t>
        </w:r>
      </w:hyperlink>
      <w:r>
        <w:t xml:space="preserve">; Schiff et al.,</w:t>
      </w:r>
      <w:r>
        <w:t xml:space="preserve"> </w:t>
      </w:r>
      <w:hyperlink w:anchor="ref-Schiff15">
        <w:r>
          <w:rPr>
            <w:rStyle w:val="Hyperlink"/>
          </w:rPr>
          <w:t xml:space="preserve">2015</w:t>
        </w:r>
      </w:hyperlink>
      <w:r>
        <w:t xml:space="preserve">)</w:t>
      </w:r>
      <w:r>
        <w:t xml:space="preserve">. This differs from the SQI approach where the stressors are based on association alone. For San Diego Creek, the potential stressors that were evaluated included sediment accumulation, channel engineering, nutrients, temperature, conductivity, and pesticides. The causal assessment concluded that sediment accumulation resulting form channel alteration was the most likely cause of low CSCI scores. Alternatively, nutrients, although elevated, were not fully evaluated because of insufficient algal data (ASCI scores were not evaluated in the causal assessment). Finally, pesticides were also considered likely stressors impacting macroinvertebrate communities in San Diego Creek due to mosquito control practices in the region. As such, the SQI results are supported by causal assessment, with the latter providing a more comprehensive evaluation of links between stressors and biological condition.</w:t>
      </w:r>
    </w:p>
    <w:p>
      <w:pPr>
        <w:pStyle w:val="Heading3"/>
      </w:pPr>
      <w:bookmarkStart w:id="44" w:name="san-juan-creek"/>
      <w:r>
        <w:t xml:space="preserve">San Juan Creek</w:t>
      </w:r>
      <w:bookmarkEnd w:id="44"/>
    </w:p>
    <w:p>
      <w:pPr>
        <w:pStyle w:val="FirstParagraph"/>
      </w:pPr>
      <w:r>
        <w:t xml:space="preserve">San Juan Creek is located in the County of Orange and drains a larger watershed compared to San Diego Creek. San Juan Creek originates in the Santa Ana mountains that are largely undeveloped, whereas lower portions of the creek are engineered for flood control in the urbanized areas of the watershed. The upper portion of San Juan Creek was described in a regional basin plan (San Diego Regional Water Quality Control Board) as not attaining aquatic life uses because CSCI scores were lower than the tenth percentile of scores observed at reference sites. However, both physical habitat and water chemistry parameters at the assessment site suggested conditions were adequate to support biotic integrity. Toxicity tests also showed 100% survival of</w:t>
      </w:r>
      <w:r>
        <w:t xml:space="preserve"> </w:t>
      </w:r>
      <w:r>
        <w:rPr>
          <w:i/>
        </w:rPr>
        <w:t xml:space="preserve">Ceriodaphnia dubia</w:t>
      </w:r>
      <w:r>
        <w:t xml:space="preserve">, providing evidence that toxicity was not a likely stressor impacting biology at the site.</w:t>
      </w:r>
    </w:p>
    <w:p>
      <w:pPr>
        <w:pStyle w:val="BodyText"/>
      </w:pPr>
      <w:r>
        <w:t xml:space="preserve">The SQI results for the sampling station in the upper San Juan Creek confirmed the above results by categorizing the site as</w:t>
      </w:r>
      <w:r>
        <w:t xml:space="preserve"> </w:t>
      </w:r>
      <w:r>
        <w:t xml:space="preserve">“</w:t>
      </w:r>
      <w:r>
        <w:t xml:space="preserve">impacted by unknown stress</w:t>
      </w:r>
      <w:r>
        <w:t xml:space="preserve">”</w:t>
      </w:r>
      <w:r>
        <w:t xml:space="preserve">. The CSCI score at the site is 0.68, whereas the ASCI score is close to reference conditions at 0.94; the biological condition category for the SQI indicates the site is impacted for the CSCI only. The likelihood of biological alteration was estimated as 15% from chemistry stress and 51% from physical habitat stress, with a combined likelihood of 59% from overall stress. Total nitrogen, total phosphorus, and conductivity were 0.3 mg/L, 0 mg/L, and 153</w:t>
      </w:r>
      <w:r>
        <w:t xml:space="preserve"> </w:t>
      </w:r>
      <m:oMath>
        <m:r>
          <m:t>μ</m:t>
        </m:r>
      </m:oMath>
      <w:r>
        <w:t xml:space="preserve">S/cm, placing the site in the 21st, 7th, and 2nd percentiles for water chemistry, respectively, among all sites. Similarly, CRAM and IPI scores were 94 and 1.06, placing the creek in the 98th and 85th percentiles for the region. As such, initial results suggest that neither chemistry nor physical stressors are impacting biological condition and a formal causal assessment at the site may be needed to identify additional stressors that may be impacting the aquatic life use.</w:t>
      </w:r>
    </w:p>
    <w:p>
      <w:pPr>
        <w:pStyle w:val="Heading1"/>
      </w:pPr>
      <w:bookmarkStart w:id="45" w:name="discussion"/>
      <w:r>
        <w:t xml:space="preserve">Discussion</w:t>
      </w:r>
      <w:bookmarkEnd w:id="45"/>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Additional work on the SQI should explore how the categorical descriptions can be provided in the absence of all the necessary components.</w:t>
      </w:r>
    </w:p>
    <w:p>
      <w:pPr>
        <w:pStyle w:val="Heading2"/>
      </w:pPr>
      <w:bookmarkStart w:id="46" w:name="the-sqi-web-application"/>
      <w:r>
        <w:t xml:space="preserve">The SQI web application</w:t>
      </w:r>
      <w:bookmarkEnd w:id="46"/>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7">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8" w:name="conclusions"/>
      <w:r>
        <w:t xml:space="preserve">Conclusions</w:t>
      </w:r>
      <w:bookmarkEnd w:id="48"/>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9" w:name="supplement"/>
      <w:r>
        <w:t xml:space="preserve">Supplement</w:t>
      </w:r>
      <w:bookmarkEnd w:id="49"/>
    </w:p>
    <w:p>
      <w:pPr>
        <w:pStyle w:val="FirstParagraph"/>
      </w:pPr>
      <w:r>
        <w:t xml:space="preserve">An interactive website is available for viewing results of the SQI:</w:t>
      </w:r>
      <w:r>
        <w:t xml:space="preserve"> </w:t>
      </w:r>
      <w:hyperlink r:id="rId50">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51">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52" w:name="acknowledgments"/>
      <w:r>
        <w:t xml:space="preserve">Acknowledgments</w:t>
      </w:r>
      <w:bookmarkEnd w:id="52"/>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53" w:name="figures"/>
      <w:r>
        <w:t xml:space="preserve">Figures</w:t>
      </w:r>
      <w:bookmarkEnd w:id="53"/>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4"/>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5"/>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6"/>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4086224"/>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8"/>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9"/>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60"/>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51 (19.1)</w:t>
            </w:r>
          </w:p>
        </w:tc>
      </w:tr>
      <w:tr>
        <w:tc>
          <w:p>
            <w:pPr>
              <w:pStyle w:val="Compact"/>
            </w:pPr>
          </w:p>
        </w:tc>
        <w:tc>
          <w:p>
            <w:pPr>
              <w:pStyle w:val="Compact"/>
              <w:jc w:val="left"/>
            </w:pPr>
            <w:r>
              <w:t xml:space="preserve">Healthy and resilient</w:t>
            </w:r>
          </w:p>
        </w:tc>
        <w:tc>
          <w:p>
            <w:pPr>
              <w:pStyle w:val="Compact"/>
              <w:jc w:val="left"/>
            </w:pPr>
            <w:r>
              <w:t xml:space="preserve">9 (3.4)</w:t>
            </w:r>
          </w:p>
        </w:tc>
      </w:tr>
      <w:tr>
        <w:tc>
          <w:p>
            <w:pPr>
              <w:pStyle w:val="Compact"/>
            </w:pPr>
          </w:p>
        </w:tc>
        <w:tc>
          <w:p>
            <w:pPr>
              <w:pStyle w:val="Compact"/>
              <w:jc w:val="left"/>
            </w:pPr>
            <w:r>
              <w:t xml:space="preserve">Impacted and stressed</w:t>
            </w:r>
          </w:p>
        </w:tc>
        <w:tc>
          <w:p>
            <w:pPr>
              <w:pStyle w:val="Compact"/>
              <w:jc w:val="left"/>
            </w:pPr>
            <w:r>
              <w:t xml:space="preserve">189 (70.8)</w:t>
            </w:r>
          </w:p>
        </w:tc>
      </w:tr>
      <w:tr>
        <w:tc>
          <w:p>
            <w:pPr>
              <w:pStyle w:val="Compact"/>
            </w:pPr>
          </w:p>
        </w:tc>
        <w:tc>
          <w:p>
            <w:pPr>
              <w:pStyle w:val="Compact"/>
              <w:jc w:val="left"/>
            </w:pPr>
            <w:r>
              <w:t xml:space="preserve">Impacted by unknown stress</w:t>
            </w:r>
          </w:p>
        </w:tc>
        <w:tc>
          <w:p>
            <w:pPr>
              <w:pStyle w:val="Compact"/>
              <w:jc w:val="left"/>
            </w:pPr>
            <w:r>
              <w:t xml:space="preserve">18 (6.7)</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pPr>
              <w:pStyle w:val="Compact"/>
            </w:pPr>
          </w:p>
        </w:tc>
        <w:tc>
          <w:p>
            <w:pPr>
              <w:pStyle w:val="Compact"/>
              <w:jc w:val="left"/>
            </w:pPr>
            <w:r>
              <w:t xml:space="preserve">Impacted for ASCI</w:t>
            </w:r>
          </w:p>
        </w:tc>
        <w:tc>
          <w:p>
            <w:pPr>
              <w:pStyle w:val="Compact"/>
              <w:jc w:val="left"/>
            </w:pPr>
            <w:r>
              <w:t xml:space="preserve">43 (16.1)</w:t>
            </w:r>
          </w:p>
        </w:tc>
      </w:tr>
      <w:tr>
        <w:tc>
          <w:p>
            <w:pPr>
              <w:pStyle w:val="Compact"/>
            </w:pPr>
          </w:p>
        </w:tc>
        <w:tc>
          <w:p>
            <w:pPr>
              <w:pStyle w:val="Compact"/>
              <w:jc w:val="left"/>
            </w:pPr>
            <w:r>
              <w:t xml:space="preserve">Impacted for CSCI</w:t>
            </w:r>
          </w:p>
        </w:tc>
        <w:tc>
          <w:p>
            <w:pPr>
              <w:pStyle w:val="Compact"/>
              <w:jc w:val="left"/>
            </w:pPr>
            <w:r>
              <w:t xml:space="preserve">30 (11.2)</w:t>
            </w:r>
          </w:p>
        </w:tc>
      </w:tr>
      <w:tr>
        <w:tc>
          <w:p>
            <w:pPr>
              <w:pStyle w:val="Compact"/>
            </w:pPr>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69 (25.8)</w:t>
            </w:r>
          </w:p>
        </w:tc>
      </w:tr>
      <w:tr>
        <w:tc>
          <w:p>
            <w:pPr>
              <w:pStyle w:val="Compact"/>
            </w:pPr>
          </w:p>
        </w:tc>
        <w:tc>
          <w:p>
            <w:pPr>
              <w:pStyle w:val="Compact"/>
              <w:jc w:val="left"/>
            </w:pPr>
            <w:r>
              <w:t xml:space="preserve">Stressed by chemistry and habitat degradation</w:t>
            </w:r>
          </w:p>
        </w:tc>
        <w:tc>
          <w:p>
            <w:pPr>
              <w:pStyle w:val="Compact"/>
              <w:jc w:val="left"/>
            </w:pPr>
            <w:r>
              <w:t xml:space="preserve">107 (40.1)</w:t>
            </w:r>
          </w:p>
        </w:tc>
      </w:tr>
      <w:tr>
        <w:tc>
          <w:p>
            <w:pPr>
              <w:pStyle w:val="Compact"/>
            </w:pPr>
          </w:p>
        </w:tc>
        <w:tc>
          <w:p>
            <w:pPr>
              <w:pStyle w:val="Compact"/>
              <w:jc w:val="left"/>
            </w:pPr>
            <w:r>
              <w:t xml:space="preserve">Stressed by chemistry degradation</w:t>
            </w:r>
          </w:p>
        </w:tc>
        <w:tc>
          <w:p>
            <w:pPr>
              <w:pStyle w:val="Compact"/>
              <w:jc w:val="left"/>
            </w:pPr>
            <w:r>
              <w:t xml:space="preserve">56 (21)</w:t>
            </w:r>
          </w:p>
        </w:tc>
      </w:tr>
      <w:tr>
        <w:tc>
          <w:p>
            <w:pPr>
              <w:pStyle w:val="Compact"/>
            </w:pPr>
          </w:p>
        </w:tc>
        <w:tc>
          <w:p>
            <w:pPr>
              <w:pStyle w:val="Compact"/>
              <w:jc w:val="left"/>
            </w:pPr>
            <w:r>
              <w:t xml:space="preserve">Stressed by habitat degradation</w:t>
            </w:r>
          </w:p>
        </w:tc>
        <w:tc>
          <w:p>
            <w:pPr>
              <w:pStyle w:val="Compact"/>
              <w:jc w:val="left"/>
            </w:pPr>
            <w:r>
              <w:t xml:space="preserve">13 (4.9)</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22 (8.2)</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1.68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11.02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(0.93)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(2.09)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1.12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2.29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buffer landscape condition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-0.08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physical structure</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(0.01)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 percent sands and fines</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-1.67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102.58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159.86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115.78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173.05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0.68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0.40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62" w:name="references"/>
      <w:r>
        <w:t xml:space="preserve">References</w:t>
      </w:r>
      <w:bookmarkEnd w:id="62"/>
    </w:p>
    <w:bookmarkStart w:id="112" w:name="refs"/>
    <w:bookmarkStart w:id="63" w:name="ref-Akaike73"/>
    <w:p>
      <w:pPr>
        <w:pStyle w:val="Bibliography"/>
      </w:pPr>
      <w:r>
        <w:t xml:space="preserve">Akaike, H., 1973. Information theory and an extension of the maximum likelihood principle, in: Petrov, B.N., Csaki, F. (Eds.), Second International Symposium on Information Theory. Akademiai Kiado, Budapest, pp. 267–281.</w:t>
      </w:r>
    </w:p>
    <w:bookmarkEnd w:id="63"/>
    <w:bookmarkStart w:id="65" w:name="ref-Bay12"/>
    <w:p>
      <w:pPr>
        <w:pStyle w:val="Bibliography"/>
      </w:pPr>
      <w:r>
        <w:t xml:space="preserve">Bay, S.M., Weisberg, S.B., 2012. Framework for interpreting sediment quality triad data. Integrated Environmental Assessment and Management 8, 589–596.</w:t>
      </w:r>
      <w:r>
        <w:t xml:space="preserve"> </w:t>
      </w:r>
      <w:hyperlink r:id="rId64">
        <w:r>
          <w:rPr>
            <w:rStyle w:val="Hyperlink"/>
          </w:rPr>
          <w:t xml:space="preserve">https://doi.org/10.1002/ieam.118</w:t>
        </w:r>
      </w:hyperlink>
    </w:p>
    <w:bookmarkEnd w:id="65"/>
    <w:bookmarkStart w:id="67" w:name="ref-Beck18f"/>
    <w:p>
      <w:pPr>
        <w:pStyle w:val="Bibliography"/>
      </w:pPr>
      <w:r>
        <w:t xml:space="preserve">Beck, M.W., Mazor, R.D., 2018. SCCWRP/SQI: v1.2.0 (Version 1.2.0). Zenodo,</w:t>
      </w:r>
      <w:r>
        <w:t xml:space="preserve"> </w:t>
      </w:r>
      <w:hyperlink r:id="rId66">
        <w:r>
          <w:rPr>
            <w:rStyle w:val="Hyperlink"/>
          </w:rPr>
          <w:t xml:space="preserve">http://doi.org/10.5281/zenodo.2587212</w:t>
        </w:r>
      </w:hyperlink>
      <w:r>
        <w:t xml:space="preserve">.</w:t>
      </w:r>
    </w:p>
    <w:bookmarkEnd w:id="67"/>
    <w:bookmarkStart w:id="69" w:name="ref-Beck19"/>
    <w:p>
      <w:pPr>
        <w:pStyle w:val="Bibliography"/>
      </w:pPr>
      <w:r>
        <w:t xml:space="preserve">Beck, M.W., Mazor, R.D., Theroux, S., Schiff, K.C., 2019. SCCWRP/SQI_Shiny: v1.0.0 (Version 1.0.0). Zenodo,</w:t>
      </w:r>
      <w:r>
        <w:t xml:space="preserve"> </w:t>
      </w:r>
      <w:hyperlink r:id="rId68">
        <w:r>
          <w:rPr>
            <w:rStyle w:val="Hyperlink"/>
          </w:rPr>
          <w:t xml:space="preserve">http://doi.org/10.5281/zenodo.2605438</w:t>
        </w:r>
      </w:hyperlink>
      <w:r>
        <w:t xml:space="preserve">.</w:t>
      </w:r>
    </w:p>
    <w:bookmarkEnd w:id="69"/>
    <w:bookmarkStart w:id="71"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70">
        <w:r>
          <w:rPr>
            <w:rStyle w:val="Hyperlink"/>
          </w:rPr>
          <w:t xml:space="preserve">https://doi.org/10.1899/06-078.1</w:t>
        </w:r>
      </w:hyperlink>
    </w:p>
    <w:bookmarkEnd w:id="71"/>
    <w:bookmarkStart w:id="72"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72"/>
    <w:bookmarkStart w:id="73" w:name="ref-Chang18"/>
    <w:p>
      <w:pPr>
        <w:pStyle w:val="Bibliography"/>
      </w:pPr>
      <w:r>
        <w:t xml:space="preserve">Chang, W., Cheng, J., Allaire, J., Xie, Y., McPherson, J., 2018. Shiny: Web application framework for r.</w:t>
      </w:r>
    </w:p>
    <w:bookmarkEnd w:id="73"/>
    <w:bookmarkStart w:id="74" w:name="ref-Collins07"/>
    <w:p>
      <w:pPr>
        <w:pStyle w:val="Bibliography"/>
      </w:pPr>
      <w:r>
        <w:t xml:space="preserve">Collins, J.N., Stein, E.D., Sutula, M., Clark, R., Fetscher, A.E., Grenier, L., Grosso, C., Wiskind, A., 2007. California Rapid Assessment Method (CRAM) for wetlands, ver.5.0.</w:t>
      </w:r>
    </w:p>
    <w:bookmarkEnd w:id="74"/>
    <w:bookmarkStart w:id="75" w:name="ref-Fox11"/>
    <w:p>
      <w:pPr>
        <w:pStyle w:val="Bibliography"/>
      </w:pPr>
      <w:r>
        <w:t xml:space="preserve">Fox, J., Weisberg, S., 2011. An R companion to applied regression. SAGE Publications Inc., Thousand Oaks, California.</w:t>
      </w:r>
    </w:p>
    <w:bookmarkEnd w:id="75"/>
    <w:bookmarkStart w:id="77"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6">
        <w:r>
          <w:rPr>
            <w:rStyle w:val="Hyperlink"/>
          </w:rPr>
          <w:t xml:space="preserve">https://doi.org/10.1890/1051-0761(2000)010[1456:DAEOPM]2.0.CO;2</w:t>
        </w:r>
      </w:hyperlink>
    </w:p>
    <w:bookmarkEnd w:id="77"/>
    <w:bookmarkStart w:id="79"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8">
        <w:r>
          <w:rPr>
            <w:rStyle w:val="Hyperlink"/>
          </w:rPr>
          <w:t xml:space="preserve">https://doi.org/10.1016/j.watres.2012.03.061</w:t>
        </w:r>
      </w:hyperlink>
    </w:p>
    <w:bookmarkEnd w:id="79"/>
    <w:bookmarkStart w:id="80" w:name="ref-Karr81"/>
    <w:p>
      <w:pPr>
        <w:pStyle w:val="Bibliography"/>
      </w:pPr>
      <w:r>
        <w:t xml:space="preserve">Karr, J.R., 1981. Assessment of biotic integrity using fish communities. Fisheries 6, 21–27.</w:t>
      </w:r>
    </w:p>
    <w:bookmarkEnd w:id="80"/>
    <w:bookmarkStart w:id="82" w:name="ref-Maddock99"/>
    <w:p>
      <w:pPr>
        <w:pStyle w:val="Bibliography"/>
      </w:pPr>
      <w:r>
        <w:t xml:space="preserve">Maddock, I., 1999. The importance of physical habitat assessment for evaluating river health. Freshwater Biology 41, 373–391.</w:t>
      </w:r>
      <w:r>
        <w:t xml:space="preserve"> </w:t>
      </w:r>
      <w:hyperlink r:id="rId81">
        <w:r>
          <w:rPr>
            <w:rStyle w:val="Hyperlink"/>
          </w:rPr>
          <w:t xml:space="preserve">https://doi.org/10.1046/j.1365-2427.1999.00437.x</w:t>
        </w:r>
      </w:hyperlink>
    </w:p>
    <w:bookmarkEnd w:id="82"/>
    <w:bookmarkStart w:id="84"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83">
        <w:r>
          <w:rPr>
            <w:rStyle w:val="Hyperlink"/>
          </w:rPr>
          <w:t xml:space="preserve">https://doi.org/10.1002/ieam.1702</w:t>
        </w:r>
      </w:hyperlink>
    </w:p>
    <w:bookmarkEnd w:id="84"/>
    <w:bookmarkStart w:id="85"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85"/>
    <w:bookmarkStart w:id="86"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6"/>
    <w:bookmarkStart w:id="88"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7">
        <w:r>
          <w:rPr>
            <w:rStyle w:val="Hyperlink"/>
          </w:rPr>
          <w:t xml:space="preserve">https://doi.org/10.1111/j.1365-2427.1987.tb01027.x</w:t>
        </w:r>
      </w:hyperlink>
    </w:p>
    <w:bookmarkEnd w:id="88"/>
    <w:bookmarkStart w:id="89" w:name="ref-NRC90"/>
    <w:p>
      <w:pPr>
        <w:pStyle w:val="Bibliography"/>
      </w:pPr>
      <w:r>
        <w:t xml:space="preserve">National Research Council, 1990. Managing troubled waters: The role of marine environmental monitoring. National Academy Press, Washington, DC.</w:t>
      </w:r>
    </w:p>
    <w:bookmarkEnd w:id="89"/>
    <w:bookmarkStart w:id="90" w:name="ref-Norton14"/>
    <w:p>
      <w:pPr>
        <w:pStyle w:val="Bibliography"/>
      </w:pPr>
      <w:r>
        <w:t xml:space="preserve">Norton, S.B., Cormier, S.M., II, G.W.S., 2014. Ecological causal assessment. CRC Press.</w:t>
      </w:r>
    </w:p>
    <w:bookmarkEnd w:id="90"/>
    <w:bookmarkStart w:id="91" w:name="ref-Ode07"/>
    <w:p>
      <w:pPr>
        <w:pStyle w:val="Bibliography"/>
      </w:pPr>
      <w:r>
        <w:t xml:space="preserve">Ode, P.R., 2007. Standard operating procedures for collecting benthic macroinvertebrate samples and associated physical and chemical data for ambient bioassessment in California.</w:t>
      </w:r>
    </w:p>
    <w:bookmarkEnd w:id="91"/>
    <w:bookmarkStart w:id="92"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92"/>
    <w:bookmarkStart w:id="94"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93">
        <w:r>
          <w:rPr>
            <w:rStyle w:val="Hyperlink"/>
          </w:rPr>
          <w:t xml:space="preserve">https://doi.org/10.1046/j.1529-8817.1999.3530460.x</w:t>
        </w:r>
      </w:hyperlink>
    </w:p>
    <w:bookmarkEnd w:id="94"/>
    <w:bookmarkStart w:id="96"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95">
        <w:r>
          <w:rPr>
            <w:rStyle w:val="Hyperlink"/>
          </w:rPr>
          <w:t xml:space="preserve">https://doi.org/10.1899/08-098.1</w:t>
        </w:r>
      </w:hyperlink>
    </w:p>
    <w:bookmarkEnd w:id="96"/>
    <w:bookmarkStart w:id="97" w:name="ref-RDCT18"/>
    <w:p>
      <w:pPr>
        <w:pStyle w:val="Bibliography"/>
      </w:pPr>
      <w:r>
        <w:t xml:space="preserve">RDCT (R Development Core Team), 2018. R: A language and environment for statistical computing, v3.5.1. R Foundation for Statistical Computing, Vienna, Austria.</w:t>
      </w:r>
    </w:p>
    <w:bookmarkEnd w:id="97"/>
    <w:bookmarkStart w:id="98"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8"/>
    <w:bookmarkStart w:id="100"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9">
        <w:r>
          <w:rPr>
            <w:rStyle w:val="Hyperlink"/>
          </w:rPr>
          <w:t xml:space="preserve">https://doi.org/10.1046/j.1365-2427.1997.d01-540.x</w:t>
        </w:r>
      </w:hyperlink>
    </w:p>
    <w:bookmarkEnd w:id="100"/>
    <w:bookmarkStart w:id="101" w:name="ref-Schiff15"/>
    <w:p>
      <w:pPr>
        <w:pStyle w:val="Bibliography"/>
      </w:pPr>
      <w:r>
        <w:t xml:space="preserve">Schiff, K.C., Gillett, D.J., Rehn, A., Paul, M., 2015. Causal assessment evaluation and guidance for California (No. Technical Report 750). Southern California Coastal Water Research Project, Costa Mesa, California.</w:t>
      </w:r>
    </w:p>
    <w:bookmarkEnd w:id="101"/>
    <w:bookmarkStart w:id="103"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102">
        <w:r>
          <w:rPr>
            <w:rStyle w:val="Hyperlink"/>
          </w:rPr>
          <w:t xml:space="preserve">https://doi.org/10.1007/s11273-011-9230-6</w:t>
        </w:r>
      </w:hyperlink>
    </w:p>
    <w:bookmarkEnd w:id="103"/>
    <w:bookmarkStart w:id="105"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104">
        <w:r>
          <w:rPr>
            <w:rStyle w:val="Hyperlink"/>
          </w:rPr>
          <w:t xml:space="preserve">https://doi.org/10.1890/1051-0761(2006)016[1267:SEFTEC]2.0.CO;2</w:t>
        </w:r>
      </w:hyperlink>
    </w:p>
    <w:bookmarkEnd w:id="105"/>
    <w:bookmarkStart w:id="106" w:name="ref-Therouxip"/>
    <w:p>
      <w:pPr>
        <w:pStyle w:val="Bibliography"/>
      </w:pPr>
      <w:r>
        <w:t xml:space="preserve">Theroux, S., Mazor, R.D., Beck, M.W., Ode, P., Sutula, M., Stein, E.D., n.d. A non-predictive algal index for complex environments. Ecological Indicators.</w:t>
      </w:r>
    </w:p>
    <w:bookmarkEnd w:id="106"/>
    <w:bookmarkStart w:id="107" w:name="ref-USEPA16"/>
    <w:p>
      <w:pPr>
        <w:pStyle w:val="Bibliography"/>
      </w:pPr>
      <w:r>
        <w:t xml:space="preserve">USEPA (US Environmental Protection Agency), 2016. National rivers and streams assessment 2008-2009: A collaborative survey (No. EPA-841-R-16-007). Washington, DC.</w:t>
      </w:r>
    </w:p>
    <w:bookmarkEnd w:id="107"/>
    <w:bookmarkStart w:id="108" w:name="ref-Venables02"/>
    <w:p>
      <w:pPr>
        <w:pStyle w:val="Bibliography"/>
      </w:pPr>
      <w:r>
        <w:t xml:space="preserve">Venables, W.N., Ripley, B.D., 2002. Modern applied statistics with S, Fourth. ed. Springer-Verlag, New York, New York.</w:t>
      </w:r>
    </w:p>
    <w:bookmarkEnd w:id="108"/>
    <w:bookmarkStart w:id="110"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9">
        <w:r>
          <w:rPr>
            <w:rStyle w:val="Hyperlink"/>
          </w:rPr>
          <w:t xml:space="preserve">https://doi.org/10.1007/s00267-006-0135-8</w:t>
        </w:r>
      </w:hyperlink>
    </w:p>
    <w:bookmarkEnd w:id="110"/>
    <w:bookmarkStart w:id="111" w:name="ref-Zuur07"/>
    <w:p>
      <w:pPr>
        <w:pStyle w:val="Bibliography"/>
      </w:pPr>
      <w:r>
        <w:t xml:space="preserve">Zuur, A.F., Ieno, E.N., Smith, G.M., 2007. Analysing ecological data. Springer-Verlag, New York, New York.</w:t>
      </w:r>
    </w:p>
    <w:bookmarkEnd w:id="111"/>
    <w:bookmarkEnd w:id="11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hyperlink" Id="rId66" Target="http://doi.org/10.5281/zenodo.2587212" TargetMode="External" /><Relationship Type="http://schemas.openxmlformats.org/officeDocument/2006/relationships/hyperlink" Id="rId68" Target="http://doi.org/10.5281/zenodo.2605438" TargetMode="External" /><Relationship Type="http://schemas.openxmlformats.org/officeDocument/2006/relationships/hyperlink" Id="rId64" Target="https://doi.org/10.1002/ieam.118" TargetMode="External" /><Relationship Type="http://schemas.openxmlformats.org/officeDocument/2006/relationships/hyperlink" Id="rId83" Target="https://doi.org/10.1002/ieam.1702" TargetMode="External" /><Relationship Type="http://schemas.openxmlformats.org/officeDocument/2006/relationships/hyperlink" Id="rId109" Target="https://doi.org/10.1007/s00267-006-0135-8" TargetMode="External" /><Relationship Type="http://schemas.openxmlformats.org/officeDocument/2006/relationships/hyperlink" Id="rId102" Target="https://doi.org/10.1007/s11273-011-9230-6" TargetMode="External" /><Relationship Type="http://schemas.openxmlformats.org/officeDocument/2006/relationships/hyperlink" Id="rId78"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81" Target="https://doi.org/10.1046/j.1365-2427.1999.00437.x" TargetMode="External" /><Relationship Type="http://schemas.openxmlformats.org/officeDocument/2006/relationships/hyperlink" Id="rId93" Target="https://doi.org/10.1046/j.1529-8817.1999.3530460.x" TargetMode="External" /><Relationship Type="http://schemas.openxmlformats.org/officeDocument/2006/relationships/hyperlink" Id="rId87" Target="https://doi.org/10.1111/j.1365-2427.1987.tb01027.x" TargetMode="External" /><Relationship Type="http://schemas.openxmlformats.org/officeDocument/2006/relationships/hyperlink" Id="rId76" Target="https://doi.org/10.1890/1051-0761(2000)010[1456:DAEOPM]2.0.CO;2" TargetMode="External" /><Relationship Type="http://schemas.openxmlformats.org/officeDocument/2006/relationships/hyperlink" Id="rId104" Target="https://doi.org/10.1890/1051-0761(2006)016[1267:SEFTEC]2.0.CO;2" TargetMode="External" /><Relationship Type="http://schemas.openxmlformats.org/officeDocument/2006/relationships/hyperlink" Id="rId70" Target="https://doi.org/10.1899/06-078.1" TargetMode="External" /><Relationship Type="http://schemas.openxmlformats.org/officeDocument/2006/relationships/hyperlink" Id="rId95" Target="https://doi.org/10.1899/08-098.1" TargetMode="External" /><Relationship Type="http://schemas.openxmlformats.org/officeDocument/2006/relationships/hyperlink" Id="rId51" Target="https://github.com/SCCWRP/SQI" TargetMode="External" /><Relationship Type="http://schemas.openxmlformats.org/officeDocument/2006/relationships/hyperlink" Id="rId50" Target="https://sccwrp.shinyapps.io/SQI_Shiny" TargetMode="External" /><Relationship Type="http://schemas.openxmlformats.org/officeDocument/2006/relationships/hyperlink" Id="rId47" Target="https://sccwrp.shinyapps.io/sqi_shiny" TargetMode="External" /><Relationship Type="http://schemas.openxmlformats.org/officeDocument/2006/relationships/hyperlink" Id="rId37" Target="https://www.waterboards.ca.gov/sandiego/water_issues/programs/basin_plan/bio_objectives/doc/R9_Biological_Objectives_Staff_Report_Feb2019.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6" Target="http://doi.org/10.5281/zenodo.2587212" TargetMode="External" /><Relationship Type="http://schemas.openxmlformats.org/officeDocument/2006/relationships/hyperlink" Id="rId68" Target="http://doi.org/10.5281/zenodo.2605438" TargetMode="External" /><Relationship Type="http://schemas.openxmlformats.org/officeDocument/2006/relationships/hyperlink" Id="rId64" Target="https://doi.org/10.1002/ieam.118" TargetMode="External" /><Relationship Type="http://schemas.openxmlformats.org/officeDocument/2006/relationships/hyperlink" Id="rId83" Target="https://doi.org/10.1002/ieam.1702" TargetMode="External" /><Relationship Type="http://schemas.openxmlformats.org/officeDocument/2006/relationships/hyperlink" Id="rId109" Target="https://doi.org/10.1007/s00267-006-0135-8" TargetMode="External" /><Relationship Type="http://schemas.openxmlformats.org/officeDocument/2006/relationships/hyperlink" Id="rId102" Target="https://doi.org/10.1007/s11273-011-9230-6" TargetMode="External" /><Relationship Type="http://schemas.openxmlformats.org/officeDocument/2006/relationships/hyperlink" Id="rId78"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81" Target="https://doi.org/10.1046/j.1365-2427.1999.00437.x" TargetMode="External" /><Relationship Type="http://schemas.openxmlformats.org/officeDocument/2006/relationships/hyperlink" Id="rId93" Target="https://doi.org/10.1046/j.1529-8817.1999.3530460.x" TargetMode="External" /><Relationship Type="http://schemas.openxmlformats.org/officeDocument/2006/relationships/hyperlink" Id="rId87" Target="https://doi.org/10.1111/j.1365-2427.1987.tb01027.x" TargetMode="External" /><Relationship Type="http://schemas.openxmlformats.org/officeDocument/2006/relationships/hyperlink" Id="rId76" Target="https://doi.org/10.1890/1051-0761(2000)010[1456:DAEOPM]2.0.CO;2" TargetMode="External" /><Relationship Type="http://schemas.openxmlformats.org/officeDocument/2006/relationships/hyperlink" Id="rId104" Target="https://doi.org/10.1890/1051-0761(2006)016[1267:SEFTEC]2.0.CO;2" TargetMode="External" /><Relationship Type="http://schemas.openxmlformats.org/officeDocument/2006/relationships/hyperlink" Id="rId70" Target="https://doi.org/10.1899/06-078.1" TargetMode="External" /><Relationship Type="http://schemas.openxmlformats.org/officeDocument/2006/relationships/hyperlink" Id="rId95" Target="https://doi.org/10.1899/08-098.1" TargetMode="External" /><Relationship Type="http://schemas.openxmlformats.org/officeDocument/2006/relationships/hyperlink" Id="rId51" Target="https://github.com/SCCWRP/SQI" TargetMode="External" /><Relationship Type="http://schemas.openxmlformats.org/officeDocument/2006/relationships/hyperlink" Id="rId50" Target="https://sccwrp.shinyapps.io/SQI_Shiny" TargetMode="External" /><Relationship Type="http://schemas.openxmlformats.org/officeDocument/2006/relationships/hyperlink" Id="rId47" Target="https://sccwrp.shinyapps.io/sqi_shiny" TargetMode="External" /><Relationship Type="http://schemas.openxmlformats.org/officeDocument/2006/relationships/hyperlink" Id="rId37" Target="https://www.waterboards.ca.gov/sandiego/water_issues/programs/basin_plan/bio_objectives/doc/R9_Biological_Objectives_Staff_Report_Feb2019.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2019-04-22T16:52:20Z</dcterms:created>
  <dcterms:modified xsi:type="dcterms:W3CDTF">2019-04-22T16:52:20Z</dcterms:modified>
</cp:coreProperties>
</file>