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8.png" ContentType="image/png"/>
  <Override PartName="/word/media/rId59.png" ContentType="image/png"/>
  <Override PartName="/word/media/rId60.png" ContentType="image/png"/>
  <Override PartName="/word/media/rId53.png" ContentType="image/png"/>
  <Override PartName="/word/media/rId52.png" ContentType="image/png"/>
  <Override PartName="/word/media/rId55.png" ContentType="image/png"/>
  <Override PartName="/word/media/rId54.png" ContentType="image/png"/>
  <Override PartName="/word/media/rId5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 types is common, combining them into a unified assessment of stream quality is rare. In this study, a unified index was developed that compares biological response to physical and chemical stressors for southern California wadeable streams using a scientifically rigorous, easy-to-understand tool intended to facilitate stream management. The Stream Quality Index (SQI) is based on a stressor-response empirical model that quantifies the expected likelihood that chemical and physical stressors will impact multiple components of biological condition. While the individual stressor and response components are quantitative and have similar meaning across a variety of environmental settings, the final SQI narrative assessment is categorical and designed to be directly actionable within a management context. The four narrative assessment categories are: (1)</w:t>
      </w:r>
      <w:r>
        <w:t xml:space="preserve"> </w:t>
      </w:r>
      <w:r>
        <w:t xml:space="preserve">“</w:t>
      </w:r>
      <w:r>
        <w:t xml:space="preserve">healthy and unstressed</w:t>
      </w:r>
      <w:r>
        <w:t xml:space="preserve">”</w:t>
      </w:r>
      <w:r>
        <w:t xml:space="preserve"> </w:t>
      </w:r>
      <w:r>
        <w:t xml:space="preserve">(i.e., unimpacted biology, no stressors); (2)</w:t>
      </w:r>
      <w:r>
        <w:t xml:space="preserve"> </w:t>
      </w:r>
      <w:r>
        <w:t xml:space="preserve">“</w:t>
      </w:r>
      <w:r>
        <w:t xml:space="preserve">healthy and resilient</w:t>
      </w:r>
      <w:r>
        <w:t xml:space="preserve">”</w:t>
      </w:r>
      <w:r>
        <w:t xml:space="preserve"> </w:t>
      </w:r>
      <w:r>
        <w:t xml:space="preserve">(i.e., stressed, but biological communities are healthy); (3)</w:t>
      </w:r>
      <w:r>
        <w:t xml:space="preserve"> </w:t>
      </w:r>
      <w:r>
        <w:t xml:space="preserve">“</w:t>
      </w:r>
      <w:r>
        <w:t xml:space="preserve">impacted and stressed</w:t>
      </w:r>
      <w:r>
        <w:t xml:space="preserve">”</w:t>
      </w:r>
      <w:r>
        <w:t xml:space="preserve"> </w:t>
      </w:r>
      <w:r>
        <w:t xml:space="preserve">(i.e., impacted biology from observed stressors); and (4)</w:t>
      </w:r>
      <w:r>
        <w:t xml:space="preserve"> </w:t>
      </w:r>
      <w:r>
        <w:t xml:space="preserve">“</w:t>
      </w:r>
      <w:r>
        <w:t xml:space="preserve">impacted by unknown stress</w:t>
      </w:r>
      <w:r>
        <w:t xml:space="preserve">”</w:t>
      </w:r>
      <w:r>
        <w:t xml:space="preserve"> </w:t>
      </w:r>
      <w:r>
        <w:t xml:space="preserve">(i.e., biology is impacted, but stressors are low). To facilitate adoption by managers, a web-based application was developed that not only maps overall SQI results, but also enables users to readily access underlying quantitative information for stressors and biological responses. This transparent design was intended; high-level output and foundational components of the SQI are relevant for different audiences and details are not sacrificed for accessibility.</w:t>
      </w:r>
    </w:p>
    <w:p>
      <w:pPr>
        <w:pStyle w:val="BodyText"/>
      </w:pPr>
      <w:r>
        <w:rPr>
          <w:i/>
        </w:rPr>
        <w:t xml:space="preserve">Key words</w:t>
      </w:r>
      <w:r>
        <w:t xml:space="preserve"> </w:t>
      </w:r>
      <w:r>
        <w:t xml:space="preserve">Bioassessment, communication, stream health, stressors, synthesis, visualization</w:t>
      </w:r>
    </w:p>
    <w:p>
      <w:pPr>
        <w:pStyle w:val="BodyText"/>
      </w:pPr>
      <w:r>
        <w:rPr>
          <w:i/>
        </w:rPr>
        <w:t xml:space="preserve">Abbreviations</w:t>
      </w:r>
      <w:r>
        <w:t xml:space="preserve"> </w:t>
      </w:r>
      <w:r>
        <w:t xml:space="preserve">ASCI: Algal Stream Condition Index, BMI: Benthic Macroinvertebrate Index, CRAM: California Rapid Assessment Methods, CSCI: California Stream Condition Index, CWQI: Canadian Water Quality Index, IBI: Index of Biological Integrity, IPI: Index of Physical Habitat Integrity, PHAB: Physical Habitat, SMC: Stormwater Monitoring Coalition, SQI: Stream Quality Index</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1251, 1972). Monitoring physical habitat integrity facilitates determination of whether all necessary environmental niches (e.g., hydrology, riparian structure, in-stream substrate) are present to support a diverse aquatic community</w:t>
      </w:r>
      <w:r>
        <w:t xml:space="preserve"> </w:t>
      </w:r>
      <w:r>
        <w:t xml:space="preserve">[</w:t>
      </w:r>
      <w:hyperlink w:anchor="ref-Maddock99">
        <w:r>
          <w:rPr>
            <w:rStyle w:val="Hyperlink"/>
          </w:rPr>
          <w:t xml:space="preserve">1</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w:t>
      </w:r>
      <w:hyperlink w:anchor="ref-Wang07">
        <w:r>
          <w:rPr>
            <w:rStyle w:val="Hyperlink"/>
          </w:rPr>
          <w:t xml:space="preserve">2</w:t>
        </w:r>
      </w:hyperlink>
      <w:r>
        <w:t xml:space="preserve">,</w:t>
      </w:r>
      <w:hyperlink w:anchor="ref-Maruya16">
        <w:r>
          <w:rPr>
            <w:rStyle w:val="Hyperlink"/>
          </w:rPr>
          <w:t xml:space="preserve">3</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including any synergistic effects of measured and unmeasured parameters</w:t>
      </w:r>
      <w:r>
        <w:t xml:space="preserve"> </w:t>
      </w:r>
      <w:r>
        <w:t xml:space="preserve">[</w:t>
      </w:r>
      <w:hyperlink w:anchor="ref-Bowman06">
        <w:r>
          <w:rPr>
            <w:rStyle w:val="Hyperlink"/>
          </w:rPr>
          <w:t xml:space="preserve">6</w:t>
        </w:r>
      </w:hyperlink>
      <w:r>
        <w:t xml:space="preserve">]</w:t>
      </w:r>
      <w:r>
        <w:t xml:space="preserve">.</w:t>
      </w:r>
    </w:p>
    <w:p>
      <w:pPr>
        <w:pStyle w:val="BodyText"/>
      </w:pPr>
      <w:r>
        <w:t xml:space="preserve">Tremendous effort is expended to monitor all three types of stream integrity indicators. Despite varying spatial scales and complexities, all monitoring programs share the challenge of how to effectively communicate physical, chemical, and biological data in a scientifically rigorous, repeatable, and readily understandable way to non-scientists</w:t>
      </w:r>
      <w:r>
        <w:t xml:space="preserve"> </w:t>
      </w:r>
      <w:r>
        <w:t xml:space="preserve">[</w:t>
      </w:r>
      <w:hyperlink w:anchor="ref-NRC90">
        <w:r>
          <w:rPr>
            <w:rStyle w:val="Hyperlink"/>
          </w:rPr>
          <w:t xml:space="preserve">7</w:t>
        </w:r>
      </w:hyperlink>
      <w:r>
        <w:t xml:space="preserve">]</w:t>
      </w:r>
      <w:r>
        <w:t xml:space="preserve">. Because most environmental managers are not scientists, and similarly, scientists may not understand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w:t>
      </w:r>
      <w:hyperlink w:anchor="ref-Paulsen08">
        <w:r>
          <w:rPr>
            <w:rStyle w:val="Hyperlink"/>
          </w:rPr>
          <w:t xml:space="preserve">8</w:t>
        </w:r>
      </w:hyperlink>
      <w:r>
        <w:t xml:space="preserve">]</w:t>
      </w:r>
      <w:r>
        <w:t xml:space="preserve">. This is particularly true when physical, chemical, and biological indicators are not in complete agreement with one another.</w:t>
      </w:r>
    </w:p>
    <w:p>
      <w:pPr>
        <w:pStyle w:val="BodyText"/>
      </w:pPr>
      <w:r>
        <w:t xml:space="preserve">Multiple well-known tools exist for effectively assessing and evaluating different components of stream condition. Bioassessment tools include the Index of Biological Integrity</w:t>
      </w:r>
      <w:r>
        <w:t xml:space="preserve"> </w:t>
      </w:r>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Observed to Expected ratios</w:t>
      </w:r>
      <w:r>
        <w:t xml:space="preserve"> </w:t>
      </w:r>
      <w:r>
        <w:t xml:space="preserve">[</w:t>
      </w:r>
      <w:hyperlink w:anchor="ref-Hawkins00b">
        <w:r>
          <w:rPr>
            <w:rStyle w:val="Hyperlink"/>
          </w:rPr>
          <w:t xml:space="preserve">11</w:t>
        </w:r>
      </w:hyperlink>
      <w:r>
        <w:t xml:space="preserve">,</w:t>
      </w:r>
      <w:hyperlink w:anchor="ref-Joy02">
        <w:r>
          <w:rPr>
            <w:rStyle w:val="Hyperlink"/>
          </w:rPr>
          <w:t xml:space="preserve">12</w:t>
        </w:r>
      </w:hyperlink>
      <w:r>
        <w:t xml:space="preserve">]</w:t>
      </w:r>
      <w:r>
        <w:t xml:space="preserve">, and hybrids of the IBI and O/E</w:t>
      </w:r>
      <w:r>
        <w:t xml:space="preserve"> </w:t>
      </w:r>
      <w:r>
        <w:t xml:space="preserve">[</w:t>
      </w:r>
      <w:hyperlink w:anchor="ref-Mazor16">
        <w:r>
          <w:rPr>
            <w:rStyle w:val="Hyperlink"/>
          </w:rPr>
          <w:t xml:space="preserve">13</w:t>
        </w:r>
      </w:hyperlink>
      <w:r>
        <w:t xml:space="preserve">]</w:t>
      </w:r>
      <w:r>
        <w:t xml:space="preserve">. Chemical assessment tools include the Canadian Council of Ministers of the Environment (CCME) Water Quality Index</w:t>
      </w:r>
      <w:r>
        <w:t xml:space="preserve"> </w:t>
      </w:r>
      <w:r>
        <w:t xml:space="preserve">[</w:t>
      </w:r>
      <w:hyperlink w:anchor="ref-CCME01">
        <w:r>
          <w:rPr>
            <w:rStyle w:val="Hyperlink"/>
          </w:rPr>
          <w:t xml:space="preserve">14</w:t>
        </w:r>
      </w:hyperlink>
      <w:r>
        <w:t xml:space="preserve">,</w:t>
      </w:r>
      <w:hyperlink w:anchor="ref-Hurley12">
        <w:r>
          <w:rPr>
            <w:rStyle w:val="Hyperlink"/>
          </w:rPr>
          <w:t xml:space="preserve">15</w:t>
        </w:r>
      </w:hyperlink>
      <w:r>
        <w:t xml:space="preserve">]</w:t>
      </w:r>
      <w:r>
        <w:t xml:space="preserve">. Physical habitat assessment tools</w:t>
      </w:r>
      <w:r>
        <w:t xml:space="preserve"> </w:t>
      </w:r>
      <w:r>
        <w:t xml:space="preserve">[</w:t>
      </w:r>
      <w:hyperlink w:anchor="ref-Rankin95">
        <w:r>
          <w:rPr>
            <w:rStyle w:val="Hyperlink"/>
          </w:rPr>
          <w:t xml:space="preserve">16</w:t>
        </w:r>
      </w:hyperlink>
      <w:r>
        <w:t xml:space="preserve">]</w:t>
      </w:r>
      <w:r>
        <w:t xml:space="preserve">, which are less common, include the California Rapid Assessment Method</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w:t>
      </w:r>
      <w:r>
        <w:t xml:space="preserve">and the more recently developed Index of Physical Integrity</w:t>
      </w:r>
      <w:r>
        <w:t xml:space="preserve"> </w:t>
      </w:r>
      <w:r>
        <w:t xml:space="preserve">[</w:t>
      </w:r>
      <w:hyperlink w:anchor="ref-Rehn18">
        <w:r>
          <w:rPr>
            <w:rStyle w:val="Hyperlink"/>
          </w:rPr>
          <w:t xml:space="preserve">19</w:t>
        </w:r>
      </w:hyperlink>
      <w:r>
        <w:t xml:space="preserve">]</w:t>
      </w:r>
      <w:r>
        <w:t xml:space="preserve">. These established tools are typically used to separately address chemical, physical, and biological components of the United States CWA and under the Porter-Cologne Act in the state of California.</w:t>
      </w:r>
    </w:p>
    <w:p>
      <w:pPr>
        <w:pStyle w:val="BodyText"/>
      </w:pPr>
      <w:r>
        <w:t xml:space="preserve">An assessment tool that combines physical, chemical, and biological indicators into a single unified assessment is exceedingly rare</w:t>
      </w:r>
      <w:r>
        <w:t xml:space="preserve"> </w:t>
      </w:r>
      <w:r>
        <w:t xml:space="preserve">[</w:t>
      </w:r>
      <w:hyperlink w:anchor="ref-Bay12">
        <w:r>
          <w:rPr>
            <w:rStyle w:val="Hyperlink"/>
          </w:rPr>
          <w:t xml:space="preserve">20</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w:t>
      </w:r>
      <w:hyperlink w:anchor="ref-Paulsen08">
        <w:r>
          <w:rPr>
            <w:rStyle w:val="Hyperlink"/>
          </w:rPr>
          <w:t xml:space="preserve">8</w:t>
        </w:r>
      </w:hyperlink>
      <w:r>
        <w:t xml:space="preserve">]</w:t>
      </w:r>
      <w:r>
        <w:t xml:space="preserve">. However, a single unified assessment is preferable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stressor(s) is/are impacting biological indicator(s), and that can be replicated elsewhere. The goal of this study was to develop a tool that meets all three criteria. Because biological indicators provide direct measures of aquatic life, while physical and chemical measures provide supporting information about the stressors that may affect aquatic life, this study sought to develop a method for combining the three indicators in a way that would preserve the types of information provided by each. Our approach will contribute to the current literature by presenting a proof of concept for synthesizing multiple condition assessments in an easily communicated format, while retaining the individual components for follow-up analysis. This is a likely improvement over treating indicators as equivalent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the stream environment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indices were selected that quantify flow, channel, and riparian condition observed at a site. Specific justification for the chosen stressors and their relationship to biology is described below. In short, the conceptual stressor-response model reflected by our choice of indicators is generally described as the habitat requirements for biological organisms and the alteration (i.e., response) in the structure and function of these communities along stressor gradients as habitat quality declines. These relationships establish the foundation of many bioassessment methods</w:t>
      </w:r>
      <w:r>
        <w:t xml:space="preserve"> </w:t>
      </w:r>
      <w:r>
        <w:t xml:space="preserve">[</w:t>
      </w:r>
      <w:hyperlink w:anchor="ref-Stoddard06">
        <w:r>
          <w:rPr>
            <w:rStyle w:val="Hyperlink"/>
          </w:rPr>
          <w:t xml:space="preserve">4</w:t>
        </w:r>
      </w:hyperlink>
      <w:r>
        <w:t xml:space="preserve">,</w:t>
      </w:r>
      <w:hyperlink w:anchor="ref-Karr81">
        <w:r>
          <w:rPr>
            <w:rStyle w:val="Hyperlink"/>
          </w:rPr>
          <w:t xml:space="preserve">9</w:t>
        </w:r>
      </w:hyperlink>
      <w:r>
        <w:t xml:space="preserve">,</w:t>
      </w:r>
      <w:hyperlink w:anchor="ref-Karr99">
        <w:r>
          <w:rPr>
            <w:rStyle w:val="Hyperlink"/>
          </w:rPr>
          <w:t xml:space="preserve">10</w:t>
        </w:r>
      </w:hyperlink>
      <w:r>
        <w:t xml:space="preserve">]</w:t>
      </w:r>
      <w:r>
        <w:t xml:space="preserve"> </w:t>
      </w:r>
      <w:r>
        <w:t xml:space="preserve">and our stressor-response model reflects these principles.</w:t>
      </w:r>
    </w:p>
    <w:p>
      <w:pPr>
        <w:pStyle w:val="BodyText"/>
      </w:pPr>
      <w:r>
        <w:t xml:space="preserve">The four narrative assessment categories were defined in a way that would align with management processes by indicating biological condition and suggesting which stressor categories are associated with the condition. These categories provide a first indication of how biology at a site responds to stressors, which could then be used to prioritize follow-up actions, such as causal assessment.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Xd71738c2a8536eb28edbc0077a20add097195e3"/>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w:t>
      </w:r>
      <w:hyperlink w:anchor="ref-Mazor16">
        <w:r>
          <w:rPr>
            <w:rStyle w:val="Hyperlink"/>
          </w:rPr>
          <w:t xml:space="preserve">13</w:t>
        </w:r>
      </w:hyperlink>
      <w:r>
        <w:t xml:space="preserve">,</w:t>
      </w:r>
      <w:hyperlink w:anchor="ref-Therouxip">
        <w:r>
          <w:rPr>
            <w:rStyle w:val="Hyperlink"/>
          </w:rPr>
          <w:t xml:space="preserve">21</w:t>
        </w:r>
      </w:hyperlink>
      <w:r>
        <w:t xml:space="preserve">]</w:t>
      </w:r>
      <w:r>
        <w:t xml:space="preserve">; the indices were treated as complementary assessment tools in the SQI.</w:t>
      </w:r>
    </w:p>
    <w:p>
      <w:pPr>
        <w:pStyle w:val="BodyText"/>
      </w:pPr>
      <w:r>
        <w:t xml:space="preserve">The California Stream Condition Index (CSCI,</w:t>
      </w:r>
      <w:r>
        <w:t xml:space="preserve"> </w:t>
      </w:r>
      <w:r>
        <w:t xml:space="preserve">[</w:t>
      </w:r>
      <w:hyperlink w:anchor="ref-Mazor16">
        <w:r>
          <w:rPr>
            <w:rStyle w:val="Hyperlink"/>
          </w:rPr>
          <w:t xml:space="preserve">13</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w:t>
      </w:r>
      <w:hyperlink w:anchor="ref-Stoddard06">
        <w:r>
          <w:rPr>
            <w:rStyle w:val="Hyperlink"/>
          </w:rPr>
          <w:t xml:space="preserve">4</w:t>
        </w:r>
      </w:hyperlink>
      <w:r>
        <w:t xml:space="preserve">]</w:t>
      </w:r>
      <w:r>
        <w:t xml:space="preserve">). Expected values at a site are based on models that estimate the likely macroinvertebrate community relative to factors that naturally influence biology</w:t>
      </w:r>
      <w:r>
        <w:t xml:space="preserve"> </w:t>
      </w:r>
      <w:r>
        <w:t xml:space="preserve">[</w:t>
      </w:r>
      <w:hyperlink w:anchor="ref-Moss87">
        <w:r>
          <w:rPr>
            <w:rStyle w:val="Hyperlink"/>
          </w:rPr>
          <w:t xml:space="preserve">22</w:t>
        </w:r>
      </w:hyperlink>
      <w:r>
        <w:t xml:space="preserve">,</w:t>
      </w:r>
      <w:hyperlink w:anchor="ref-Cao07">
        <w:r>
          <w:rPr>
            <w:rStyle w:val="Hyperlink"/>
          </w:rPr>
          <w:t xml:space="preserve">23</w:t>
        </w:r>
      </w:hyperlink>
      <w:r>
        <w:t xml:space="preserve">]</w:t>
      </w:r>
      <w:r>
        <w:t xml:space="preserve">.</w:t>
      </w:r>
    </w:p>
    <w:p>
      <w:pPr>
        <w:pStyle w:val="BodyText"/>
      </w:pPr>
      <w:r>
        <w:t xml:space="preserve">The Algal Stream Condition Index (ASCI,</w:t>
      </w:r>
      <w:r>
        <w:t xml:space="preserve"> </w:t>
      </w:r>
      <w:r>
        <w:t xml:space="preserve">[</w:t>
      </w:r>
      <w:hyperlink w:anchor="ref-Therouxip">
        <w:r>
          <w:rPr>
            <w:rStyle w:val="Hyperlink"/>
          </w:rPr>
          <w:t xml:space="preserve">21</w:t>
        </w:r>
      </w:hyperlink>
      <w:r>
        <w:t xml:space="preserve">]</w:t>
      </w:r>
      <w:r>
        <w:t xml:space="preserve">) was similarly developed as a biological response endpoint for primary production, with implications for ecosystem function; the ASCI is a non-predictive multi-metric index (i.e., it uses a uniform, statewide reference expectation) that incorporates both diatoms and soft-bodied algae. Scores for both the CSCI and ASCI can range from 0 to ~ 1.4, with a score of 1 at sites in reference condition and lower values indicating biological degradation. Both communities are used as standard assessment measures for perennial wadeable streams in California.</w:t>
      </w:r>
    </w:p>
    <w:p>
      <w:pPr>
        <w:pStyle w:val="BodyText"/>
      </w:pPr>
      <w:r>
        <w:t xml:space="preserve">Index scores were compared to the distribution of scores at reference sites statewide to identify biological condition classes that described the likelihood of biological alteration. For both the CSCI and ASCI, the 1st, 10th, and 30th percentiles of scores at reference sites with minimal human disturbance</w:t>
      </w:r>
      <w:r>
        <w:t xml:space="preserve"> </w:t>
      </w:r>
      <w:r>
        <w:t xml:space="preserve">[</w:t>
      </w:r>
      <w:hyperlink w:anchor="ref-Stoddard06">
        <w:r>
          <w:rPr>
            <w:rStyle w:val="Hyperlink"/>
          </w:rPr>
          <w:t xml:space="preserve">4</w:t>
        </w:r>
      </w:hyperlink>
      <w:r>
        <w:t xml:space="preserve">,</w:t>
      </w:r>
      <w:hyperlink w:anchor="ref-Ode16">
        <w:r>
          <w:rPr>
            <w:rStyle w:val="Hyperlink"/>
          </w:rPr>
          <w:t xml:space="preserve">5</w:t>
        </w:r>
      </w:hyperlink>
      <w:r>
        <w:t xml:space="preserve">]</w:t>
      </w:r>
      <w:r>
        <w:t xml:space="preserve"> </w:t>
      </w:r>
      <w:r>
        <w:t xml:space="preserve">were used to categorize all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1</w:t>
      </w:r>
      <w:r>
        <w:t xml:space="preserve">). This produced four classes for each index, such that each site had two categories describing separate measures of the likelihood of biological alteration in the benthic macroinvertebrate and algal communities. Both response endpoints were jointly considered in the calculation of the SQI for evaluating overall biological condition, described below. Analysis of multiple assemblages provides a more comprehensive assessment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X2e8a059881a1a74830506931182fa1e8b7fab11"/>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represented an overall condition reflected by both biological indices. A technical advisory committee with representatives from local management institutions provided guidance on assigning these values in accordance with two principles. First, the two indices should be independently applicable, so that a measure of good health in one index cannot negate measures of poor health in the other. Second, the numeric values should be sensitive to differences between sites in marginal or extreme conditions. For example, the numeric value for a sample where both indices suggest likely intact biological communities will be higher than for a sample where one index suggests likely intact and the other suggests possibly altered. This sensitivity improves detection of small changes in condition. The final numeric values ranged from -6 to +5 (Table</w:t>
      </w:r>
      <w:r>
        <w:t xml:space="preserve"> </w:t>
      </w:r>
      <w:r>
        <w:t xml:space="preserve">1</w:t>
      </w:r>
      <w:r>
        <w:t xml:space="preserve">). All negative values suggest impacted conditions for one or both biological indices.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w:t>
      </w:r>
      <w:hyperlink w:anchor="ref-Therouxip">
        <w:r>
          <w:rPr>
            <w:rStyle w:val="Hyperlink"/>
          </w:rPr>
          <w:t xml:space="preserve">21</w:t>
        </w:r>
      </w:hyperlink>
      <w:r>
        <w:t xml:space="preserve">,</w:t>
      </w:r>
      <w:hyperlink w:anchor="ref-Mazor15">
        <w:r>
          <w:rPr>
            <w:rStyle w:val="Hyperlink"/>
          </w:rPr>
          <w:t xml:space="preserve">24</w:t>
        </w:r>
      </w:hyperlink>
      <w:r>
        <w:t xml:space="preserve">]</w:t>
      </w:r>
      <w:r>
        <w:t xml:space="preserve">, are strongly linked to the structure and function of both invertebrate and algal assemblages</w:t>
      </w:r>
      <w:r>
        <w:t xml:space="preserve"> </w:t>
      </w:r>
      <w:r>
        <w:t xml:space="preserve">[</w:t>
      </w:r>
      <w:hyperlink w:anchor="ref-Wang07">
        <w:r>
          <w:rPr>
            <w:rStyle w:val="Hyperlink"/>
          </w:rPr>
          <w:t xml:space="preserve">2</w:t>
        </w:r>
      </w:hyperlink>
      <w:r>
        <w:t xml:space="preserve">,</w:t>
      </w:r>
      <w:hyperlink w:anchor="ref-Richards97">
        <w:r>
          <w:rPr>
            <w:rStyle w:val="Hyperlink"/>
          </w:rPr>
          <w:t xml:space="preserve">25</w:t>
        </w:r>
      </w:hyperlink>
      <w:r>
        <w:t xml:space="preserve">,</w:t>
      </w:r>
      <w:hyperlink w:anchor="ref-Pan02">
        <w:r>
          <w:rPr>
            <w:rStyle w:val="Hyperlink"/>
          </w:rPr>
          <w:t xml:space="preserve">26</w:t>
        </w:r>
      </w:hyperlink>
      <w:r>
        <w:t xml:space="preserve">]</w:t>
      </w:r>
      <w:r>
        <w:t xml:space="preserve">. Depending on the context, stream health or condition can be reflected by physical habitat as a response to external drivers.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These variables are commonly associated with development gradients present in the study region (e.g., urbanization,</w:t>
      </w:r>
      <w:r>
        <w:t xml:space="preserve"> </w:t>
      </w:r>
      <w:r>
        <w:t xml:space="preserve">[</w:t>
      </w:r>
      <w:hyperlink w:anchor="ref-Dodds02">
        <w:r>
          <w:rPr>
            <w:rStyle w:val="Hyperlink"/>
          </w:rPr>
          <w:t xml:space="preserve">27</w:t>
        </w:r>
      </w:hyperlink>
      <w:r>
        <w:t xml:space="preserve">]</w:t>
      </w:r>
      <w:r>
        <w:t xml:space="preserve">,</w:t>
      </w:r>
      <w:r>
        <w:t xml:space="preserve"> </w:t>
      </w:r>
      <w:r>
        <w:t xml:space="preserve">[</w:t>
      </w:r>
      <w:hyperlink w:anchor="ref-Walsh05">
        <w:r>
          <w:rPr>
            <w:rStyle w:val="Hyperlink"/>
          </w:rPr>
          <w:t xml:space="preserve">28</w:t>
        </w:r>
      </w:hyperlink>
      <w:r>
        <w:t xml:space="preserve">]</w:t>
      </w:r>
      <w:r>
        <w:t xml:space="preserve">). Additionally, these variables can act as surrogates for unmeasured or alternative water quality pollutants at a site related to eutrophication</w:t>
      </w:r>
      <w:r>
        <w:t xml:space="preserve"> </w:t>
      </w:r>
      <w:r>
        <w:t xml:space="preserve">[</w:t>
      </w:r>
      <w:hyperlink w:anchor="ref-Dodds16">
        <w:r>
          <w:rPr>
            <w:rStyle w:val="Hyperlink"/>
          </w:rPr>
          <w:t xml:space="preserve">29</w:t>
        </w:r>
      </w:hyperlink>
      <w:r>
        <w:t xml:space="preserve">]</w:t>
      </w:r>
      <w:r>
        <w:t xml:space="preserve">. Although other contaminants that can affect aquatic organisms are sometimes measured (e.g., metals, pesticides, pharmaceuticals), observations can be sparsely distributed in the study region</w:t>
      </w:r>
      <w:r>
        <w:t xml:space="preserve"> </w:t>
      </w:r>
      <w:r>
        <w:t xml:space="preserve">[</w:t>
      </w:r>
      <w:hyperlink w:anchor="ref-Mazor15">
        <w:r>
          <w:rPr>
            <w:rStyle w:val="Hyperlink"/>
          </w:rPr>
          <w:t xml:space="preserve">24</w:t>
        </w:r>
      </w:hyperlink>
      <w:r>
        <w:t xml:space="preserve">]</w:t>
      </w:r>
      <w:r>
        <w:t xml:space="preserve">. Eutrophication is a more ubiquitous issue in the study region, although we acknowledge that other stressors not captured by the SQI may affect biological condition.</w:t>
      </w:r>
    </w:p>
    <w:p>
      <w:pPr>
        <w:pStyle w:val="BodyText"/>
      </w:pPr>
      <w:r>
        <w:t xml:space="preserve">Physical habitat conditions at a site were quantified using two indices of habitat condition developed for California water bodies: the Index of Physical Integrity (IPI;</w:t>
      </w:r>
      <w:r>
        <w:t xml:space="preserve"> </w:t>
      </w:r>
      <w:r>
        <w:t xml:space="preserve">[</w:t>
      </w:r>
      <w:hyperlink w:anchor="ref-Rehn18">
        <w:r>
          <w:rPr>
            <w:rStyle w:val="Hyperlink"/>
          </w:rPr>
          <w:t xml:space="preserve">19</w:t>
        </w:r>
      </w:hyperlink>
      <w:r>
        <w:t xml:space="preserve">]</w:t>
      </w:r>
      <w:r>
        <w:t xml:space="preserve">) and the California Rapid Assessment Method (CRAM) for riverine wetlands</w:t>
      </w:r>
      <w:r>
        <w:t xml:space="preserve"> </w:t>
      </w:r>
      <w:r>
        <w:t xml:space="preserve">[</w:t>
      </w:r>
      <w:hyperlink w:anchor="ref-Collins07">
        <w:r>
          <w:rPr>
            <w:rStyle w:val="Hyperlink"/>
          </w:rPr>
          <w:t xml:space="preserve">17</w:t>
        </w:r>
      </w:hyperlink>
      <w:r>
        <w:t xml:space="preserve">,</w:t>
      </w:r>
      <w:hyperlink w:anchor="ref-Solek11">
        <w:r>
          <w:rPr>
            <w:rStyle w:val="Hyperlink"/>
          </w:rPr>
          <w:t xml:space="preserve">18</w:t>
        </w:r>
      </w:hyperlink>
      <w:r>
        <w:t xml:space="preserve">]</w:t>
      </w:r>
      <w:r>
        <w:t xml:space="preserve">. Although IPI and CRAM scores can be correlated, the individual metrics that establish each index provide unique information about specific components of the physical habitat. Moreover, IPI scores specifically describe instream condition, whereas CRAM scores describe riparian condition.</w:t>
      </w:r>
    </w:p>
    <w:p>
      <w:pPr>
        <w:pStyle w:val="BodyText"/>
      </w:pPr>
      <w:r>
        <w:t xml:space="preserve">The IPI is an O/E index</w:t>
      </w:r>
      <w:r>
        <w:t xml:space="preserve"> </w:t>
      </w:r>
      <w:r>
        <w:t xml:space="preserve">[</w:t>
      </w:r>
      <w:hyperlink w:anchor="ref-Hawkins00b">
        <w:r>
          <w:rPr>
            <w:rStyle w:val="Hyperlink"/>
          </w:rPr>
          <w:t xml:space="preserve">11</w:t>
        </w:r>
      </w:hyperlink>
      <w:r>
        <w:t xml:space="preserve">]</w:t>
      </w:r>
      <w:r>
        <w:t xml:space="preserve"> </w:t>
      </w:r>
      <w:r>
        <w:t xml:space="preserve">based on physical habitat metrics (PHAB,</w:t>
      </w:r>
      <w:r>
        <w:t xml:space="preserve"> </w:t>
      </w:r>
      <w:r>
        <w:t xml:space="preserve">[</w:t>
      </w:r>
      <w:hyperlink w:anchor="ref-Rehn18">
        <w:r>
          <w:rPr>
            <w:rStyle w:val="Hyperlink"/>
          </w:rPr>
          <w:t xml:space="preserve">19</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fines, or concrete is inversely scored). All physical data used to calculate these metrics were collected using standard field protocols described in</w:t>
      </w:r>
      <w:r>
        <w:t xml:space="preserve"> </w:t>
      </w:r>
      <w:r>
        <w:t xml:space="preserve">[</w:t>
      </w:r>
      <w:hyperlink w:anchor="ref-Ode07">
        <w:r>
          <w:rPr>
            <w:rStyle w:val="Hyperlink"/>
          </w:rPr>
          <w:t xml:space="preserve">30</w:t>
        </w:r>
      </w:hyperlink>
      <w:r>
        <w:t xml:space="preserve">]</w:t>
      </w:r>
      <w:r>
        <w:t xml:space="preserve">, which are derived from protocols used in national assessments</w:t>
      </w:r>
      <w:r>
        <w:t xml:space="preserve"> </w:t>
      </w:r>
      <w:r>
        <w:t xml:space="preserve">[</w:t>
      </w:r>
      <w:hyperlink w:anchor="ref-USEPA16">
        <w:r>
          <w:rPr>
            <w:rStyle w:val="Hyperlink"/>
          </w:rPr>
          <w:t xml:space="preserve">31</w:t>
        </w:r>
      </w:hyperlink>
      <w:r>
        <w:t xml:space="preserve">]</w:t>
      </w:r>
      <w:r>
        <w:t xml:space="preserve">. As with the CSCI, the IPI is a predictive index, and values for most metrics are compared to site-specific expectations appropriate for the stream’s environmental setting. Detailed descriptions of each metric, including how they are measured, are included in</w:t>
      </w:r>
      <w:r>
        <w:t xml:space="preserve"> </w:t>
      </w:r>
      <w:r>
        <w:t xml:space="preserve">[</w:t>
      </w:r>
      <w:hyperlink w:anchor="ref-Rehn18">
        <w:r>
          <w:rPr>
            <w:rStyle w:val="Hyperlink"/>
          </w:rPr>
          <w:t xml:space="preserve">19</w:t>
        </w:r>
      </w:hyperlink>
      <w:r>
        <w:t xml:space="preserve">]</w:t>
      </w:r>
      <w:r>
        <w:t xml:space="preserve">.</w:t>
      </w:r>
    </w:p>
    <w:p>
      <w:pPr>
        <w:pStyle w:val="BodyText"/>
      </w:pPr>
      <w:r>
        <w:t xml:space="preserve">In contrast to the IPI, CRAM is based on qualitative assessments of four attributes of riparian wetland function: buffer and landscape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The CRAM component for buffer and landscape condition was not included further because it describes stress at scales much larger than the riparian corridor, i.e., it is a direct measure of land use and not as directly relevant for describing proximate stressors affecting or associated with biology.</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w:t>
      </w:r>
      <w:hyperlink w:anchor="ref-Fox11">
        <w:r>
          <w:rPr>
            <w:rStyle w:val="Hyperlink"/>
          </w:rPr>
          <w:t xml:space="preserve">32</w:t>
        </w:r>
      </w:hyperlink>
      <w:r>
        <w:t xml:space="preserve">]</w:t>
      </w:r>
      <w:r>
        <w:t xml:space="preserve"> </w:t>
      </w:r>
      <w:r>
        <w:t xml:space="preserve">was fit to calibration data for Southern California streams to quantify associations for each separate water quality or physical habitat measure with binomial categories for altered or unaltered biology (i.e., negative or positive values in Table</w:t>
      </w:r>
      <w:r>
        <w:t xml:space="preserve"> </w:t>
      </w:r>
      <w:r>
        <w:t xml:space="preserve">1</w:t>
      </w:r>
      <w:r>
        <w:t xml:space="preserve">).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C</m:t>
          </m:r>
          <m:r>
            <m:t>R</m:t>
          </m:r>
          <m:r>
            <m:t>A</m:t>
          </m:r>
          <m:sSub>
            <m:e>
              <m:r>
                <m:t>M</m:t>
              </m:r>
            </m:e>
            <m:sub>
              <m:r>
                <m:t>h</m:t>
              </m:r>
              <m:r>
                <m:t>y</m:t>
              </m:r>
            </m:sub>
          </m:sSub>
          <m:r>
            <m:t>+</m:t>
          </m:r>
          <m:sSub>
            <m:e>
              <m:r>
                <m:t>β</m:t>
              </m:r>
            </m:e>
            <m:sub>
              <m:r>
                <m:t>2</m:t>
              </m:r>
            </m:sub>
          </m:sSub>
          <m:r>
            <m:t>I</m:t>
          </m:r>
          <m:r>
            <m:t>P</m:t>
          </m:r>
          <m:sSub>
            <m:e>
              <m:r>
                <m:t>I</m:t>
              </m:r>
            </m:e>
            <m:sub>
              <m:r>
                <m:t>P</m:t>
              </m:r>
              <m:r>
                <m:t>C</m:t>
              </m:r>
              <m:r>
                <m:t>T</m:t>
              </m:r>
              <m:r>
                <m:t>_</m:t>
              </m:r>
              <m:r>
                <m:t>S</m:t>
              </m:r>
              <m:r>
                <m:t>A</m:t>
              </m:r>
              <m:r>
                <m:t>F</m:t>
              </m:r>
              <m:r>
                <m:t>N</m:t>
              </m:r>
            </m:sub>
          </m:sSub>
          <m:r>
            <m:t>+</m:t>
          </m:r>
          <m:sSub>
            <m:e>
              <m:r>
                <m:t>β</m:t>
              </m:r>
            </m:e>
            <m:sub>
              <m:r>
                <m:t>3</m:t>
              </m:r>
            </m:sub>
          </m:sSub>
          <m:r>
            <m:t>I</m:t>
          </m:r>
          <m:r>
            <m:t>P</m:t>
          </m:r>
          <m:sSub>
            <m:e>
              <m:r>
                <m:t>I</m:t>
              </m:r>
            </m:e>
            <m:sub>
              <m:r>
                <m:t>X</m:t>
              </m:r>
              <m:r>
                <m:t>C</m:t>
              </m:r>
              <m:r>
                <m:t>M</m:t>
              </m:r>
              <m:r>
                <m:t>G</m:t>
              </m:r>
            </m:sub>
          </m:sSub>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 Both models were created by screening collinear predictors by removing those with variance inflation factors (VIF) greater than three</w:t>
      </w:r>
      <w:r>
        <w:t xml:space="preserve"> </w:t>
      </w:r>
      <w:r>
        <w:t xml:space="preserve">[</w:t>
      </w:r>
      <w:hyperlink w:anchor="ref-Zuur07">
        <w:r>
          <w:rPr>
            <w:rStyle w:val="Hyperlink"/>
          </w:rPr>
          <w:t xml:space="preserve">33</w:t>
        </w:r>
      </w:hyperlink>
      <w:r>
        <w:t xml:space="preserve">]</w:t>
      </w:r>
      <w:r>
        <w:t xml:space="preserve">. The most parsimonious model was then identified using backward and forward selection to minimize Akaike Information Criterion</w:t>
      </w:r>
      <w:r>
        <w:t xml:space="preserve"> </w:t>
      </w:r>
      <w:r>
        <w:t xml:space="preserve">[</w:t>
      </w:r>
      <w:hyperlink w:anchor="ref-Akaike73">
        <w:r>
          <w:rPr>
            <w:rStyle w:val="Hyperlink"/>
          </w:rPr>
          <w:t xml:space="preserve">34</w:t>
        </w:r>
      </w:hyperlink>
      <w:r>
        <w:t xml:space="preserve">,</w:t>
      </w:r>
      <w:hyperlink w:anchor="ref-Venables02">
        <w:r>
          <w:rPr>
            <w:rStyle w:val="Hyperlink"/>
          </w:rPr>
          <w:t xml:space="preserve">35</w:t>
        </w:r>
      </w:hyperlink>
      <w:r>
        <w:t xml:space="preserve">]</w:t>
      </w:r>
      <w:r>
        <w:t xml:space="preserve">. The selected variables for each model are shown above (equation (1), TN: total nitrogen, TP: total phosphorus, cond: specific conductivity; equation (2), CRAM</w:t>
      </w:r>
      <m:oMath>
        <m:sSub>
          <m:e>
            <m:r>
              <m:t>​</m:t>
            </m:r>
          </m:e>
          <m:sub>
            <m:r>
              <m:t>h</m:t>
            </m:r>
            <m:r>
              <m:t>y</m:t>
            </m:r>
          </m:sub>
        </m:sSub>
      </m:oMath>
      <w:r>
        <w:t xml:space="preserve">: CRAM hydrologic structure, IPI</w:t>
      </w:r>
      <m:oMath>
        <m:sSub>
          <m:e>
            <m:r>
              <m:t>​</m:t>
            </m:r>
          </m:e>
          <m:sub>
            <m:r>
              <m:t>P</m:t>
            </m:r>
            <m:r>
              <m:t>C</m:t>
            </m:r>
            <m:r>
              <m:t>T</m:t>
            </m:r>
            <m:r>
              <m:t>_</m:t>
            </m:r>
            <m:r>
              <m:t>S</m:t>
            </m:r>
            <m:r>
              <m:t>A</m:t>
            </m:r>
            <m:r>
              <m:t>F</m:t>
            </m:r>
            <m:r>
              <m:t>N</m:t>
            </m:r>
          </m:sub>
        </m:sSub>
      </m:oMath>
      <w:r>
        <w:t xml:space="preserve">: IPI % sands and fines, IPI</w:t>
      </w:r>
      <m:oMath>
        <m:sSub>
          <m:e>
            <m:r>
              <m:t>​</m:t>
            </m:r>
          </m:e>
          <m:sub>
            <m:r>
              <m:t>X</m:t>
            </m:r>
            <m:r>
              <m:t>C</m:t>
            </m:r>
            <m:r>
              <m:t>M</m:t>
            </m:r>
            <m:r>
              <m:t>G</m:t>
            </m:r>
          </m:sub>
        </m:sSub>
      </m:oMath>
      <w:r>
        <w:t xml:space="preserve">: IPI riparian cover).</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X0469e77ec951af2464dd9d9078664da55e60a5b"/>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 measure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 A healthy/impacted condition could result from one or both biological indices and a stressed/unstressed condition could result from one or both stressor types. The first SQI category is typically assigned to pristine sites (healthy biology, low stress), whereas the fourth category is typically assigned to degraded sites (impacted biology, high stress). The second and third categories are assigned when biology and stressors provide different information. A healthy and resilient site has unaltered biology, but stressors are present (i.e., the biota are resilient to stress). A site that is impacted by an unknown stress has altered biology, but neither water chemistry nor physical habitat stress is observed (i.e., biology is likely impacted by other stressors not included in the SQI).</w:t>
      </w:r>
    </w:p>
    <w:p>
      <w:pPr>
        <w:pStyle w:val="BodyText"/>
      </w:pPr>
      <w:r>
        <w:t xml:space="preserve">Separate categorical outputs were also created for the biological condition and stressor condition categories. The four possible outputs for the biological categories were based on the four outcomes from the combinations of high/low CSCI and high/low ASCI: (1) healthy, (2) impacted for CSCI, (3) impacted for ASCI, and (4) impacted for both. An overall healthy condition for the SQI only occurs if both the CSCI and ASCI indicate healthy conditions, whereas an impacted biological condition is assigned to the overall SQI if one or both biological indices is/are impacted. The possible stressor condition categories for a site were based on the four outcomes of the combinations of high/low chemistry stress and high/low physical habitat stress: (1) low stress, (2) stressed by chemistry, (3) stressed by habitat, (4) stressed by both, and (5) stressed by low levels of chemistry and physical stress. The fifth stress category was possible based on the additive effects of chemical and physical stressors when both were low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An overall unstressed condition for the SQI occurs if both chemistry and physical habitat stress are low, whereas a stressed condition is assigned to the overall SQI if one or both of the stressor types is/are high or the additive effects of both exceed the threshold.</w:t>
      </w:r>
    </w:p>
    <w:p>
      <w:pPr>
        <w:pStyle w:val="BodyText"/>
      </w:pPr>
      <w:r>
        <w:t xml:space="preserve">Thresholds for biological indices that defined altered/unaltered condition for the SQI categories were based on the tenth percentile distribution of scores at reference sites for each index (those in Table</w:t>
      </w:r>
      <w:r>
        <w:t xml:space="preserve"> </w:t>
      </w:r>
      <w:r>
        <w:t xml:space="preserve">1</w:t>
      </w:r>
      <w:r>
        <w:t xml:space="preserve">). Thresholds for high/low stress categories were based on a 90% likelihood of observing a biological impact from the empirical models. The stress threshold was identified by a technical advisory group and was chosen to provide a relatively even distribution of sites in the high/low stress categories. The threshold is reflective of the distribution of observations in the calibration dataset that had many sites in poor biological condition and was chosen strictly to create a more useful distribution of stress categories (i.e., as opposed to categorizing all sites as stressed if using a lower threshold). The final stress categories are therefore reflective of the observed stressor gradients that occur in the study region. Alternative thresholds should be used when applying the model in regions with different or diminished stressor gradients.</w:t>
      </w:r>
    </w:p>
    <w:p>
      <w:pPr>
        <w:pStyle w:val="BodyText"/>
      </w:pPr>
      <w:r>
        <w:t xml:space="preserve">Finally, the use of a predictive model to identify healthy/impacted biology and the use of biology as a component of the index (i.e., the categorical outputs) may seem circular. However, we note that the empirical models in equations (1), (2), and (3) define the likelihood of alteration that relates stress to biology to define the overall SQI output (e.g., healthy and impacted). The biological categories as a component of the index are the modelled response endpoints in the models, but also serve as standalone endpoints that describe biological condition in the absence of the stressor-response model.</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 (</w:t>
      </w:r>
      <w:r>
        <w:t xml:space="preserve">[</w:t>
      </w:r>
      <w:hyperlink w:anchor="ref-Mazor15">
        <w:r>
          <w:rPr>
            <w:rStyle w:val="Hyperlink"/>
          </w:rPr>
          <w:t xml:space="preserve">24</w:t>
        </w:r>
      </w:hyperlink>
      <w:r>
        <w:t xml:space="preserve">]</w:t>
      </w:r>
      <w:r>
        <w:t xml:space="preserve">, Figure</w:t>
      </w:r>
      <w:r>
        <w:t xml:space="preserve"> </w:t>
      </w:r>
      <w:r>
        <w:t xml:space="preserve">3</w:t>
      </w:r>
      <w:r>
        <w:t xml:space="preserve">). The SMC dataset represents the most comprehensive source of wadeable stream data in southern California. Most streams in the region are non-perennial, but available data suggests the CSCI and ASCI can provide meaningful measures of stream health if sites are visited during normal sample periods when baseflow is sufficient.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These dates were selected solely on the requisite data for calculating the SQI, i.e., the subsample of all sites monitored by the SMC that included all data needed for the SQI within each year from 2009 to 2016. Most sample events occurred between May and June following standard protocols for perennial stream surveys</w:t>
      </w:r>
      <w:r>
        <w:t xml:space="preserve"> </w:t>
      </w:r>
      <w:r>
        <w:t xml:space="preserve">[</w:t>
      </w:r>
      <w:hyperlink w:anchor="ref-Ode07">
        <w:r>
          <w:rPr>
            <w:rStyle w:val="Hyperlink"/>
          </w:rPr>
          <w:t xml:space="preserve">30</w:t>
        </w:r>
      </w:hyperlink>
      <w:r>
        <w:t xml:space="preserve">]</w:t>
      </w:r>
      <w:r>
        <w:t xml:space="preserve">. Only one sample event for each site was considered. Further, although the existing bioassessment methods (i.e., ASCI, CSCI) were recently developed, existing data predating the development of each index were used to estimate scores for previous years. These data were collected following sampling protocols that were sufficient for calculating each index.</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-6 (all healthy) to 6 (all unhealthy). Changes in the stressor thresholds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of sites as having altered biology under high stress conditions (impacted and stressed, 72% of sites, Table</w:t>
      </w:r>
      <w:r>
        <w:t xml:space="preserve"> </w:t>
      </w:r>
      <w:r>
        <w:t xml:space="preserve">2</w:t>
      </w:r>
      <w:r>
        <w:t xml:space="preserve">). Almost 18% of sites were in the opposite category of unaltered biology in low stress conditions (healthy and unstressed). For the remaining two categories of the overall SQI, only 5% had unaltered biology but were under high stress conditions (healthy and resilient), whereas 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than the other categories (i.e., altered for only one index). For sites with one low-scoring index, more sites were altered for the ASCI (16%) than the CSCI (11%). Less than a quarter of all sites had unaltered biology (23%).</w:t>
      </w:r>
    </w:p>
    <w:p>
      <w:pPr>
        <w:pStyle w:val="BodyText"/>
      </w:pPr>
      <w:r>
        <w:t xml:space="preserve">For stress conditions, 38% of sites were stressed by both chemistry and physical habitat stressors. More sites were stressed by water chemistry (24%) than physical habitat degradation (6%) if only one stressor was present. Over 23% of sites had low stress, and 9%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(Figures</w:t>
      </w:r>
      <w:r>
        <w:t xml:space="preserve"> </w:t>
      </w:r>
      <w:r>
        <w:t xml:space="preserve">3</w:t>
      </w:r>
      <w:r>
        <w:t xml:space="preserve">,</w:t>
      </w:r>
      <w:r>
        <w:t xml:space="preserve"> </w:t>
      </w:r>
      <w:r>
        <w:t xml:space="preserve">4</w:t>
      </w:r>
      <w:r>
        <w:t xml:space="preserve">). More altered biological communities and high stress conditions were observed toward coastal areas at lower elevation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5</w:t>
      </w:r>
      <w:r>
        <w:t xml:space="preserve">). Relatively good separation was observed between sites designated as healthy or impacted in the validation (dark grey boxes) data for the three stressor-response models. Slightly larger differences between the likelihood of alteration for healthy and impacted communities were observed for the chemistry model compared to the physical habitat model, suggesting an improved fit for the former (for healthy/impacted communities at validation sites, t = 5.6, df = 15.97,</w:t>
      </w:r>
      <w:r>
        <w:t xml:space="preserve"> </w:t>
      </w:r>
      <w:r>
        <w:rPr>
          <w:i/>
        </w:rPr>
        <w:t xml:space="preserve">p</w:t>
      </w:r>
      <w:r>
        <w:t xml:space="preserve"> </w:t>
      </w:r>
      <w:r>
        <w:t xml:space="preserve">&lt; 0.001 for</w:t>
      </w:r>
      <w:r>
        <w:t xml:space="preserve"> </w:t>
      </w:r>
      <w:r>
        <w:rPr>
          <w:i/>
        </w:rPr>
        <w:t xml:space="preserve">pChem</w:t>
      </w:r>
      <w:r>
        <w:t xml:space="preserve">; t = 3.78, df = 18.54,</w:t>
      </w:r>
      <w:r>
        <w:t xml:space="preserve"> </w:t>
      </w:r>
      <w:r>
        <w:rPr>
          <w:i/>
        </w:rPr>
        <w:t xml:space="preserve">p</w:t>
      </w:r>
      <w:r>
        <w:t xml:space="preserve"> </w:t>
      </w:r>
      <w:r>
        <w:t xml:space="preserve">&lt; 0.01 for</w:t>
      </w:r>
      <w:r>
        <w:t xml:space="preserve"> </w:t>
      </w:r>
      <w:r>
        <w:rPr>
          <w:i/>
        </w:rPr>
        <w:t xml:space="preserve">pHab</w:t>
      </w:r>
      <w:r>
        <w:t xml:space="preserve">).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both qualitatively (similar distribution in the boxplots) and quantitatively (</w:t>
      </w:r>
      <m:oMath>
        <m:r>
          <m:t>p</m:t>
        </m:r>
        <m:r>
          <m:t>&gt;</m:t>
        </m:r>
      </m:oMath>
      <w:r>
        <w:t xml:space="preserve"> </w:t>
      </w:r>
      <w:r>
        <w:t xml:space="preserve">0.05 for models describing likelihood of alteration between site types as calibration or validation).</w:t>
      </w:r>
    </w:p>
    <w:p>
      <w:pPr>
        <w:pStyle w:val="BodyText"/>
      </w:pPr>
      <w:r>
        <w:t xml:space="preserve">The underlying empirical models provided insight into instream characteristics that were related to the likelihood of biological alteration (Figures</w:t>
      </w:r>
      <w:r>
        <w:t xml:space="preserve"> </w:t>
      </w:r>
      <w:r>
        <w:t xml:space="preserve">6</w:t>
      </w:r>
      <w:r>
        <w:t xml:space="preserve">,</w:t>
      </w:r>
      <w:r>
        <w:t xml:space="preserve"> </w:t>
      </w:r>
      <w:r>
        <w:t xml:space="preserve">7</w:t>
      </w:r>
      <w:r>
        <w:t xml:space="preserve">). About 79% of sites (n = 212) had greater than 50% likelihood of biological alteration from water chemistry stressors, and 83% (n = 222) had greater than 50% likelihood of biological alteration from physical habitat stressors (Figure</w:t>
      </w:r>
      <w:r>
        <w:t xml:space="preserve"> </w:t>
      </w:r>
      <w:r>
        <w:t xml:space="preserve">6</w:t>
      </w:r>
      <w:r>
        <w:t xml:space="preserve">). Collectively, 94% (n = 251)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65% of the variation among sites, whereas the</w:t>
      </w:r>
      <w:r>
        <w:t xml:space="preserve"> </w:t>
      </w:r>
      <w:r>
        <w:rPr>
          <w:i/>
        </w:rPr>
        <w:t xml:space="preserve">pHab</w:t>
      </w:r>
      <w:r>
        <w:t xml:space="preserve"> </w:t>
      </w:r>
      <w:r>
        <w:t xml:space="preserve">model explained 48%. All variables in the</w:t>
      </w:r>
      <w:r>
        <w:t xml:space="preserve"> </w:t>
      </w:r>
      <w:r>
        <w:rPr>
          <w:i/>
        </w:rPr>
        <w:t xml:space="preserve">pChem</w:t>
      </w:r>
      <w:r>
        <w:t xml:space="preserve"> </w:t>
      </w:r>
      <w:r>
        <w:t xml:space="preserve">model had VIF values less than 3 and were also included in the final set of predictors after model selection. All predictors in the</w:t>
      </w:r>
      <w:r>
        <w:t xml:space="preserve"> </w:t>
      </w:r>
      <w:r>
        <w:rPr>
          <w:i/>
        </w:rPr>
        <w:t xml:space="preserve">pChem</w:t>
      </w:r>
      <w:r>
        <w:t xml:space="preserve"> </w:t>
      </w:r>
      <w:r>
        <w:t xml:space="preserve">model were significantly and positively associated (</w:t>
      </w:r>
      <m:oMath>
        <m:r>
          <m:t>p</m:t>
        </m:r>
        <m:r>
          <m:t>&lt;</m:t>
        </m:r>
        <m:r>
          <m:t>0.05</m:t>
        </m:r>
      </m:oMath>
      <w:r>
        <w:t xml:space="preserve">) with the occurrence of biological alteration, except total nitrogen which was marginally significant (</w:t>
      </w:r>
      <m:oMath>
        <m:r>
          <m:t>p</m:t>
        </m:r>
        <m:r>
          <m:t>=</m:t>
        </m:r>
        <m:r>
          <m:t>0.08</m:t>
        </m:r>
      </m:oMath>
      <w:r>
        <w:t xml:space="preserve">). For the</w:t>
      </w:r>
      <w:r>
        <w:t xml:space="preserve"> </w:t>
      </w:r>
      <w:r>
        <w:rPr>
          <w:i/>
        </w:rPr>
        <w:t xml:space="preserve">pHab</w:t>
      </w:r>
      <w:r>
        <w:t xml:space="preserve"> </w:t>
      </w:r>
      <w:r>
        <w:t xml:space="preserve">model, two predictors were removed that had VIF values greater than three (diversity of natural substrate and biological structure). Predictors included in the final</w:t>
      </w:r>
      <w:r>
        <w:t xml:space="preserve"> </w:t>
      </w:r>
      <w:r>
        <w:rPr>
          <w:i/>
        </w:rPr>
        <w:t xml:space="preserve">pHab</w:t>
      </w:r>
      <w:r>
        <w:t xml:space="preserve"> </w:t>
      </w:r>
      <w:r>
        <w:t xml:space="preserve">model after variable selection were hydrologic structure, percent sands, fines, or concrete, and riparian cover. All predictors were negatively and significantly associated with the likelihood of biological alteration, except riparian cover (</w:t>
      </w:r>
      <m:oMath>
        <m:r>
          <m:t>p</m:t>
        </m:r>
        <m:r>
          <m:t>=</m:t>
        </m:r>
        <m:r>
          <m:t>0.15</m:t>
        </m:r>
      </m:oMath>
      <w:r>
        <w:t xml:space="preserve">).</w:t>
      </w:r>
    </w:p>
    <w:p>
      <w:pPr>
        <w:pStyle w:val="BodyText"/>
      </w:pPr>
      <w:r>
        <w:t xml:space="preserve">Figure</w:t>
      </w:r>
      <w:r>
        <w:t xml:space="preserve"> </w:t>
      </w:r>
      <w:r>
        <w:t xml:space="preserve">7</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also as expected, except that decreases in likelihood of biological alteration were observed with increases in the three predictors (all are indicators of habitat integrity or low physical habitat stress). The strongest relationship was observed with increases in CRAM hydrologic structure, where likelihood of alteration decreased sharply with scores greater than 50.</w:t>
      </w:r>
    </w:p>
    <w:p>
      <w:pPr>
        <w:pStyle w:val="Heading2"/>
      </w:pPr>
      <w:bookmarkStart w:id="39" w:name="X0829e817748f7626101e70604f7556008c3d926"/>
      <w:r>
        <w:t xml:space="preserve">Model sensitivity to biological decision points</w:t>
      </w:r>
      <w:bookmarkEnd w:id="39"/>
    </w:p>
    <w:p>
      <w:pPr>
        <w:pStyle w:val="FirstParagraph"/>
      </w:pPr>
      <w:r>
        <w:t xml:space="preserve">Results in Figure</w:t>
      </w:r>
      <w:r>
        <w:t xml:space="preserve"> </w:t>
      </w:r>
      <w:r>
        <w:t xml:space="preserve">8</w:t>
      </w:r>
      <w:r>
        <w:t xml:space="preserve"> </w:t>
      </w:r>
      <w:r>
        <w:t xml:space="preserve">show changes in the categorical SQI results based on different decision points that defined biological condition. As a general trend, lowering the cutpoint for healthy/impacted to designate more sites as healthy (-6) resulted in an increase in the number of sites designated as</w:t>
      </w:r>
      <w:r>
        <w:t xml:space="preserve"> </w:t>
      </w:r>
      <w:r>
        <w:t xml:space="preserve">“</w:t>
      </w:r>
      <w:r>
        <w:t xml:space="preserve">low stress</w:t>
      </w:r>
      <w:r>
        <w:t xml:space="preserve">”</w:t>
      </w:r>
      <w:r>
        <w:t xml:space="preserve"> </w:t>
      </w:r>
      <w:r>
        <w:t xml:space="preserve">for the stress condition. For the overall SQI, lowering this cutpoint also increased the number of sites designated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Conversely, increasing the cutpoint for healthy/impacted to designate more sites as impacted (6) caused in increase in the number of sites designated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(dotted lines in Figure</w:t>
      </w:r>
      <w:r>
        <w:t xml:space="preserve"> </w:t>
      </w:r>
      <w:r>
        <w:t xml:space="preserve">6</w:t>
      </w:r>
      <w:r>
        <w:t xml:space="preserve">) also affected the categorical results (Figure</w:t>
      </w:r>
      <w:r>
        <w:t xml:space="preserve"> </w:t>
      </w:r>
      <w:r>
        <w:t xml:space="preserve">9</w:t>
      </w:r>
      <w:r>
        <w:t xml:space="preserve">).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indicators,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by the application of the SQI to stream data from the southern California, this tool could be used to prioritize sites for management activities on a large scale. Conversely, the SQI can be used as a valuable communication tool to highlight areas where biological objectives are not being met, which could provide a context for identifying specific stressors in a more rigorous framework (see supplemental material, Figure S1).</w:t>
      </w:r>
    </w:p>
    <w:p>
      <w:pPr>
        <w:pStyle w:val="BodyText"/>
      </w:pPr>
      <w:r>
        <w:t xml:space="preserve">While the simplest way to synthesize indicators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characterize situations where these indicators disagreed – a common situation in the SMC data set. Dobbie and Clifford</w:t>
      </w:r>
      <w:r>
        <w:t xml:space="preserve"> </w:t>
      </w:r>
      <w:r>
        <w:t xml:space="preserve">[</w:t>
      </w:r>
      <w:hyperlink w:anchor="ref-Dobbie14">
        <w:r>
          <w:rPr>
            <w:rStyle w:val="Hyperlink"/>
          </w:rPr>
          <w:t xml:space="preserve">36</w:t>
        </w:r>
      </w:hyperlink>
      <w:r>
        <w:t xml:space="preserve">]</w:t>
      </w:r>
      <w:r>
        <w:t xml:space="preserve"> </w:t>
      </w:r>
      <w:r>
        <w:t xml:space="preserve">evaluated sources of uncertainty for an integrative index of estuarine health that was based on averaging separate water quality components across different spatial units. By their own admission, averaging indicators raised concerns about the consistency and validity of interpretation and their results showed that the composite index was indeed sensitive to the parameters for averaging. This is particularly relevant when biology and stressors provide different or unexpected information about stream condition. In other words, a finding of good water chemistry should not obscure or distort an indication of poor biology, and vice versa.</w:t>
      </w:r>
    </w:p>
    <w:p>
      <w:pPr>
        <w:pStyle w:val="BodyText"/>
      </w:pPr>
      <w:r>
        <w:t xml:space="preserve">To properly capture relationships among indicators of stream quality in a way that is consistent with conceptual modeling of a healthy stream ecosystem, it was crucial to develop an index that accurately reflected biology’s role as a direct measure of condition, and that reflects physical and chemical indicators as measures of stress. These relationships were captured using the stressor-response model that reflected an empirical and ecological relationship between biology and stressors. Empirically, we linked the likelihood of a site having altered biology across stressors gradients. Ecologically, stream biota have documented and mechanistic responses to the in-stream or riparian stressors included in the SQI</w:t>
      </w:r>
      <w:r>
        <w:t xml:space="preserve"> </w:t>
      </w:r>
      <w:r>
        <w:t xml:space="preserve">[</w:t>
      </w:r>
      <w:hyperlink w:anchor="ref-Wang07">
        <w:r>
          <w:rPr>
            <w:rStyle w:val="Hyperlink"/>
          </w:rPr>
          <w:t xml:space="preserve">2</w:t>
        </w:r>
      </w:hyperlink>
      <w:r>
        <w:t xml:space="preserve">,</w:t>
      </w:r>
      <w:hyperlink w:anchor="ref-Rehn18">
        <w:r>
          <w:rPr>
            <w:rStyle w:val="Hyperlink"/>
          </w:rPr>
          <w:t xml:space="preserve">19</w:t>
        </w:r>
      </w:hyperlink>
      <w:r>
        <w:t xml:space="preserve">,</w:t>
      </w:r>
      <w:hyperlink w:anchor="ref-Richards97">
        <w:r>
          <w:rPr>
            <w:rStyle w:val="Hyperlink"/>
          </w:rPr>
          <w:t xml:space="preserve">25</w:t>
        </w:r>
      </w:hyperlink>
      <w:r>
        <w:t xml:space="preserve">,</w:t>
      </w:r>
      <w:hyperlink w:anchor="ref-Pan02">
        <w:r>
          <w:rPr>
            <w:rStyle w:val="Hyperlink"/>
          </w:rPr>
          <w:t xml:space="preserve">26</w:t>
        </w:r>
      </w:hyperlink>
      <w:r>
        <w:t xml:space="preserve">]</w:t>
      </w:r>
      <w:r>
        <w:t xml:space="preserve">. These linkages were reflected in the separate categorical components of the SQI; altered biology was more often associated with high stressors. Detailed outputs provided additional information about ecological relationships. For example, some sites were altered for the ASCI and had high water chemistry stressors, whereas other sites were altered for the CSCI and had high physical habitat stressors. This reflects a potential difference in the sensitivity of algae to water chemistry and macroinvertebrates to physical habitat, highlighting the utility of using different assemblages to assess condition.</w:t>
      </w:r>
    </w:p>
    <w:p>
      <w:pPr>
        <w:pStyle w:val="BodyText"/>
      </w:pPr>
      <w:r>
        <w:t xml:space="preserve">As a categorical index, the SQI provides a readily interpretable description of stream conditions that is easily accessible through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that could warrant protection, and conversely, which values correspond to impacted conditions that may be in need of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included in the empirical model, and which components in equations (1) and (2) may be linked to their respective stressor categories. Further, physical habitat measures (i.e., CRAM and IPI) include component metrics that can serve as additional diagnostic information to describe physical conditions (e.g., percent sands, fines, or concrete,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Tools that are similar to the SQI have been developed, although key differences exist. The Canadian Water Quality Index (CWQI,</w:t>
      </w:r>
      <w:r>
        <w:t xml:space="preserve"> </w:t>
      </w:r>
      <w:r>
        <w:t xml:space="preserve">[</w:t>
      </w:r>
      <w:hyperlink w:anchor="ref-CCME01">
        <w:r>
          <w:rPr>
            <w:rStyle w:val="Hyperlink"/>
          </w:rPr>
          <w:t xml:space="preserve">14</w:t>
        </w:r>
      </w:hyperlink>
      <w:r>
        <w:t xml:space="preserve">]</w:t>
      </w:r>
      <w:r>
        <w:t xml:space="preserve">,</w:t>
      </w:r>
      <w:r>
        <w:t xml:space="preserve"> </w:t>
      </w:r>
      <w:r>
        <w:t xml:space="preserve">[</w:t>
      </w:r>
      <w:hyperlink w:anchor="ref-Hurley12">
        <w:r>
          <w:rPr>
            <w:rStyle w:val="Hyperlink"/>
          </w:rPr>
          <w:t xml:space="preserve">15</w:t>
        </w:r>
      </w:hyperlink>
      <w:r>
        <w:t xml:space="preserve">]</w:t>
      </w:r>
      <w:r>
        <w:t xml:space="preserve">)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w:t>
      </w:r>
      <w:hyperlink w:anchor="ref-Mazor15">
        <w:r>
          <w:rPr>
            <w:rStyle w:val="Hyperlink"/>
          </w:rPr>
          <w:t xml:space="preserve">24</w:t>
        </w:r>
      </w:hyperlink>
      <w:r>
        <w:t xml:space="preserve">]</w:t>
      </w:r>
      <w:r>
        <w:t xml:space="preserve">;</w:t>
      </w:r>
      <w:r>
        <w:t xml:space="preserve"> </w:t>
      </w:r>
      <w:r>
        <w:t xml:space="preserve">[</w:t>
      </w:r>
      <w:hyperlink w:anchor="ref-USEPA16">
        <w:r>
          <w:rPr>
            <w:rStyle w:val="Hyperlink"/>
          </w:rPr>
          <w:t xml:space="preserve">31</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discrete thresholds that may not have context.</w:t>
      </w:r>
    </w:p>
    <w:p>
      <w:pPr>
        <w:pStyle w:val="Heading2"/>
      </w:pPr>
      <w:bookmarkStart w:id="41" w:name="limitations-of-the-approach"/>
      <w:r>
        <w:t xml:space="preserve">Limitations of the approach</w:t>
      </w:r>
      <w:bookmarkEnd w:id="41"/>
    </w:p>
    <w:p>
      <w:pPr>
        <w:pStyle w:val="FirstParagraph"/>
      </w:pPr>
      <w:r>
        <w:t xml:space="preserve">Our theoretical framework for the SQI is not without drawbacks. The index as designed cannot accommodate additional or fewer indicators of stream condition/stress without recalibration - a contrast to the CWQI that can include any number of available parameters. Missing data (e.g., lost samples or incomplete coverage of required data at a site) prevent calculation of the complete SQI, and the index cannot be estimated without recalibration to include or exclude individual components. However, partial output for the SQI can be obtained if, for example, only stressor data are available. The overall SQI category cannot be assigned to a site for incomplete data, but the sub-categories (e.g., biological condition category or stressor condition category) can still be obtained where the data are available.</w:t>
      </w:r>
    </w:p>
    <w:p>
      <w:pPr>
        <w:pStyle w:val="BodyText"/>
      </w:pPr>
      <w:r>
        <w:t xml:space="preserve">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267 sites. An additional concern is our choice of predictors that were purposefully limited to the most relevant and ubiquitous data for describing eutrophication (water quality) and instream/riparian condition (physical habitat) in the study region. We realize that these variables are proxies and may also be correlated with other variables (e.g., stream temperature). Thus, causation can only be partially inferred with our models and more rigorous follow-up work would be needed to identify specific stressors. Similarly, recalibration of the model and choosing appropriate thresholds for defining categorical output would be required if the framework were applied in a different setting or context (e.g., different regions or stressor gradients). This may also apply to the current dataset as new observations become available to best describe regional conditions.</w:t>
      </w:r>
    </w:p>
    <w:p>
      <w:pPr>
        <w:pStyle w:val="Heading2"/>
      </w:pPr>
      <w:bookmarkStart w:id="42" w:name="the-sqi-web-application"/>
      <w:r>
        <w:t xml:space="preserve">The SQI web application</w:t>
      </w:r>
      <w:bookmarkEnd w:id="42"/>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3">
        <w:r>
          <w:rPr>
            <w:rStyle w:val="Hyperlink"/>
          </w:rPr>
          <w:t xml:space="preserve">https://sccwrp.shinyapps.io/sqi_shiny</w:t>
        </w:r>
      </w:hyperlink>
      <w:r>
        <w:t xml:space="preserve">). The web interface uses an open source software program developed in R</w:t>
      </w:r>
      <w:r>
        <w:t xml:space="preserve"> </w:t>
      </w:r>
      <w:r>
        <w:t xml:space="preserve">[</w:t>
      </w:r>
      <w:hyperlink w:anchor="ref-Chang18">
        <w:r>
          <w:rPr>
            <w:rStyle w:val="Hyperlink"/>
          </w:rPr>
          <w:t xml:space="preserve">37</w:t>
        </w:r>
      </w:hyperlink>
      <w:r>
        <w:t xml:space="preserve">,</w:t>
      </w:r>
      <w:hyperlink w:anchor="ref-RDCT18">
        <w:r>
          <w:rPr>
            <w:rStyle w:val="Hyperlink"/>
          </w:rPr>
          <w:t xml:space="preserve">38</w:t>
        </w:r>
      </w:hyperlink>
      <w:r>
        <w:t xml:space="preserve">]</w:t>
      </w:r>
      <w:r>
        <w:t xml:space="preserve"> </w:t>
      </w:r>
      <w:r>
        <w:t xml:space="preserve">to automate batch calculation of the SQI at large numbers of sites</w:t>
      </w:r>
      <w:r>
        <w:t xml:space="preserve"> </w:t>
      </w:r>
      <w:r>
        <w:t xml:space="preserve">[</w:t>
      </w:r>
      <w:hyperlink w:anchor="ref-Beck18f">
        <w:r>
          <w:rPr>
            <w:rStyle w:val="Hyperlink"/>
          </w:rPr>
          <w:t xml:space="preserve">39</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With this information, managers can prioritize follow-up actions to identify causes of biological impacts (e.g., wildfire, bank erosion, or other sources) or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4" w:name="conclusions"/>
      <w:r>
        <w:t xml:space="preserve">Conclusions</w:t>
      </w:r>
      <w:bookmarkEnd w:id="44"/>
    </w:p>
    <w:p>
      <w:pPr>
        <w:pStyle w:val="FirstParagraph"/>
      </w:pPr>
      <w:r>
        <w:t xml:space="preserve">An integrated stream health index that synthesizes physical, chemical and biological indicators could be a powerful tool to support watershed management. The SQI accurately captures our understanding of the roles that physical, chemical and biological indicators play in describing stream health. Furthermore, the SQI not only combines the data into a single, managerially relevant categorical classification,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5" w:name="supplement-1"/>
      <w:r>
        <w:t xml:space="preserve">Supplement 1</w:t>
      </w:r>
      <w:bookmarkEnd w:id="45"/>
    </w:p>
    <w:p>
      <w:pPr>
        <w:pStyle w:val="FirstParagraph"/>
      </w:pPr>
      <w:r>
        <w:t xml:space="preserve">SQI results for two case study sites were explored in detail to provide a narrative description of how the index can be used to inform management of water quality in perennial streams. The first example describes SQI results in an urban channel with impacted biology (County of Orange) to complement a previous causal assessment study to identify potential stressors of low CSCI scores. The second example describes a natural channel with impacted biology but low stress that is highlighted in a</w:t>
      </w:r>
      <w:r>
        <w:t xml:space="preserve"> </w:t>
      </w:r>
      <w:hyperlink r:id="rId46">
        <w:r>
          <w:rPr>
            <w:rStyle w:val="Hyperlink"/>
          </w:rPr>
          <w:t xml:space="preserve">draft regional basin plan</w:t>
        </w:r>
      </w:hyperlink>
      <w:r>
        <w:t xml:space="preserve"> </w:t>
      </w:r>
      <w:r>
        <w:t xml:space="preserve">for biological objectives for the San Diego region. Both examples demonstrate how the SQI can be used in the context of existing, site-specific information to support management.</w:t>
      </w:r>
    </w:p>
    <w:p>
      <w:pPr>
        <w:pStyle w:val="Heading1"/>
      </w:pPr>
      <w:bookmarkStart w:id="47" w:name="supplement-2"/>
      <w:r>
        <w:t xml:space="preserve">Supplement 2</w:t>
      </w:r>
      <w:bookmarkEnd w:id="47"/>
    </w:p>
    <w:p>
      <w:pPr>
        <w:pStyle w:val="FirstParagraph"/>
      </w:pPr>
      <w:r>
        <w:t xml:space="preserve">An interactive website is available for viewing results of the SQI:</w:t>
      </w:r>
      <w:r>
        <w:t xml:space="preserve"> </w:t>
      </w:r>
      <w:hyperlink r:id="rId48">
        <w:r>
          <w:rPr>
            <w:rStyle w:val="Hyperlink"/>
          </w:rPr>
          <w:t xml:space="preserve">https://sccwrp.shinyapps.io/SQI_Shiny</w:t>
        </w:r>
      </w:hyperlink>
      <w:r>
        <w:t xml:space="preserve"> </w:t>
      </w:r>
      <w:r>
        <w:t xml:space="preserve">[</w:t>
      </w:r>
      <w:hyperlink w:anchor="ref-Beck19">
        <w:r>
          <w:rPr>
            <w:rStyle w:val="Hyperlink"/>
          </w:rPr>
          <w:t xml:space="preserve">40</w:t>
        </w:r>
      </w:hyperlink>
      <w:r>
        <w:t xml:space="preserve">]</w:t>
      </w:r>
      <w:r>
        <w:t xml:space="preserve">. An R package is also available for calculating SQI scores:</w:t>
      </w:r>
      <w:r>
        <w:t xml:space="preserve"> </w:t>
      </w:r>
      <w:hyperlink r:id="rId49">
        <w:r>
          <w:rPr>
            <w:rStyle w:val="Hyperlink"/>
          </w:rPr>
          <w:t xml:space="preserve">https://github.com/SCCWRP/SQI</w:t>
        </w:r>
      </w:hyperlink>
      <w:r>
        <w:t xml:space="preserve"> </w:t>
      </w:r>
      <w:r>
        <w:t xml:space="preserve">[</w:t>
      </w:r>
      <w:hyperlink w:anchor="ref-Beck18f">
        <w:r>
          <w:rPr>
            <w:rStyle w:val="Hyperlink"/>
          </w:rPr>
          <w:t xml:space="preserve">39</w:t>
        </w:r>
      </w:hyperlink>
      <w:r>
        <w:t xml:space="preserve">]</w:t>
      </w:r>
      <w:r>
        <w:t xml:space="preserve">.</w:t>
      </w:r>
    </w:p>
    <w:p>
      <w:pPr>
        <w:pStyle w:val="Heading1"/>
      </w:pPr>
      <w:bookmarkStart w:id="50" w:name="acknowledgments"/>
      <w:r>
        <w:t xml:space="preserve">Acknowledgments</w:t>
      </w:r>
      <w:bookmarkEnd w:id="50"/>
    </w:p>
    <w:p>
      <w:pPr>
        <w:pStyle w:val="FirstParagraph"/>
      </w:pPr>
      <w:r>
        <w:t xml:space="preserve">We thank the Stormwater Monitoring Coalition and Surface Water Ambient Monitoring Program of the California State Water Board for data collection. We thank the Stormwater Monitoring Coalition executive committee and science advisory group for feedback during the development of the Stream Quality Index. Members of the science advisory panel included Beverley Anderson, Ali Dunn, Chad Loflen, Phil Markle, Katherine Pease, Grant Sharp, Hoan Tang, and Joshua Westfall. We thank David Gillett, Chad Loflen, Grant Sharp, and Joshua Westfall for help with the case studies in the supplemental material. We thank Scott Martindale for providing editorial comments on an earlier draft. We thank Nabiul Afrooz for initial contributions on the conceptual framework for the index. We thank Abel Santana for cartography help. Site photos for the case studies courtesy of David Gillett (San Diego Creek) and the Stormwater Monitoring Coalition (San Juan Creek).</w:t>
      </w:r>
    </w:p>
    <w:p>
      <w:pPr>
        <w:pStyle w:val="Heading1"/>
      </w:pPr>
      <w:bookmarkStart w:id="51" w:name="figures"/>
      <w:r>
        <w:t xml:space="preserve">Figures</w:t>
      </w:r>
      <w:bookmarkEnd w:id="51"/>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52"/>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CRAM; Index of Physical Integrity, IPI).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 title="" id="1" name="Picture"/>
            <a:graphic>
              <a:graphicData uri="http://schemas.openxmlformats.org/drawingml/2006/picture">
                <pic:pic>
                  <pic:nvPicPr>
                    <pic:cNvPr descr="figs/sqi_cat.png" id="0" name="Picture"/>
                    <pic:cNvPicPr>
                      <a:picLocks noChangeArrowheads="1" noChangeAspect="1"/>
                    </pic:cNvPicPr>
                  </pic:nvPicPr>
                  <pic:blipFill>
                    <a:blip r:embed="rId53"/>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additive.</w:t>
      </w:r>
    </w:p>
    <w:p>
      <w:pPr>
        <w:pStyle w:val="CaptionedFigure"/>
      </w:pPr>
      <w:r>
        <w:drawing>
          <wp:inline>
            <wp:extent cx="5943600" cy="4592781"/>
            <wp:effectExtent b="0" l="0" r="0" t="0"/>
            <wp:docPr descr="Figure 3: Land cover and elevation gradients in the study region in southern California, USA." title="" id="1" name="Picture"/>
            <a:graphic>
              <a:graphicData uri="http://schemas.openxmlformats.org/drawingml/2006/picture">
                <pic:pic>
                  <pic:nvPicPr>
                    <pic:cNvPr descr="figs/sqi_mapbase.png" id="0" name="Picture"/>
                    <pic:cNvPicPr>
                      <a:picLocks noChangeArrowheads="1" noChangeAspect="1"/>
                    </pic:cNvPicPr>
                  </pic:nvPicPr>
                  <pic:blipFill>
                    <a:blip r:embed="rId54"/>
                    <a:stretch>
                      <a:fillRect/>
                    </a:stretch>
                  </pic:blipFill>
                  <pic:spPr bwMode="auto">
                    <a:xfrm>
                      <a:off x="0" y="0"/>
                      <a:ext cx="5943600" cy="4592781"/>
                    </a:xfrm>
                    <a:prstGeom prst="rect">
                      <a:avLst/>
                    </a:prstGeom>
                    <a:noFill/>
                    <a:ln w="9525">
                      <a:noFill/>
                      <a:headEnd/>
                      <a:tailEnd/>
                    </a:ln>
                  </pic:spPr>
                </pic:pic>
              </a:graphicData>
            </a:graphic>
          </wp:inline>
        </w:drawing>
      </w:r>
    </w:p>
    <w:p>
      <w:pPr>
        <w:pStyle w:val="ImageCaption"/>
      </w:pPr>
      <w:r>
        <w:t xml:space="preserve">Figure 3: Land cover and elevation gradients in the study region in southern California, USA.</w:t>
      </w:r>
    </w:p>
    <w:p>
      <w:pPr>
        <w:pStyle w:val="CaptionedFigure"/>
      </w:pPr>
      <w:r>
        <w:drawing>
          <wp:inline>
            <wp:extent cx="5943600" cy="6686550"/>
            <wp:effectExtent b="0" l="0" r="0" t="0"/>
            <wp:docPr descr="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55"/>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4: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5: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 title="" id="1" name="Picture"/>
            <a:graphic>
              <a:graphicData uri="http://schemas.openxmlformats.org/drawingml/2006/picture">
                <pic:pic>
                  <pic:nvPicPr>
                    <pic:cNvPr descr="figs/box_lik.png" id="0"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Model precision can be evaluated by comparing the differences between the boxplots for the validation data for healthy and impacted categories, whereas model bias can be assessed by comparing the distributions between calibration and validation data among biological state and models. Points show the four possible categorical outcomes from the overall SQI.</w:t>
      </w:r>
    </w:p>
    <w:p>
      <w:pPr>
        <w:pStyle w:val="CaptionedFigure"/>
      </w:pPr>
      <w:r>
        <w:drawing>
          <wp:inline>
            <wp:extent cx="5943600" cy="4086224"/>
            <wp:effectExtent b="0" l="0" r="0" t="0"/>
            <wp:docPr descr="Figure 6: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7"/>
                    <a:stretch>
                      <a:fillRect/>
                    </a:stretch>
                  </pic:blipFill>
                  <pic:spPr bwMode="auto">
                    <a:xfrm>
                      <a:off x="0" y="0"/>
                      <a:ext cx="5943600" cy="4086224"/>
                    </a:xfrm>
                    <a:prstGeom prst="rect">
                      <a:avLst/>
                    </a:prstGeom>
                    <a:noFill/>
                    <a:ln w="9525">
                      <a:noFill/>
                      <a:headEnd/>
                      <a:tailEnd/>
                    </a:ln>
                  </pic:spPr>
                </pic:pic>
              </a:graphicData>
            </a:graphic>
          </wp:inline>
        </w:drawing>
      </w:r>
    </w:p>
    <w:p>
      <w:pPr>
        <w:pStyle w:val="ImageCaption"/>
      </w:pPr>
      <w:r>
        <w:t xml:space="preserve">Figure 6: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with shapes showing the biological condition.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 title="" id="1" name="Picture"/>
            <a:graphic>
              <a:graphicData uri="http://schemas.openxmlformats.org/drawingml/2006/picture">
                <pic:pic>
                  <pic:nvPicPr>
                    <pic:cNvPr descr="figs/rsp_crv.png" id="0" name="Picture"/>
                    <pic:cNvPicPr>
                      <a:picLocks noChangeArrowheads="1" noChangeAspect="1"/>
                    </pic:cNvPicPr>
                  </pic:nvPicPr>
                  <pic:blipFill>
                    <a:blip r:embed="rId58"/>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7: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is shown as rug plots on the x-axes, with healthy sites on the bottom and impacted on the top. Note that IPI metrics are positively associated with physical habitat integrity, e.g., an increase in the % sands and fines metric suggests higher physical integrity and lower observed sands and fines.</w:t>
      </w:r>
    </w:p>
    <w:p>
      <w:pPr>
        <w:pStyle w:val="CaptionedFigure"/>
      </w:pPr>
      <w:r>
        <w:drawing>
          <wp:inline>
            <wp:extent cx="5943600" cy="2377440"/>
            <wp:effectExtent b="0" l="0" r="0" t="0"/>
            <wp:docPr descr="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 1." title="" id="1" name="Picture"/>
            <a:graphic>
              <a:graphicData uri="http://schemas.openxmlformats.org/drawingml/2006/picture">
                <pic:pic>
                  <pic:nvPicPr>
                    <pic:cNvPr descr="figs/snsbio_fig.png" id="0" name="Picture"/>
                    <pic:cNvPicPr>
                      <a:picLocks noChangeArrowheads="1" noChangeAspect="1"/>
                    </pic:cNvPicPr>
                  </pic:nvPicPr>
                  <pic:blipFill>
                    <a:blip r:embed="rId5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Changes in stress condition (left) and overall SQI categories (right) for different cut points that define healthy or impacted biology. Lower cutpoints mean more sites are designated as healthy, whereas higher cutpoints mean more sites are designated as impacted. The healthy/impacted categories are those modelled by equations (1), (2), and (3) that relate stress measures to biology. The cut point definitions are shown in Table</w:t>
      </w:r>
      <w:r>
        <w:t xml:space="preserve"> </w:t>
      </w:r>
      <w:r>
        <w:t xml:space="preserve">1</w:t>
      </w:r>
      <w:r>
        <w:t xml:space="preserve">.</w:t>
      </w:r>
    </w:p>
    <w:p>
      <w:pPr>
        <w:pStyle w:val="CaptionedFigure"/>
      </w:pPr>
      <w:r>
        <w:drawing>
          <wp:inline>
            <wp:extent cx="5943600" cy="2377440"/>
            <wp:effectExtent b="0" l="0" r="0" t="0"/>
            <wp:docPr descr="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 6 show stress thresholds set at 90%." title="" id="1" name="Picture"/>
            <a:graphic>
              <a:graphicData uri="http://schemas.openxmlformats.org/drawingml/2006/picture">
                <pic:pic>
                  <pic:nvPicPr>
                    <pic:cNvPr descr="figs/snsstr_fig.png" id="0" name="Picture"/>
                    <pic:cNvPicPr>
                      <a:picLocks noChangeArrowheads="1" noChangeAspect="1"/>
                    </pic:cNvPicPr>
                  </pic:nvPicPr>
                  <pic:blipFill>
                    <a:blip r:embed="rId60"/>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9: Changes in stress condition (left) and overall SQI categories (right) for different thresholds defining the stress categories. Lower thresholds mean more sites are designated as high stress, whereas higher thresholds mean more sites are designated as low stress. Sites are designated as low/high stress using the continuous likelihoods from the fitted models in equations (1), (2), and (3) that relate stress measures to healthy/impacted biology. The dotted lines in Figure</w:t>
      </w:r>
      <w:r>
        <w:t xml:space="preserve"> </w:t>
      </w:r>
      <w:r>
        <w:t xml:space="preserve">6</w:t>
      </w:r>
      <w:r>
        <w:t xml:space="preserve"> </w:t>
      </w:r>
      <w:r>
        <w:t xml:space="preserve">show stress thresholds set at 90%.</w:t>
      </w:r>
    </w:p>
    <w:p>
      <w:pPr>
        <w:pStyle w:val="Heading1"/>
      </w:pPr>
      <w:bookmarkStart w:id="61" w:name="tables"/>
      <w:r>
        <w:t xml:space="preserve">Tables</w:t>
      </w:r>
      <w:bookmarkEnd w:id="6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5</w:t>
            </w:r>
          </w:p>
        </w:tc>
        <w:tc>
          <w:p>
            <w:pPr>
              <w:pStyle w:val="Compact"/>
              <w:jc w:val="left"/>
            </w:pPr>
            <w:r>
              <w:t xml:space="preserve">3</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possibly altered: (CSCI 0.79 - 0.92)</w:t>
            </w:r>
          </w:p>
        </w:tc>
        <w:tc>
          <w:p>
            <w:pPr>
              <w:pStyle w:val="Compact"/>
              <w:jc w:val="left"/>
            </w:pPr>
            <w:r>
              <w:t xml:space="preserve">3</w:t>
            </w:r>
          </w:p>
        </w:tc>
        <w:tc>
          <w:p>
            <w:pPr>
              <w:pStyle w:val="Compact"/>
              <w:jc w:val="left"/>
            </w:pPr>
            <w:r>
              <w:t xml:space="preserve">2</w:t>
            </w:r>
          </w:p>
        </w:tc>
        <w:tc>
          <w:p>
            <w:pPr>
              <w:pStyle w:val="Compact"/>
              <w:jc w:val="left"/>
            </w:pPr>
            <w:r>
              <w:rPr>
                <w:b/>
              </w:rPr>
              <w:t xml:space="preserve">-2</w:t>
            </w:r>
          </w:p>
        </w:tc>
        <w:tc>
          <w:p>
            <w:pPr>
              <w:pStyle w:val="Compact"/>
              <w:jc w:val="left"/>
            </w:pPr>
            <w:r>
              <w:rPr>
                <w:b/>
              </w:rPr>
              <w:t xml:space="preserve">-4</w:t>
            </w:r>
          </w:p>
        </w:tc>
      </w:tr>
      <w:tr>
        <w:tc>
          <w:p>
            <w:pPr>
              <w:pStyle w:val="Compact"/>
              <w:jc w:val="left"/>
            </w:pPr>
            <w:r>
              <w:t xml:space="preserve">BMI likely altered: (CSCI 0.63 - 0.79)</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-5</w:t>
            </w:r>
          </w:p>
        </w:tc>
      </w:tr>
      <w:tr>
        <w:tc>
          <w:p>
            <w:pPr>
              <w:pStyle w:val="Compact"/>
              <w:jc w:val="left"/>
            </w:pPr>
            <w:r>
              <w:t xml:space="preserve">BMI very likely altered: (CSCI &lt; 0.63)</w:t>
            </w:r>
          </w:p>
        </w:tc>
        <w:tc>
          <w:p>
            <w:pPr>
              <w:pStyle w:val="Compact"/>
              <w:jc w:val="left"/>
            </w:pPr>
            <w:r>
              <w:rPr>
                <w:b/>
              </w:rPr>
              <w:t xml:space="preserve">-2</w:t>
            </w:r>
          </w:p>
        </w:tc>
        <w:tc>
          <w:p>
            <w:pPr>
              <w:pStyle w:val="Compact"/>
              <w:jc w:val="left"/>
            </w:pPr>
            <w:r>
              <w:rPr>
                <w:b/>
              </w:rPr>
              <w:t xml:space="preserve">-4</w:t>
            </w:r>
          </w:p>
        </w:tc>
        <w:tc>
          <w:p>
            <w:pPr>
              <w:pStyle w:val="Compact"/>
              <w:jc w:val="left"/>
            </w:pPr>
            <w:r>
              <w:rPr>
                <w:b/>
              </w:rPr>
              <w:t xml:space="preserve">-5</w:t>
            </w:r>
          </w:p>
        </w:tc>
        <w:tc>
          <w:p>
            <w:pPr>
              <w:pStyle w:val="Compact"/>
              <w:jc w:val="left"/>
            </w:pPr>
            <w:r>
              <w:rPr>
                <w:b/>
              </w:rPr>
              <w:t xml:space="preserve">-6</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47 (17.6)</w:t>
            </w:r>
          </w:p>
        </w:tc>
      </w:tr>
      <w:tr>
        <w:tc>
          <w:p/>
        </w:tc>
        <w:tc>
          <w:p>
            <w:pPr>
              <w:pStyle w:val="Compact"/>
              <w:jc w:val="left"/>
            </w:pPr>
            <w:r>
              <w:t xml:space="preserve">Healthy and resilient</w:t>
            </w:r>
          </w:p>
        </w:tc>
        <w:tc>
          <w:p>
            <w:pPr>
              <w:pStyle w:val="Compact"/>
              <w:jc w:val="left"/>
            </w:pPr>
            <w:r>
              <w:t xml:space="preserve">13 (4.9)</w:t>
            </w:r>
          </w:p>
        </w:tc>
      </w:tr>
      <w:tr>
        <w:tc>
          <w:p/>
        </w:tc>
        <w:tc>
          <w:p>
            <w:pPr>
              <w:pStyle w:val="Compact"/>
              <w:jc w:val="left"/>
            </w:pPr>
            <w:r>
              <w:t xml:space="preserve">Impacted and stressed</w:t>
            </w:r>
          </w:p>
        </w:tc>
        <w:tc>
          <w:p>
            <w:pPr>
              <w:pStyle w:val="Compact"/>
              <w:jc w:val="left"/>
            </w:pPr>
            <w:r>
              <w:t xml:space="preserve">192 (71.9)</w:t>
            </w:r>
          </w:p>
        </w:tc>
      </w:tr>
      <w:tr>
        <w:tc>
          <w:p/>
        </w:tc>
        <w:tc>
          <w:p>
            <w:pPr>
              <w:pStyle w:val="Compact"/>
              <w:jc w:val="left"/>
            </w:pPr>
            <w:r>
              <w:t xml:space="preserve">Impacted by unknown stress</w:t>
            </w:r>
          </w:p>
        </w:tc>
        <w:tc>
          <w:p>
            <w:pPr>
              <w:pStyle w:val="Compact"/>
              <w:jc w:val="left"/>
            </w:pPr>
            <w:r>
              <w:t xml:space="preserve">15 (5.6)</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(22.5)</w:t>
            </w:r>
          </w:p>
        </w:tc>
      </w:tr>
      <w:tr>
        <w:tc>
          <w:p/>
        </w:tc>
        <w:tc>
          <w:p>
            <w:pPr>
              <w:pStyle w:val="Compact"/>
              <w:jc w:val="left"/>
            </w:pPr>
            <w:r>
              <w:t xml:space="preserve">Impacted for ASCI</w:t>
            </w:r>
          </w:p>
        </w:tc>
        <w:tc>
          <w:p>
            <w:pPr>
              <w:pStyle w:val="Compact"/>
              <w:jc w:val="left"/>
            </w:pPr>
            <w:r>
              <w:t xml:space="preserve">43 (16.1)</w:t>
            </w:r>
          </w:p>
        </w:tc>
      </w:tr>
      <w:tr>
        <w:tc>
          <w:p/>
        </w:tc>
        <w:tc>
          <w:p>
            <w:pPr>
              <w:pStyle w:val="Compact"/>
              <w:jc w:val="left"/>
            </w:pPr>
            <w:r>
              <w:t xml:space="preserve">Impacted for CSCI</w:t>
            </w:r>
          </w:p>
        </w:tc>
        <w:tc>
          <w:p>
            <w:pPr>
              <w:pStyle w:val="Compact"/>
              <w:jc w:val="left"/>
            </w:pPr>
            <w:r>
              <w:t xml:space="preserve">30 (11.2)</w:t>
            </w:r>
          </w:p>
        </w:tc>
      </w:tr>
      <w:tr>
        <w:tc>
          <w:p/>
        </w:tc>
        <w:tc>
          <w:p>
            <w:pPr>
              <w:pStyle w:val="Compact"/>
              <w:jc w:val="left"/>
            </w:pPr>
            <w:r>
              <w:t xml:space="preserve">Impacted for CSCI and ASCI</w:t>
            </w:r>
          </w:p>
        </w:tc>
        <w:tc>
          <w:p>
            <w:pPr>
              <w:pStyle w:val="Compact"/>
              <w:jc w:val="left"/>
            </w:pPr>
            <w:r>
              <w:t xml:space="preserve">134 (50.2)</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62 (23.2)</w:t>
            </w:r>
          </w:p>
        </w:tc>
      </w:tr>
      <w:tr>
        <w:tc>
          <w:p/>
        </w:tc>
        <w:tc>
          <w:p>
            <w:pPr>
              <w:pStyle w:val="Compact"/>
              <w:jc w:val="left"/>
            </w:pPr>
            <w:r>
              <w:t xml:space="preserve">Stressed by chemistry and habitat degradation</w:t>
            </w:r>
          </w:p>
        </w:tc>
        <w:tc>
          <w:p>
            <w:pPr>
              <w:pStyle w:val="Compact"/>
              <w:jc w:val="left"/>
            </w:pPr>
            <w:r>
              <w:t xml:space="preserve">101 (37.8)</w:t>
            </w:r>
          </w:p>
        </w:tc>
      </w:tr>
      <w:tr>
        <w:tc>
          <w:p/>
        </w:tc>
        <w:tc>
          <w:p>
            <w:pPr>
              <w:pStyle w:val="Compact"/>
              <w:jc w:val="left"/>
            </w:pPr>
            <w:r>
              <w:t xml:space="preserve">Stressed by chemistry degradation</w:t>
            </w:r>
          </w:p>
        </w:tc>
        <w:tc>
          <w:p>
            <w:pPr>
              <w:pStyle w:val="Compact"/>
              <w:jc w:val="left"/>
            </w:pPr>
            <w:r>
              <w:t xml:space="preserve">65 (24.3)</w:t>
            </w:r>
          </w:p>
        </w:tc>
      </w:tr>
      <w:tr>
        <w:tc>
          <w:p/>
        </w:tc>
        <w:tc>
          <w:p>
            <w:pPr>
              <w:pStyle w:val="Compact"/>
              <w:jc w:val="left"/>
            </w:pPr>
            <w:r>
              <w:t xml:space="preserve">Stressed by habitat degradation</w:t>
            </w:r>
          </w:p>
        </w:tc>
        <w:tc>
          <w:p>
            <w:pPr>
              <w:pStyle w:val="Compact"/>
              <w:jc w:val="left"/>
            </w:pPr>
            <w:r>
              <w:t xml:space="preserve">16 (6)</w:t>
            </w:r>
          </w:p>
        </w:tc>
      </w:tr>
      <w:tr>
        <w:tc>
          <w:p/>
        </w:tc>
        <w:tc>
          <w:p>
            <w:pPr>
              <w:pStyle w:val="Compact"/>
              <w:jc w:val="left"/>
            </w:pPr>
            <w:r>
              <w:t xml:space="preserve">Stressed by low levels of chemistry or habitat degradation</w:t>
            </w:r>
          </w:p>
        </w:tc>
        <w:tc>
          <w:p>
            <w:pPr>
              <w:pStyle w:val="Compact"/>
              <w:jc w:val="left"/>
            </w:pPr>
            <w:r>
              <w:t xml:space="preserve">23 (8.6)</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eqn. (1)) and physical habitat (pHab, eqn. (2)) predictors with biological alteration. Generalized linear models were fit to predict the likelihood of both healthy benthic macroinvertebrate and algal communities at calibration sites (75% of n = 267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66"/>
      </w:tblGrid>
      <w:tr>
        <w:trPr>
          <w:cantSplit/>
          <w:trHeight w:val="437"/>
        </w:trPr>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pChem</w:t>
            </w:r>
          </w:p>
        </w:tc>
        <w:tc>
          <w:tcPr>
            <w:tcBorders>
              <w:bottom w:val="single" w:sz="8" w:space="0" w:color="000000"/>
              <w:top w:val="single" w:sz="8" w:space="0" w:color="000000"/>
            </w:tcBorders>
            <w:shd w:val="clear" w:color="auto" w:fill="FFFFFF"/>
            <w:tcMar>
              <w:top w:w="0" w:type="dxa"/>
              <w:bottom w:w="0" w:type="dxa"/>
              <w:left w:w="0" w:type="dxa"/>
              <w:right w:w="0" w:type="dxa"/>
            </w:tcMar>
            <w:vAlign w:val="top"/>
          </w:tcPr>
          <w:p>
            <w:pPr>
              <w:jc w:val="center"/>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pHab</w:t>
            </w:r>
          </w:p>
        </w:tc>
      </w:tr>
      <w:tr>
        <w:trPr>
          <w:cantSplit/>
          <w:trHeight w:val="397"/>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Constant</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2.22 *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11.51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(0.97)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(2.08)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log(TN)</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(0.51)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60"/>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log(TP)</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2.46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Conductivity</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CRAM hydrologic structure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   </w:t>
            </w:r>
          </w:p>
        </w:tc>
      </w:tr>
      <w:tr>
        <w:trPr>
          <w:cantSplit/>
          <w:trHeight w:val="434"/>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riparian cover</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-1.40    </w:t>
            </w:r>
          </w:p>
        </w:tc>
      </w:tr>
      <w:tr>
        <w:trPr>
          <w:cantSplit/>
          <w:trHeight w:val="44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(0.98)   </w:t>
            </w:r>
          </w:p>
        </w:tc>
      </w:tr>
      <w:tr>
        <w:trPr>
          <w:cantSplit/>
          <w:trHeight w:val="43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IPI percent sands, fines, or concrete</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 *  </w:t>
            </w:r>
          </w:p>
        </w:tc>
      </w:tr>
      <w:tr>
        <w:trPr>
          <w:cantSplit/>
          <w:trHeight w:val="447"/>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   </w:t>
            </w:r>
          </w:p>
        </w:tc>
      </w:tr>
      <w:tr>
        <w:trPr>
          <w:cantSplit/>
          <w:trHeight w:val="393"/>
        </w:trPr>
        <w:tc>
          <w:tcPr>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c>
          <w:tcPr>
            <w:tcBorders>
              <w:top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109.73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146.53    </w:t>
            </w:r>
          </w:p>
        </w:tc>
      </w:tr>
      <w:tr>
        <w:trPr>
          <w:cantSplit/>
          <w:trHeight w:val="397"/>
        </w:trPr>
        <w:tc>
          <w:tcPr>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BIC</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122.92    </w:t>
            </w:r>
          </w:p>
        </w:tc>
        <w:tc>
          <w:tcPr>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159.72    </w:t>
            </w:r>
          </w:p>
        </w:tc>
      </w:tr>
      <w:tr>
        <w:trPr>
          <w:cantSplit/>
          <w:trHeight w:val="396"/>
        </w:trPr>
        <w:tc>
          <w:tcPr>
            <w:tcBorders>
              <w:bottom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Pseudo R2</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0.65    </w:t>
            </w:r>
          </w:p>
        </w:tc>
        <w:tc>
          <w:tcPr>
            <w:tcBorders>
              <w:bottom w:val="single" w:sz="8" w:space="0" w:color="000000"/>
            </w:tcBorders>
            <w:shd w:val="clear" w:color="auto" w:fill="FFFFFF"/>
            <w:tcMar>
              <w:top w:w="0" w:type="dxa"/>
              <w:bottom w:w="0" w:type="dxa"/>
              <w:left w:w="0" w:type="dxa"/>
              <w:right w:w="0" w:type="dxa"/>
            </w:tcMar>
            <w:vAlign w:val="top"/>
          </w:tcPr>
          <w:p>
            <w:pPr>
              <w:jc w:val="righ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    </w:t>
            </w:r>
          </w:p>
        </w:tc>
      </w:tr>
      <w:tr>
        <w:trPr>
          <w:cantSplit/>
          <w:trHeight w:val="434"/>
        </w:trPr>
        <w:tc>
          <w:tcPr>
            <w:gridSpan w:val="3"/>
            <w:tcBorders>
              <w:top w:val="single" w:sz="8" w:space="0" w:color="000000"/>
            </w:tcBorders>
            <w:shd w:val="clear" w:color="auto" w:fill="FFFFFF"/>
            <w:tcMar>
              <w:top w:w="0" w:type="dxa"/>
              <w:bottom w:w="0" w:type="dxa"/>
              <w:left w:w="0" w:type="dxa"/>
              <w:right w:w="0" w:type="dxa"/>
            </w:tcMar>
            <w:vAlign w:val="top"/>
          </w:tcPr>
          <w:p>
            <w:pPr>
              <w:jc w:val="left"/>
              <w:spacing w:after="80" w:before="80"/>
              <w:ind w:firstLine="0" w:left="80" w:right="8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 p &lt; 0.001;  ** p &lt; 0.01;  * p &lt; 0.05.</w:t>
            </w:r>
          </w:p>
        </w:tc>
      </w:tr>
    </w:tbl>
    <w:p>
      <w:pPr>
        <w:pStyle w:val="Heading1"/>
      </w:pPr>
      <w:bookmarkStart w:id="62" w:name="references"/>
      <w:r>
        <w:t xml:space="preserve">References</w:t>
      </w:r>
      <w:bookmarkEnd w:id="62"/>
    </w:p>
    <w:bookmarkStart w:id="128" w:name="refs"/>
    <w:bookmarkStart w:id="64" w:name="ref-Maddock99"/>
    <w:p>
      <w:pPr>
        <w:pStyle w:val="Bibliography"/>
      </w:pPr>
      <w:r>
        <w:t xml:space="preserve">[1] I. Maddock, The importance of physical habitat assessment for evaluating river health, Freshw. Biology. 41 (1999) 373–391. doi:</w:t>
      </w:r>
      <w:hyperlink r:id="rId63">
        <w:r>
          <w:rPr>
            <w:rStyle w:val="Hyperlink"/>
          </w:rPr>
          <w:t xml:space="preserve">10.1046/j.1365-2427.1999.00437.x</w:t>
        </w:r>
      </w:hyperlink>
      <w:r>
        <w:t xml:space="preserve">.</w:t>
      </w:r>
    </w:p>
    <w:bookmarkEnd w:id="64"/>
    <w:bookmarkStart w:id="66" w:name="ref-Wang07"/>
    <w:p>
      <w:pPr>
        <w:pStyle w:val="Bibliography"/>
      </w:pPr>
      <w:r>
        <w:t xml:space="preserve">[2] L.Z. Wang, D.M. Robertson, P.J. Garrison, Linkages between nutrients and assemblages of macroinvertebrates and fish in wadeable streams: Implication to nutrient criteria development, Environ. Manag. 39 (2007) 194–212. doi:</w:t>
      </w:r>
      <w:hyperlink r:id="rId65">
        <w:r>
          <w:rPr>
            <w:rStyle w:val="Hyperlink"/>
          </w:rPr>
          <w:t xml:space="preserve">10.1007/s00267-006-0135-8</w:t>
        </w:r>
      </w:hyperlink>
      <w:r>
        <w:t xml:space="preserve">.</w:t>
      </w:r>
    </w:p>
    <w:bookmarkEnd w:id="66"/>
    <w:bookmarkStart w:id="68" w:name="ref-Maruya16"/>
    <w:p>
      <w:pPr>
        <w:pStyle w:val="Bibliography"/>
      </w:pPr>
      <w:r>
        <w:t xml:space="preserve">[3] K.A. Maruya, N.G. Dodder, A.C. Mehinto, N.D. Denslow, D. Schlenk, S.A. Snyder, S.B. Weisberg, A tiered, integrated biological and chemical monitoring framework for contaminants of emerging concern in aquatic ecosystems, Environ. Manag. 12 (2016) 540–547. doi:</w:t>
      </w:r>
      <w:hyperlink r:id="rId67">
        <w:r>
          <w:rPr>
            <w:rStyle w:val="Hyperlink"/>
          </w:rPr>
          <w:t xml:space="preserve">10.1002/ieam.1702</w:t>
        </w:r>
      </w:hyperlink>
      <w:r>
        <w:t xml:space="preserve">.</w:t>
      </w:r>
    </w:p>
    <w:bookmarkEnd w:id="68"/>
    <w:bookmarkStart w:id="70" w:name="ref-Stoddard06"/>
    <w:p>
      <w:pPr>
        <w:pStyle w:val="Bibliography"/>
      </w:pPr>
      <w:r>
        <w:t xml:space="preserve">[4] J.L. Stoddard, D.P. Larsen, C.P. Hawkins, R.K. Johnson, R.H. Norris, Setting expectations for the ecological condition of streams: The concept of reference condition, Ecol. Appl. 16 (2006) 1267–1276. doi:</w:t>
      </w:r>
      <w:hyperlink r:id="rId69">
        <w:r>
          <w:rPr>
            <w:rStyle w:val="Hyperlink"/>
          </w:rPr>
          <w:t xml:space="preserve">10.1890/1051-0761(2006)016[1267:SEFTEC]2.0.CO;2</w:t>
        </w:r>
      </w:hyperlink>
      <w:r>
        <w:t xml:space="preserve">.</w:t>
      </w:r>
    </w:p>
    <w:bookmarkEnd w:id="70"/>
    <w:bookmarkStart w:id="71" w:name="ref-Ode16"/>
    <w:p>
      <w:pPr>
        <w:pStyle w:val="Bibliography"/>
      </w:pPr>
      <w:r>
        <w:t xml:space="preserve">[5] P.R. Ode, A.C. Rehn, R.D. Mazor, K.C. Schiff, E.D. Stein, J.T. May, L.R. Brown, D.B. Herbst, D. Gillett, K. Lunde, C.P. Hawkins, Evaluating the adequacy of a reference-site pool for ecological assessments in environmentally complex regions, Freshw. Sci. 35 (2016) 237–248.</w:t>
      </w:r>
    </w:p>
    <w:bookmarkEnd w:id="71"/>
    <w:bookmarkStart w:id="73" w:name="ref-Bowman06"/>
    <w:p>
      <w:pPr>
        <w:pStyle w:val="Bibliography"/>
      </w:pPr>
      <w:r>
        <w:t xml:space="preserve">[6] M.F. Bowman, K.M. Somers, R.A. Reid, L.D. Scott, Temporal response of stream benthic macroinvertebrate communities to the synergistic effects of anthropogenic acidification and natural drought events, Freshw. Biology. 51 (2006) 768–782. doi:</w:t>
      </w:r>
      <w:hyperlink r:id="rId72">
        <w:r>
          <w:rPr>
            <w:rStyle w:val="Hyperlink"/>
          </w:rPr>
          <w:t xml:space="preserve">10.1111/j.1365-2427.2006.01516.x</w:t>
        </w:r>
      </w:hyperlink>
      <w:r>
        <w:t xml:space="preserve">.</w:t>
      </w:r>
    </w:p>
    <w:bookmarkEnd w:id="73"/>
    <w:bookmarkStart w:id="74" w:name="ref-NRC90"/>
    <w:p>
      <w:pPr>
        <w:pStyle w:val="Bibliography"/>
      </w:pPr>
      <w:r>
        <w:t xml:space="preserve">[7] National Research Council, Managing troubled waters: The role of marine environmental monitoring, National Academy Press, Washington, DC, 1990.</w:t>
      </w:r>
    </w:p>
    <w:bookmarkEnd w:id="74"/>
    <w:bookmarkStart w:id="76" w:name="ref-Paulsen08"/>
    <w:p>
      <w:pPr>
        <w:pStyle w:val="Bibliography"/>
      </w:pPr>
      <w:r>
        <w:t xml:space="preserve">[8] S.G. Paulsen, A. Mayio, D.V. Peck, J.L. Stoddard, E. Tarquinio, S.M. Holdsworth, J.V. Sickle, L.L. Yuan, C.P. Hawkins, A.T. Herlihy, P.R. Kaufmann, M.T. Barbour, D.P. Larsen, A.R. Olsen, Condition of stream ecosystems in the US: An overview of the first national assessment, J. North Am. Benthol. Soc. 27 (2008) 812–821. doi:</w:t>
      </w:r>
      <w:hyperlink r:id="rId75">
        <w:r>
          <w:rPr>
            <w:rStyle w:val="Hyperlink"/>
          </w:rPr>
          <w:t xml:space="preserve">10.1899/08-098.1</w:t>
        </w:r>
      </w:hyperlink>
      <w:r>
        <w:t xml:space="preserve">.</w:t>
      </w:r>
    </w:p>
    <w:bookmarkEnd w:id="76"/>
    <w:bookmarkStart w:id="77" w:name="ref-Karr81"/>
    <w:p>
      <w:pPr>
        <w:pStyle w:val="Bibliography"/>
      </w:pPr>
      <w:r>
        <w:t xml:space="preserve">[9] J.R. Karr, Assessment of biotic integrity using fish communities, Fish. 6 (1981) 21–27.</w:t>
      </w:r>
    </w:p>
    <w:bookmarkEnd w:id="77"/>
    <w:bookmarkStart w:id="78" w:name="ref-Karr99"/>
    <w:p>
      <w:pPr>
        <w:pStyle w:val="Bibliography"/>
      </w:pPr>
      <w:r>
        <w:t xml:space="preserve">[10] J.R. Karr, E.W. Chu, Restoring life in running waters: Better biological monitoring, Island Press, Washington, DC, 1999.</w:t>
      </w:r>
    </w:p>
    <w:bookmarkEnd w:id="78"/>
    <w:bookmarkStart w:id="80" w:name="ref-Hawkins00b"/>
    <w:p>
      <w:pPr>
        <w:pStyle w:val="Bibliography"/>
      </w:pPr>
      <w:r>
        <w:t xml:space="preserve">[11] C.P. Hawkins, R.H. Norris, J.N. Hogue, J.W. Feminella, Development and evaluation of predictive models for measuring the biological integrity of streams, Ecol. Appl. 10 (2000) 1456–1477. doi:</w:t>
      </w:r>
      <w:hyperlink r:id="rId79">
        <w:r>
          <w:rPr>
            <w:rStyle w:val="Hyperlink"/>
          </w:rPr>
          <w:t xml:space="preserve">10.1890/1051-0761(2000)010[1456:DAEOPM]2.0.CO;2</w:t>
        </w:r>
      </w:hyperlink>
      <w:r>
        <w:t xml:space="preserve">.</w:t>
      </w:r>
    </w:p>
    <w:bookmarkEnd w:id="80"/>
    <w:bookmarkStart w:id="82" w:name="ref-Joy02"/>
    <w:p>
      <w:pPr>
        <w:pStyle w:val="Bibliography"/>
      </w:pPr>
      <w:r>
        <w:t xml:space="preserve">[12] M.K. Joy, R.G. Death, Predictive modelling of freshwater fish as a biomonitoring tool in New Zealand, Freshw. Biology. 47 (2002) 2261–2275. doi:</w:t>
      </w:r>
      <w:hyperlink r:id="rId81">
        <w:r>
          <w:rPr>
            <w:rStyle w:val="Hyperlink"/>
          </w:rPr>
          <w:t xml:space="preserve">10.1046/j.1365-2427.2002.00954.x</w:t>
        </w:r>
      </w:hyperlink>
      <w:r>
        <w:t xml:space="preserve">.</w:t>
      </w:r>
    </w:p>
    <w:bookmarkEnd w:id="82"/>
    <w:bookmarkStart w:id="83" w:name="ref-Mazor16"/>
    <w:p>
      <w:pPr>
        <w:pStyle w:val="Bibliography"/>
      </w:pPr>
      <w:r>
        <w:t xml:space="preserve">[13] R.D. Mazor, A.C. Rehn, P.R. Ode, M. Engeln, K.C. Schiff, E.D. Stein, D.J. Gillett, D.B. Herbst, C.P. Hawkins, Bioassessment in complex environments: Designing an index for consistent meaning in different settings, Freshw. Sci. 35 (2016) 249–271.</w:t>
      </w:r>
    </w:p>
    <w:bookmarkEnd w:id="83"/>
    <w:bookmarkStart w:id="84" w:name="ref-CCME01"/>
    <w:p>
      <w:pPr>
        <w:pStyle w:val="Bibliography"/>
      </w:pPr>
      <w:r>
        <w:t xml:space="preserve">[14] CCME (Canadian Council of Ministers of the Environment), Canadian water quality guidelines for the protection of aquatic life: CCME Water Quality Index 1.0, Technical Report. In: Canadian environmental quality guidelines, Canadian Council of Ministers of the Environment, Winnipeg, Manitoba, 2001.</w:t>
      </w:r>
    </w:p>
    <w:bookmarkEnd w:id="84"/>
    <w:bookmarkStart w:id="86" w:name="ref-Hurley12"/>
    <w:p>
      <w:pPr>
        <w:pStyle w:val="Bibliography"/>
      </w:pPr>
      <w:r>
        <w:t xml:space="preserve">[15] T. Hurley, R. Sadiq, A. Mazumder, Adaptation and evaluation of the Canadian Council of Ministers of the Environment Water Quality Index (CCME WQI) for use as an effective tool to characterize drinking source water quality, Water Res. 46 (2012) 3544–3552. doi:</w:t>
      </w:r>
      <w:hyperlink r:id="rId85">
        <w:r>
          <w:rPr>
            <w:rStyle w:val="Hyperlink"/>
          </w:rPr>
          <w:t xml:space="preserve">10.1016/j.watres.2012.03.061</w:t>
        </w:r>
      </w:hyperlink>
      <w:r>
        <w:t xml:space="preserve">.</w:t>
      </w:r>
    </w:p>
    <w:bookmarkEnd w:id="86"/>
    <w:bookmarkStart w:id="87" w:name="ref-Rankin95"/>
    <w:p>
      <w:pPr>
        <w:pStyle w:val="Bibliography"/>
      </w:pPr>
      <w:r>
        <w:t xml:space="preserve">[16] E.T. Rankin, Habitat indices in water resource quality assessments, in: W. Davis, T. Simon (Eds.), Biological Assessment and Criteria: Tools for Water Resource Planning and Decision Making, Lewis Publishers, Boca Raton, FL, 1995: pp. 181–208.</w:t>
      </w:r>
    </w:p>
    <w:bookmarkEnd w:id="87"/>
    <w:bookmarkStart w:id="89" w:name="ref-Collins07"/>
    <w:p>
      <w:pPr>
        <w:pStyle w:val="Bibliography"/>
      </w:pPr>
      <w:r>
        <w:t xml:space="preserve">[17] J.N. Collins, E.D. Stein, M. Sutula, R. Clark, A.E. Fetscher, L. Grenier, C. Grosso, A. Wiskind, California Rapid Assessment Method (CRAM) for wetlands, ver.5.0., 2007.</w:t>
      </w:r>
      <w:r>
        <w:t xml:space="preserve"> </w:t>
      </w:r>
      <w:hyperlink r:id="rId88">
        <w:r>
          <w:rPr>
            <w:rStyle w:val="Hyperlink"/>
          </w:rPr>
          <w:t xml:space="preserve">\url{http://www.cramwetlands.org/documents/}</w:t>
        </w:r>
      </w:hyperlink>
      <w:r>
        <w:t xml:space="preserve">.</w:t>
      </w:r>
    </w:p>
    <w:bookmarkEnd w:id="89"/>
    <w:bookmarkStart w:id="91" w:name="ref-Solek11"/>
    <w:p>
      <w:pPr>
        <w:pStyle w:val="Bibliography"/>
      </w:pPr>
      <w:r>
        <w:t xml:space="preserve">[18] C.W. Solek, E.D. Stein, M. Sutula, Demonstration of an integrated watershed assessment using a three-tiered assessment framework, Wetl. Ecol. Manag. 19 (2011) 459–474. doi:</w:t>
      </w:r>
      <w:hyperlink r:id="rId90">
        <w:r>
          <w:rPr>
            <w:rStyle w:val="Hyperlink"/>
          </w:rPr>
          <w:t xml:space="preserve">10.1007/s11273-011-9230-6</w:t>
        </w:r>
      </w:hyperlink>
      <w:r>
        <w:t xml:space="preserve">.</w:t>
      </w:r>
    </w:p>
    <w:bookmarkEnd w:id="91"/>
    <w:bookmarkStart w:id="93" w:name="ref-Rehn18"/>
    <w:p>
      <w:pPr>
        <w:pStyle w:val="Bibliography"/>
      </w:pPr>
      <w:r>
        <w:t xml:space="preserve">[19] A.C. Rehn, R.D. Mazor, P.R. Ode, An index to measure the quality of physical habitat in California wadeable streams, California Water Boards, Surface Water Ambient Monitoring Program, California Department of Fish; Wildlife, Southern California Coastal Water Research Project, Sacramento, California, 2018.</w:t>
      </w:r>
      <w:r>
        <w:t xml:space="preserve"> </w:t>
      </w:r>
      <w:hyperlink r:id="rId92">
        <w:r>
          <w:rPr>
            <w:rStyle w:val="Hyperlink"/>
          </w:rPr>
          <w:t xml:space="preserve">https://www.waterboards.ca.gov/water_issues/programs/swamp/bioassessment/docs/physical_habitat_index_technical_memo.pdf</w:t>
        </w:r>
      </w:hyperlink>
      <w:r>
        <w:t xml:space="preserve">.</w:t>
      </w:r>
    </w:p>
    <w:bookmarkEnd w:id="93"/>
    <w:bookmarkStart w:id="95" w:name="ref-Bay12"/>
    <w:p>
      <w:pPr>
        <w:pStyle w:val="Bibliography"/>
      </w:pPr>
      <w:r>
        <w:t xml:space="preserve">[20] S.M. Bay, S.B. Weisberg, Framework for interpreting sediment quality triad data, Integr. Environ. Assess. Manag. 8 (2012) 589–596. doi:</w:t>
      </w:r>
      <w:hyperlink r:id="rId94">
        <w:r>
          <w:rPr>
            <w:rStyle w:val="Hyperlink"/>
          </w:rPr>
          <w:t xml:space="preserve">10.1002/ieam.118</w:t>
        </w:r>
      </w:hyperlink>
      <w:r>
        <w:t xml:space="preserve">.</w:t>
      </w:r>
    </w:p>
    <w:bookmarkEnd w:id="95"/>
    <w:bookmarkStart w:id="96" w:name="ref-Therouxip"/>
    <w:p>
      <w:pPr>
        <w:pStyle w:val="Bibliography"/>
      </w:pPr>
      <w:r>
        <w:t xml:space="preserve">[21] S. Theroux, R.D. Mazor, M.W. Beck, P. Ode, M. Sutula, E.D. Stein, A non-predictive algal index for complex environments, Ecol. Indic. (n.d.).</w:t>
      </w:r>
    </w:p>
    <w:bookmarkEnd w:id="96"/>
    <w:bookmarkStart w:id="98" w:name="ref-Moss87"/>
    <w:p>
      <w:pPr>
        <w:pStyle w:val="Bibliography"/>
      </w:pPr>
      <w:r>
        <w:t xml:space="preserve">[22] D. Moss, M.T. Furse, J.F. Wright, P.D. Armitage, The prediction of the macro-invertebrate fauna of unpolluted running-water sites in Great Britain using environmental data, Freshwater Biology. 17 (1987) 41–52. doi:</w:t>
      </w:r>
      <w:hyperlink r:id="rId97">
        <w:r>
          <w:rPr>
            <w:rStyle w:val="Hyperlink"/>
          </w:rPr>
          <w:t xml:space="preserve">10.1111/j.1365-2427.1987.tb01027.x</w:t>
        </w:r>
      </w:hyperlink>
      <w:r>
        <w:t xml:space="preserve">.</w:t>
      </w:r>
    </w:p>
    <w:bookmarkEnd w:id="98"/>
    <w:bookmarkStart w:id="100" w:name="ref-Cao07"/>
    <w:p>
      <w:pPr>
        <w:pStyle w:val="Bibliography"/>
      </w:pPr>
      <w:r>
        <w:t xml:space="preserve">[23] Y. Cao, C.P. Hawkins, J. Olson, M.A. Kosterman, Modeling natural environmental gradients improves the accuracy and precision of diatom-based indicators, J. North Am. Benthol. Soc. 26 (2007) 566–585. doi:</w:t>
      </w:r>
      <w:hyperlink r:id="rId99">
        <w:r>
          <w:rPr>
            <w:rStyle w:val="Hyperlink"/>
          </w:rPr>
          <w:t xml:space="preserve">10.1899/06-078.1</w:t>
        </w:r>
      </w:hyperlink>
      <w:r>
        <w:t xml:space="preserve">.</w:t>
      </w:r>
    </w:p>
    <w:bookmarkEnd w:id="100"/>
    <w:bookmarkStart w:id="101" w:name="ref-Mazor15"/>
    <w:p>
      <w:pPr>
        <w:pStyle w:val="Bibliography"/>
      </w:pPr>
      <w:r>
        <w:t xml:space="preserve">[24] R.D. Mazor, Bioassessment of perennial streams in Southern California: A report on the first five years of the Stormwater Monitoring Coalition’s regional stream survey, Southern California Coastal Water Research Project, Costa Mesa, California, 2015.</w:t>
      </w:r>
    </w:p>
    <w:bookmarkEnd w:id="101"/>
    <w:bookmarkStart w:id="103" w:name="ref-Richards97"/>
    <w:p>
      <w:pPr>
        <w:pStyle w:val="Bibliography"/>
      </w:pPr>
      <w:r>
        <w:t xml:space="preserve">[25] C. Richards, R. Haro, L. Johnson, G. Host, Catchment and reach-scale properties as indicators of macroinvertebrate species traits, Freshw. Biology. 37 (1997) 219–230. doi:</w:t>
      </w:r>
      <w:hyperlink r:id="rId102">
        <w:r>
          <w:rPr>
            <w:rStyle w:val="Hyperlink"/>
          </w:rPr>
          <w:t xml:space="preserve">10.1046/j.1365-2427.1997.d01-540.x</w:t>
        </w:r>
      </w:hyperlink>
      <w:r>
        <w:t xml:space="preserve">.</w:t>
      </w:r>
    </w:p>
    <w:bookmarkEnd w:id="103"/>
    <w:bookmarkStart w:id="105" w:name="ref-Pan02"/>
    <w:p>
      <w:pPr>
        <w:pStyle w:val="Bibliography"/>
      </w:pPr>
      <w:r>
        <w:t xml:space="preserve">[26] Y. Pan, R.J. Stevenson, B.H. Hill, P.R. Kaufmann, A.T. Herlihy, Spatial patterns and ecological determinants of benthic algal assemblages in mid-Atlantic streams, USA, J. Phycol. 35 (2002) 460–468. doi:</w:t>
      </w:r>
      <w:hyperlink r:id="rId104">
        <w:r>
          <w:rPr>
            <w:rStyle w:val="Hyperlink"/>
          </w:rPr>
          <w:t xml:space="preserve">10.1046/j.1529-8817.1999.3530460.x</w:t>
        </w:r>
      </w:hyperlink>
      <w:r>
        <w:t xml:space="preserve">.</w:t>
      </w:r>
    </w:p>
    <w:bookmarkEnd w:id="105"/>
    <w:bookmarkStart w:id="107" w:name="ref-Dodds02"/>
    <w:p>
      <w:pPr>
        <w:pStyle w:val="Bibliography"/>
      </w:pPr>
      <w:r>
        <w:t xml:space="preserve">[27] W.K. Dodds, V.H. Smith, K. Lohman, Nitrogen and phosphorus relationships to benthic algal biomass in temperate streams, Can. J. Fish. Aquat. Sci. 59 (2002) 865–874. doi:</w:t>
      </w:r>
      <w:hyperlink r:id="rId106">
        <w:r>
          <w:rPr>
            <w:rStyle w:val="Hyperlink"/>
          </w:rPr>
          <w:t xml:space="preserve">10.1139/f02-063</w:t>
        </w:r>
      </w:hyperlink>
      <w:r>
        <w:t xml:space="preserve">.</w:t>
      </w:r>
    </w:p>
    <w:bookmarkEnd w:id="107"/>
    <w:bookmarkStart w:id="109" w:name="ref-Walsh05"/>
    <w:p>
      <w:pPr>
        <w:pStyle w:val="Bibliography"/>
      </w:pPr>
      <w:r>
        <w:t xml:space="preserve">[28] C.J. Walsh, A.H. Roy, J. w. Feminella, P.D. Cottingham, P.M. Groffman, R.P. Morgan, The urban stream syndrome: Current knowledge and the search for a cure, J. North Am. Benthol. Soc. 24 (2005) 706–723. doi:</w:t>
      </w:r>
      <w:hyperlink r:id="rId108">
        <w:r>
          <w:rPr>
            <w:rStyle w:val="Hyperlink"/>
          </w:rPr>
          <w:t xml:space="preserve">10.1899/04-028.1</w:t>
        </w:r>
      </w:hyperlink>
      <w:r>
        <w:t xml:space="preserve">.</w:t>
      </w:r>
    </w:p>
    <w:bookmarkEnd w:id="109"/>
    <w:bookmarkStart w:id="111" w:name="ref-Dodds16"/>
    <w:p>
      <w:pPr>
        <w:pStyle w:val="Bibliography"/>
      </w:pPr>
      <w:r>
        <w:t xml:space="preserve">[29] W.K. Dodds, V.H. Smith, Nitrogen, phosphorus, and eutrophication in streams, Inland Waters. 6 (2016) 155–164. doi:</w:t>
      </w:r>
      <w:hyperlink r:id="rId110">
        <w:r>
          <w:rPr>
            <w:rStyle w:val="Hyperlink"/>
          </w:rPr>
          <w:t xml:space="preserve">10.5268/IW-6.2.909</w:t>
        </w:r>
      </w:hyperlink>
      <w:r>
        <w:t xml:space="preserve">.</w:t>
      </w:r>
    </w:p>
    <w:bookmarkEnd w:id="111"/>
    <w:bookmarkStart w:id="112" w:name="ref-Ode07"/>
    <w:p>
      <w:pPr>
        <w:pStyle w:val="Bibliography"/>
      </w:pPr>
      <w:r>
        <w:t xml:space="preserve">[30] P.R. Ode, Standard operating procedures for collecting benthic macroinvertebrate samples and associated physical and chemical data for ambient bioassessment in California, (2007).</w:t>
      </w:r>
    </w:p>
    <w:bookmarkEnd w:id="112"/>
    <w:bookmarkStart w:id="113" w:name="ref-USEPA16"/>
    <w:p>
      <w:pPr>
        <w:pStyle w:val="Bibliography"/>
      </w:pPr>
      <w:r>
        <w:t xml:space="preserve">[31] USEPA (US Environmental Protection Agency), National rivers and streams assessment 2008-2009: A collaborative survey, Washington, DC, 2016.</w:t>
      </w:r>
    </w:p>
    <w:bookmarkEnd w:id="113"/>
    <w:bookmarkStart w:id="114" w:name="ref-Fox11"/>
    <w:p>
      <w:pPr>
        <w:pStyle w:val="Bibliography"/>
      </w:pPr>
      <w:r>
        <w:t xml:space="preserve">[32] J. Fox, S. Weisberg, An R companion to applied regression, SAGE Publications Inc., Thousand Oaks, California, 2011.</w:t>
      </w:r>
    </w:p>
    <w:bookmarkEnd w:id="114"/>
    <w:bookmarkStart w:id="115" w:name="ref-Zuur07"/>
    <w:p>
      <w:pPr>
        <w:pStyle w:val="Bibliography"/>
      </w:pPr>
      <w:r>
        <w:t xml:space="preserve">[33] A.F. Zuur, E.N. Ieno, G.M. Smith, Analysing ecological data, Springer-Verlag, New York, New York, 2007.</w:t>
      </w:r>
    </w:p>
    <w:bookmarkEnd w:id="115"/>
    <w:bookmarkStart w:id="116" w:name="ref-Akaike73"/>
    <w:p>
      <w:pPr>
        <w:pStyle w:val="Bibliography"/>
      </w:pPr>
      <w:r>
        <w:t xml:space="preserve">[34] H. Akaike, Information theory and an extension of the maximum likelihood principle, in: B.N. Petrov, F. Csaki (Eds.), Second International Symposium on Information Theory, Akademiai Kiado, Budapest, 1973: pp. 267–281.</w:t>
      </w:r>
    </w:p>
    <w:bookmarkEnd w:id="116"/>
    <w:bookmarkStart w:id="118" w:name="ref-Venables02"/>
    <w:p>
      <w:pPr>
        <w:pStyle w:val="Bibliography"/>
      </w:pPr>
      <w:r>
        <w:t xml:space="preserve">[35] W.N. Venables, B.D. Ripley, Modern applied statistics with S, Fourth, Springer-Verlag, New York, New York, 2002.</w:t>
      </w:r>
      <w:r>
        <w:t xml:space="preserve"> </w:t>
      </w:r>
      <w:hyperlink r:id="rId117">
        <w:r>
          <w:rPr>
            <w:rStyle w:val="Hyperlink"/>
          </w:rPr>
          <w:t xml:space="preserve">http://www.stats.ox.ac.uk/pub/MASS4</w:t>
        </w:r>
      </w:hyperlink>
      <w:r>
        <w:t xml:space="preserve">.</w:t>
      </w:r>
    </w:p>
    <w:bookmarkEnd w:id="118"/>
    <w:bookmarkStart w:id="120" w:name="ref-Dobbie14"/>
    <w:p>
      <w:pPr>
        <w:pStyle w:val="Bibliography"/>
      </w:pPr>
      <w:r>
        <w:t xml:space="preserve">[36] M.J. Dobbie, D. Clifford, Quantifying uncertainty in environmental indices: An application to an estuarine health index, Mar. Freshw. Res. 66 (2014) 95–105. doi:</w:t>
      </w:r>
      <w:hyperlink r:id="rId119">
        <w:r>
          <w:rPr>
            <w:rStyle w:val="Hyperlink"/>
          </w:rPr>
          <w:t xml:space="preserve">10.1071/MF13065</w:t>
        </w:r>
      </w:hyperlink>
      <w:r>
        <w:t xml:space="preserve">.</w:t>
      </w:r>
    </w:p>
    <w:bookmarkEnd w:id="120"/>
    <w:bookmarkStart w:id="122" w:name="ref-Chang18"/>
    <w:p>
      <w:pPr>
        <w:pStyle w:val="Bibliography"/>
      </w:pPr>
      <w:r>
        <w:t xml:space="preserve">[37] W. Chang, J. Cheng, J. Allaire, Y. Xie, J. McPherson, Shiny: Web application framework for r, 2018.</w:t>
      </w:r>
      <w:r>
        <w:t xml:space="preserve"> </w:t>
      </w:r>
      <w:hyperlink r:id="rId121">
        <w:r>
          <w:rPr>
            <w:rStyle w:val="Hyperlink"/>
          </w:rPr>
          <w:t xml:space="preserve">https://CRAN.R-project.org/package=shiny</w:t>
        </w:r>
      </w:hyperlink>
      <w:r>
        <w:t xml:space="preserve">.</w:t>
      </w:r>
    </w:p>
    <w:bookmarkEnd w:id="122"/>
    <w:bookmarkStart w:id="123" w:name="ref-RDCT18"/>
    <w:p>
      <w:pPr>
        <w:pStyle w:val="Bibliography"/>
      </w:pPr>
      <w:r>
        <w:t xml:space="preserve">[38] RDCT (R Development Core Team), R: A language and environment for statistical computing, v3.5.1. R Foundation for Statistical Computing, Vienna, Austria, (2018).</w:t>
      </w:r>
    </w:p>
    <w:bookmarkEnd w:id="123"/>
    <w:bookmarkStart w:id="125" w:name="ref-Beck18f"/>
    <w:p>
      <w:pPr>
        <w:pStyle w:val="Bibliography"/>
      </w:pPr>
      <w:r>
        <w:t xml:space="preserve">[39] M.W. Beck, R.D. Mazor, SCCWRP/SQI: v1.2.0 (Version 1.2.0). Zenodo,</w:t>
      </w:r>
      <w:r>
        <w:t xml:space="preserve"> </w:t>
      </w:r>
      <w:hyperlink r:id="rId124">
        <w:r>
          <w:rPr>
            <w:rStyle w:val="Hyperlink"/>
          </w:rPr>
          <w:t xml:space="preserve">http://doi.org/10.5281/zenodo.2587212</w:t>
        </w:r>
      </w:hyperlink>
      <w:r>
        <w:t xml:space="preserve">, (2018).</w:t>
      </w:r>
    </w:p>
    <w:bookmarkEnd w:id="125"/>
    <w:bookmarkStart w:id="127" w:name="ref-Beck19"/>
    <w:p>
      <w:pPr>
        <w:pStyle w:val="Bibliography"/>
      </w:pPr>
      <w:r>
        <w:t xml:space="preserve">[40] M.W. Beck, R.D. Mazor, S. Theroux, K.C. Schiff, SCCWRP/SQI_Shiny: v1.0.0 (Version 1.0.0). Zenodo,</w:t>
      </w:r>
      <w:r>
        <w:t xml:space="preserve"> </w:t>
      </w:r>
      <w:hyperlink r:id="rId126">
        <w:r>
          <w:rPr>
            <w:rStyle w:val="Hyperlink"/>
          </w:rPr>
          <w:t xml:space="preserve">http://doi.org/10.5281/zenodo.2605438</w:t>
        </w:r>
      </w:hyperlink>
      <w:r>
        <w:t xml:space="preserve">, (2019).</w:t>
      </w:r>
    </w:p>
    <w:bookmarkEnd w:id="127"/>
    <w:bookmarkEnd w:id="12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7"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9"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88" Target="\url%7Bhttp://www.cramwetlands.org/documents/%7D" TargetMode="External" /><Relationship Type="http://schemas.openxmlformats.org/officeDocument/2006/relationships/hyperlink" Id="rId124" Target="http://doi.org/10.5281/zenodo.2587212" TargetMode="External" /><Relationship Type="http://schemas.openxmlformats.org/officeDocument/2006/relationships/hyperlink" Id="rId126" Target="http://doi.org/10.5281/zenodo.2605438" TargetMode="External" /><Relationship Type="http://schemas.openxmlformats.org/officeDocument/2006/relationships/hyperlink" Id="rId117" Target="http://www.stats.ox.ac.uk/pub/MASS4" TargetMode="External" /><Relationship Type="http://schemas.openxmlformats.org/officeDocument/2006/relationships/hyperlink" Id="rId121" Target="https://CRAN.R-project.org/package=shiny" TargetMode="External" /><Relationship Type="http://schemas.openxmlformats.org/officeDocument/2006/relationships/hyperlink" Id="rId94" Target="https://doi.org/10.1002/ieam.118" TargetMode="External" /><Relationship Type="http://schemas.openxmlformats.org/officeDocument/2006/relationships/hyperlink" Id="rId67" Target="https://doi.org/10.1002/ieam.1702" TargetMode="External" /><Relationship Type="http://schemas.openxmlformats.org/officeDocument/2006/relationships/hyperlink" Id="rId65" Target="https://doi.org/10.1007/s00267-006-0135-8" TargetMode="External" /><Relationship Type="http://schemas.openxmlformats.org/officeDocument/2006/relationships/hyperlink" Id="rId90" Target="https://doi.org/10.1007/s11273-011-9230-6" TargetMode="External" /><Relationship Type="http://schemas.openxmlformats.org/officeDocument/2006/relationships/hyperlink" Id="rId85" Target="https://doi.org/10.1016/j.watres.2012.03.061" TargetMode="External" /><Relationship Type="http://schemas.openxmlformats.org/officeDocument/2006/relationships/hyperlink" Id="rId102" Target="https://doi.org/10.1046/j.1365-2427.1997.d01-540.x" TargetMode="External" /><Relationship Type="http://schemas.openxmlformats.org/officeDocument/2006/relationships/hyperlink" Id="rId63" Target="https://doi.org/10.1046/j.1365-2427.1999.00437.x" TargetMode="External" /><Relationship Type="http://schemas.openxmlformats.org/officeDocument/2006/relationships/hyperlink" Id="rId81" Target="https://doi.org/10.1046/j.1365-2427.2002.00954.x" TargetMode="External" /><Relationship Type="http://schemas.openxmlformats.org/officeDocument/2006/relationships/hyperlink" Id="rId104" Target="https://doi.org/10.1046/j.1529-8817.1999.3530460.x" TargetMode="External" /><Relationship Type="http://schemas.openxmlformats.org/officeDocument/2006/relationships/hyperlink" Id="rId119" Target="https://doi.org/10.1071/MF13065" TargetMode="External" /><Relationship Type="http://schemas.openxmlformats.org/officeDocument/2006/relationships/hyperlink" Id="rId97" Target="https://doi.org/10.1111/j.1365-2427.1987.tb01027.x" TargetMode="External" /><Relationship Type="http://schemas.openxmlformats.org/officeDocument/2006/relationships/hyperlink" Id="rId72" Target="https://doi.org/10.1111/j.1365-2427.2006.01516.x" TargetMode="External" /><Relationship Type="http://schemas.openxmlformats.org/officeDocument/2006/relationships/hyperlink" Id="rId106" Target="https://doi.org/10.1139/f02-063" TargetMode="External" /><Relationship Type="http://schemas.openxmlformats.org/officeDocument/2006/relationships/hyperlink" Id="rId79" Target="https://doi.org/10.1890/1051-0761(2000)010%5B1456:DAEOPM%5D2.0.CO;2" TargetMode="External" /><Relationship Type="http://schemas.openxmlformats.org/officeDocument/2006/relationships/hyperlink" Id="rId69" Target="https://doi.org/10.1890/1051-0761(2006)016%5B1267:SEFTEC%5D2.0.CO;2" TargetMode="External" /><Relationship Type="http://schemas.openxmlformats.org/officeDocument/2006/relationships/hyperlink" Id="rId108" Target="https://doi.org/10.1899/04-028.1" TargetMode="External" /><Relationship Type="http://schemas.openxmlformats.org/officeDocument/2006/relationships/hyperlink" Id="rId99" Target="https://doi.org/10.1899/06-078.1" TargetMode="External" /><Relationship Type="http://schemas.openxmlformats.org/officeDocument/2006/relationships/hyperlink" Id="rId75" Target="https://doi.org/10.1899/08-098.1" TargetMode="External" /><Relationship Type="http://schemas.openxmlformats.org/officeDocument/2006/relationships/hyperlink" Id="rId110" Target="https://doi.org/10.5268/IW-6.2.909" TargetMode="External" /><Relationship Type="http://schemas.openxmlformats.org/officeDocument/2006/relationships/hyperlink" Id="rId49" Target="https://github.com/SCCWRP/SQI" TargetMode="External" /><Relationship Type="http://schemas.openxmlformats.org/officeDocument/2006/relationships/hyperlink" Id="rId48" Target="https://sccwrp.shinyapps.io/SQI_Shiny" TargetMode="External" /><Relationship Type="http://schemas.openxmlformats.org/officeDocument/2006/relationships/hyperlink" Id="rId43" Target="https://sccwrp.shinyapps.io/sqi_shiny" TargetMode="External" /><Relationship Type="http://schemas.openxmlformats.org/officeDocument/2006/relationships/hyperlink" Id="rId46" Target="https://www.waterboards.ca.gov/sandiego/water_issues/programs/basin_plan/bio_objectives/doc/R9_Biological_Objectives_Staff_Report_Feb2019.pdf" TargetMode="External" /><Relationship Type="http://schemas.openxmlformats.org/officeDocument/2006/relationships/hyperlink" Id="rId92" Target="https://www.waterboards.ca.gov/water_issues/programs/swamp/bioassessment/docs/physical_habitat_index_technical_memo.pdf"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dc:title>
  <dc:creator>Marcus W. Beck (marcusb@sccwrp.org), Raphael D. Mazor (raphaelm@sccwrp.org), Susanna Theroux (susannat@sccwrp.org), Kenneth C. Schiff (kens@sccwrp.org)</dc:creator>
  <cp:keywords/>
  <dcterms:created xsi:type="dcterms:W3CDTF">2019-08-22T20:57:40Z</dcterms:created>
  <dcterms:modified xsi:type="dcterms:W3CDTF">2019-08-22T20:57:40Z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ecological-genetics-and-genomics.csl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