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49.png" ContentType="image/png"/>
  <Override PartName="/word/media/rId50.png" ContentType="image/png"/>
  <Override PartName="/word/media/rId45.png" ContentType="image/png"/>
  <Override PartName="/word/media/rId44.png" ContentType="image/png"/>
  <Override PartName="/word/media/rId46.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Monitoring and assessing stream health is a function of the physical, chemical, and biological integrity. While monitoring all three indicators of stream integrity often occurs, combining all three indicators into a unified assessment of stream health rarely occurs, challenging non-technical environmental managers attempting to interpret complex environmental health information. The goal of this study was to develop the Stream Quality Index (SQI), a single index that combines physical, chemical, and biological indicators into a scientifically rigorous, yet easy to understand tool for management decision making. The SQI is based upon a stressor-response conceptual model. Stress includes commonly measured chemical parameters indicative of anthropogenic inputs (conductivity, nitrogen, phosphorus) and two physical habitat indices that decribe both instream (i.e., substrate) and stream corridor (i.e., riparian) condition. Biological response includes benthic invertebrates and algae. Although the individual stressor and response components are quantitative and have similar meaning across a variety of environmental settings, the final outcome of the SQI is categorical with management connotations including: 1) healthy = unstressed and unimpacted biology, so protection is recommended; 2) resilient = stressed, but biological communities are healthy, so reducing stress is recommended; 3) impacted due to chemistry and/or physical habitat = stressed and impacted biology, so restoration is recommended, or; 4) impacted, causes unknown = unstressed, but biology is impacted, so causal assessment is recommended. For clear transparency, an internet application was developed to allow quick dissection of the SQI from it’s categorical narrative for managers to the individual quantitative assessment of stressors or biological response metrics for scientists.</w:t>
      </w:r>
    </w:p>
    <w:p>
      <w:pPr>
        <w:pStyle w:val="Heading1"/>
      </w:pPr>
      <w:bookmarkStart w:id="25" w:name="introduction"/>
      <w:r>
        <w:t xml:space="preserve">Introduction</w:t>
      </w:r>
      <w:bookmarkEnd w:id="25"/>
    </w:p>
    <w:p>
      <w:pPr>
        <w:pStyle w:val="FirstParagraph"/>
      </w:pPr>
      <w:r>
        <w:t xml:space="preserve">Monitoring and assessing stream health is a function of the physical, chemical, and biological integrity (33 USC §§ 1151, 1972). Monitoring physical habitat integrity ensures all of the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ensures the absence of toxic compounds, but also the balanced minerals necessary to support aquatic life (ref). Monitoring biological integrity, closest to the actual assessment of stream health, is necessary because unmeasured habitat or chemical water quality can impact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A tremendous amount of effort is spent monitoring all three types of stream integrity indicators. These monitoring programs can be large and complex or small and straightforward, but all share the same challenge; how to communicate the complex physical, chemical, and biological results in a scientifically rigorous, repeatable, yet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Most environmental managers and decision makers are not scientists and don’t understand the intricate, nuanced details of ecological data. An additional challenge is that ecological data are rarely black and white, so many of decisions asked of managers are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the different lines of evidence are not in complete agreement.</w:t>
      </w:r>
    </w:p>
    <w:p>
      <w:pPr>
        <w:pStyle w:val="BodyText"/>
      </w:pPr>
      <w:r>
        <w:t xml:space="preserve">Currently, there are many examples of how to effectively communicate single indicators. Well known examples including biological assessment tools such as the Index of Biological Integrity</w:t>
      </w:r>
      <w:r>
        <w:t xml:space="preserve"> </w:t>
      </w:r>
      <w:r>
        <w:t xml:space="preserve">(Karr,</w:t>
      </w:r>
      <w:r>
        <w:t xml:space="preserve"> </w:t>
      </w:r>
      <w:hyperlink w:anchor="ref-Karr81">
        <w:r>
          <w:rPr>
            <w:rStyle w:val="Hyperlink"/>
          </w:rPr>
          <w:t xml:space="preserve">1981</w:t>
        </w:r>
      </w:hyperlink>
      <w:r>
        <w:t xml:space="preserve">)</w:t>
      </w:r>
      <w:r>
        <w:t xml:space="preserve">, Observed to Expected ratios</w:t>
      </w:r>
      <w:r>
        <w:t xml:space="preserve"> </w:t>
      </w:r>
      <w:r>
        <w:t xml:space="preserve">(Hawkins et al.,</w:t>
      </w:r>
      <w:r>
        <w:t xml:space="preserve"> </w:t>
      </w:r>
      <w:hyperlink w:anchor="ref-Hawkins00b">
        <w:r>
          <w:rPr>
            <w:rStyle w:val="Hyperlink"/>
          </w:rPr>
          <w:t xml:space="preserve">2000</w:t>
        </w:r>
      </w:hyperlink>
      <w:r>
        <w:t xml:space="preserve">)</w:t>
      </w:r>
      <w:r>
        <w:t xml:space="preserve">, or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Similarly, assessment tools also exist for chemical indicators such as the CCME Water Quality Index produced by the Canadian Council of Ministers of the Environment</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are less common, such as ____ (maybe CRAM?)</w:t>
      </w:r>
    </w:p>
    <w:p>
      <w:pPr>
        <w:pStyle w:val="BodyText"/>
      </w:pPr>
      <w:r>
        <w:t xml:space="preserve">Creating an assessment tool that combines physical, chemical, and biological indicators into a single unified assessment are exceedingly rare</w:t>
      </w:r>
      <w:r>
        <w:t xml:space="preserve"> </w:t>
      </w:r>
      <w:r>
        <w:t xml:space="preserve">(Bay and Weisberg,</w:t>
      </w:r>
      <w:r>
        <w:t xml:space="preserve"> </w:t>
      </w:r>
      <w:hyperlink w:anchor="ref-Bay12">
        <w:r>
          <w:rPr>
            <w:rStyle w:val="Hyperlink"/>
          </w:rPr>
          <w:t xml:space="preserve">2012</w:t>
        </w:r>
      </w:hyperlink>
      <w:r>
        <w:t xml:space="preserve">)</w:t>
      </w:r>
      <w:r>
        <w:t xml:space="preserve">. Most frequently, the three indicators are individually simplified and presented in groups,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If the goal is to communicate all three indicators of stream health to non-technical managers, then combining them into a single assessment score would be preferentially useful. A single scale provides straightforward context for comparing one site to another to rank priorities for future efforts, or to track the improvement of single sites where management actions have already been implemented (or degradation where improvements are not implemented). The challenge, as scientists, is creating a technically robust tool that is repeatable, where scores have similar meanings in different environmental settings, and provides clues as to what indicator is impacted and needs to be remediated.</w:t>
      </w:r>
    </w:p>
    <w:p>
      <w:pPr>
        <w:pStyle w:val="BodyText"/>
      </w:pPr>
      <w:r>
        <w:t xml:space="preserve">The goal of this study was to develop the Stream Quality Index (SQI), a single index that combines physical, chemical, and biological indicators into a scientifically rigorous, yet easy to understand tool for management decision making. The SCI is calibrated and validated specifically for southern California, USA, but the approach could be taken anywhere sufficient data is available. Southern California makes for an excellent test case because of the extensive and varied levels of stress and biological impacts. Moreover, there are a multitude of environmental managers with a wide variety of backgrounds and experience in technical and policy issues.</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SQI is a conceptual approach to describing stream health that is based on a stressor-response relationship between biology and in-stream stressors (Figure</w:t>
      </w:r>
      <w:r>
        <w:t xml:space="preserve"> </w:t>
      </w:r>
      <w:r>
        <w:t xml:space="preserve">1</w:t>
      </w:r>
      <w:r>
        <w:t xml:space="preserve">). Using these relationships, the index provides a categorical description of overall stream health to support high-level management decisions, while also providing descriptions of the biological, chemical, and physical components that establish the foundation of the index to further evaluate which factors may be driving stream health. These tiers of information represent overall stream health, biological health, and stressor condition as single, actionable categories. The underlying stressor-response relationships that define the categories are based on empirical models that quantify an expected likelihood of chemical or physical stressors impacting the separate components of biological condition. Scientists and managers can easily access different components of the SQI depending on the desired level of information within the stressor-response paradigm.</w:t>
      </w:r>
    </w:p>
    <w:p>
      <w:pPr>
        <w:pStyle w:val="BodyText"/>
      </w:pPr>
      <w:r>
        <w:t xml:space="preserve">We selected water chemistry stressors that are strongly associated with biological condition in perennial streams, namely nutrients and conductivity. Likewise, we selected physical habitat metrics that quantified flow, channel, and riparian condition observed at a site. Although physical habitat can be considered a response metric of stream health depending on the context, physical habitat herein is considered a stressor that can affect biological condition at different taxonomic levels within the stressor-response model.</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The stressor-response model used by the SQI uses biological endpoints as indicators of beneficial uses for wadeable streams and water chemistry and physical habitat measurements as stressors that are empirically linked to biological condition. Because biological indicators provide direct measures of aquatic life, whereas physical and chemical measures provide ancillary information about the stressors that may affect aquatic life, it was crucial to combine these indicators in a way that preserved the types of information provided by each (as opposed to treating them as equivalent lines of evidence that could be</w:t>
      </w:r>
      <w:r>
        <w:t xml:space="preserve"> </w:t>
      </w:r>
      <w:r>
        <w:t xml:space="preserve">“</w:t>
      </w:r>
      <w:r>
        <w:t xml:space="preserve">averaged</w:t>
      </w:r>
      <w:r>
        <w:t xml:space="preserve">”</w:t>
      </w:r>
      <w:r>
        <w:t xml:space="preserve">" to assess overall condition).</w:t>
      </w:r>
    </w:p>
    <w:p>
      <w:pPr>
        <w:pStyle w:val="BodyText"/>
      </w:pPr>
      <w:r>
        <w:t xml:space="preserve">We used quantitative bioassessment indices as measures of biological condition. Bioassessment indices for benthic macroinvertebrates and algal communities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w:t>
      </w:r>
      <w:r>
        <w:t xml:space="preserve">and both indices are used as complementary lines of evidence within the SQI.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BodyText"/>
      </w:pPr>
      <w:r>
        <w:t xml:space="preserve">Biological responses were measured as two biological indices previously developed for California wadeable streams. First, 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 Second, 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assign BMI and algal samples to biological condition classes that described the likelihood of biological alteration. For both the CSCI and ASCI, the 1st, 10th, and 30th percentiles of scores at reference sites were used to categorize sites as very likely to have altered biological condition (ref 4, scores less than the 1st percentile), likely altered (ref 3, scores between the 1st and 10th percentile), possibly altered (ref 2, scores between the 10th and 30th percentiles), and likely intact (ref 1, scores greater than the 30th percentile) (Table</w:t>
      </w:r>
      <w:r>
        <w:t xml:space="preserve"> </w:t>
      </w:r>
      <w:r>
        <w:t xml:space="preserve">1</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several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w:t>
      </w:r>
      <w:r>
        <w:t xml:space="preserve">and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The water chemistry indicators included total nitrogen (mg/L), total phosphorus (mg/L)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may be an effective proxy for other unmeasured water quality stressors in southern California.</w:t>
      </w:r>
    </w:p>
    <w:p>
      <w:pPr>
        <w:pStyle w:val="BodyText"/>
      </w:pPr>
      <w:r>
        <w:t xml:space="preserve">Physical habitat conditions at a site were described using two indices of habitat condition developed for California: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The IPI is based on physical habitat metrics that characterize five components of in-stream habitat quality: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and scores from the California Rapid Assessment Method (CRAM). The IPI is based on physical habitat metrics that characterize five components of in-stream habitat quality: percent sands, fines, or concrete (%SAFN), Shannon diversity of aquatic habitat types (H_AqHab), Shannon diversity of natural substrate types (H_SubNat), evenness of flow habitat types (Ev_FlowHab), and riparian vegetation cover (XCMG). All of the metrics are positively associated with physical habitat integrity such that an increase in each was generally considered an improvement in site condition. The exception is percent sands and fines where an increase is more commonly associated with degraded physical conditions (e.g., bank instability, watershed erosion).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also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an-overall-stream-quality-index-sqi"/>
      <w:r>
        <w:t xml:space="preserve">Combining stress and response measures into an overall Stream Quality Index (SQI)</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 For example, the overall SQI categories describe the four possible combinations of biology and stressors at a site from the binary categories of altered/unaltered biology and stressed/unstressed conditions: healthy and unstressed, health and resilient, impacted by unknown stress, and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high/low stress were based on the median likelihood across all sites.</w:t>
      </w:r>
    </w:p>
    <w:p>
      <w:pPr>
        <w:pStyle w:val="Heading2"/>
      </w:pPr>
      <w:bookmarkStart w:id="35" w:name="application"/>
      <w:r>
        <w:t xml:space="preserve">Application</w:t>
      </w:r>
      <w:bookmarkEnd w:id="35"/>
    </w:p>
    <w:p>
      <w:pPr>
        <w:pStyle w:val="FirstParagraph"/>
      </w:pPr>
      <w:r>
        <w:t xml:space="preserve">All data for the SQI were from the Stormwater Monitoring Coalition (SMC) regional monitoring program in southern California</w:t>
      </w:r>
      <w:r>
        <w:t xml:space="preserve"> </w:t>
      </w:r>
      <w:r>
        <w:t xml:space="preserve">(Mazor,</w:t>
      </w:r>
      <w:r>
        <w:t xml:space="preserve"> </w:t>
      </w:r>
      <w:hyperlink w:anchor="ref-Mazor15">
        <w:r>
          <w:rPr>
            <w:rStyle w:val="Hyperlink"/>
          </w:rPr>
          <w:t xml:space="preserve">2015</w:t>
        </w:r>
      </w:hyperlink>
      <w:r>
        <w:t xml:space="preserve">)</w:t>
      </w:r>
      <w:r>
        <w:t xml:space="preserve">. This coalition represents multiple state, federal, and local agencies that have a shared mission of stormwater management for over 7000 stream kilometers in the region. The SMC initiated a regional monitoring program in 2009 to assist, in part, with the permitting process among dischargers from the member agencies. Central monitoring questions focus on assessing biological condition, identifying stressors associated with poor condition, and evaluating trends over time. This dataset represents the most comprehensive source of stream data in Southern California. Because the SQI requires synoptic biological, chemistry, and physical habitat data, the final dataset used for model calibration represents a subset of the SMC dataset where all three components were simultaneously collected. This included 266 sites, 75% of which were used for model calibration. Sampling dates ranged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Finally, precision and sensitivity of the SQI was evaluated to describe 1) how well the underlying empirical model described the likelihood of biological alteration, and 2) sensitivity of the model output to changing thresholds that defined the categorical conditions. The first analysis evaluated precision in the validation dataset for the SQI to determine agreement between the model and actual stress and biological conditions. The second analysis evaluated the change in results for the regional database that were caused by changing the definitions of healthy or impacted biology that were described by the stress response models. For example, the percentage of sites categorized as stressed or unstressed was compared by changing the cutoff point for healthy/impacted biology in Table</w:t>
      </w:r>
      <w:r>
        <w:t xml:space="preserve"> </w:t>
      </w:r>
      <w:r>
        <w:t xml:space="preserve">1</w:t>
      </w:r>
      <w:r>
        <w:t xml:space="preserve">.</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64%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13% sites had altered biology not related to physical or chemical stressors (impacted by unknown stress). For the biological condition category, sites with altered conditions were more often altered for both CSCI and ASCI scores (50%). For sites with one low scoring index, more sites were altered for the ASCI (16%) than the CSCI (11%). Less than a quarter of all sites had unaltered biology (23%). For stress conditions, 35% of sites were stressed by both chemistry and physical habitat stressors. More sites were stressed by water chemistry (12%) than physical habitat degradation (7%) if only one stressor was present. Over 45% of sites had low stress and no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and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ares of the study region. Stress condition patterns were similar to biology although low stress conditions also occured closer to coastal areas in addition to higher elevation areas in each watershed. This produced a handful of sites that had altered biology but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 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was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th occurrence of biological alteration. Both CRAM and IPI are significantly correlated in the calibration dataset (</w:t>
      </w:r>
      <m:oMath>
        <m:r>
          <m:t>r</m:t>
        </m:r>
        <m:r>
          <m:t>=</m:t>
        </m:r>
      </m:oMath>
      <w:r>
        <w:t xml:space="preserve"> </w:t>
      </w:r>
      <w:r>
        <w:rPr>
          <w:rStyle w:val="VerbatimChar"/>
        </w:rPr>
        <w:t xml:space="preserve">crhab</w:t>
      </w:r>
      <w:r>
        <w:t xml:space="preserve">),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conductiviity which had the steepest per unit increase in likelihood. Associations of biological alteration with physical habitat predictors were as expected, except that decreasesin likelihood of biological alteration were observed with increasein IPI and CRAM given that both are indicators of habitat condition.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w:t>
      </w:r>
    </w:p>
    <w:p>
      <w:pPr>
        <w:pStyle w:val="Compact"/>
        <w:numPr>
          <w:numId w:val="1001"/>
          <w:ilvl w:val="0"/>
        </w:numPr>
      </w:pPr>
      <w:r>
        <w:t xml:space="preserve">SQI performance metrics</w:t>
      </w:r>
    </w:p>
    <w:p>
      <w:pPr>
        <w:pStyle w:val="Compact"/>
        <w:numPr>
          <w:numId w:val="1002"/>
          <w:ilvl w:val="1"/>
        </w:numPr>
      </w:pPr>
      <w:r>
        <w:t xml:space="preserve">Precision</w:t>
      </w:r>
    </w:p>
    <w:p>
      <w:pPr>
        <w:pStyle w:val="Compact"/>
        <w:numPr>
          <w:numId w:val="1002"/>
          <w:ilvl w:val="1"/>
        </w:numPr>
      </w:pPr>
      <w:r>
        <w:t xml:space="preserve">Any others?</w:t>
      </w:r>
    </w:p>
    <w:p>
      <w:pPr>
        <w:pStyle w:val="Compact"/>
        <w:numPr>
          <w:numId w:val="1001"/>
          <w:ilvl w:val="0"/>
        </w:numPr>
      </w:pPr>
      <w:r>
        <w:t xml:space="preserve">Percent So Cal stream miles or site frequency in each category</w:t>
      </w:r>
    </w:p>
    <w:p>
      <w:pPr>
        <w:pStyle w:val="Compact"/>
        <w:numPr>
          <w:numId w:val="1003"/>
          <w:ilvl w:val="1"/>
        </w:numPr>
      </w:pPr>
      <w:r>
        <w:t xml:space="preserve">As a set up for the value of the categorical scoring</w:t>
      </w:r>
    </w:p>
    <w:p>
      <w:pPr>
        <w:pStyle w:val="Compact"/>
        <w:numPr>
          <w:numId w:val="1001"/>
          <w:ilvl w:val="0"/>
        </w:numPr>
      </w:pPr>
      <w:r>
        <w:t xml:space="preserve">Overall agreement among stressor indicators</w:t>
      </w:r>
    </w:p>
    <w:p>
      <w:pPr>
        <w:pStyle w:val="Compact"/>
        <w:numPr>
          <w:numId w:val="1004"/>
          <w:ilvl w:val="1"/>
        </w:numPr>
      </w:pPr>
      <w:r>
        <w:t xml:space="preserve">As a set up for do we need multiple indicators?</w:t>
      </w:r>
    </w:p>
    <w:p>
      <w:pPr>
        <w:pStyle w:val="Compact"/>
        <w:numPr>
          <w:numId w:val="1001"/>
          <w:ilvl w:val="0"/>
        </w:numPr>
      </w:pPr>
      <w:r>
        <w:t xml:space="preserve">Overall agreement among response indicators</w:t>
      </w:r>
    </w:p>
    <w:p>
      <w:pPr>
        <w:pStyle w:val="Compact"/>
        <w:numPr>
          <w:numId w:val="1005"/>
          <w:ilvl w:val="1"/>
        </w:numPr>
      </w:pPr>
      <w:r>
        <w:t xml:space="preserve">As a set up for do we need multiple indicators?</w:t>
      </w:r>
    </w:p>
    <w:p>
      <w:pPr>
        <w:pStyle w:val="Compact"/>
        <w:numPr>
          <w:numId w:val="1001"/>
          <w:ilvl w:val="0"/>
        </w:numPr>
      </w:pPr>
      <w:r>
        <w:t xml:space="preserve">SQI trends either overall or at example sites</w:t>
      </w:r>
    </w:p>
    <w:p>
      <w:pPr>
        <w:pStyle w:val="Heading1"/>
      </w:pPr>
      <w:bookmarkStart w:id="39" w:name="discussion"/>
      <w:r>
        <w:t xml:space="preserve">Discussion</w:t>
      </w:r>
      <w:bookmarkEnd w:id="39"/>
    </w:p>
    <w:p>
      <w:pPr>
        <w:pStyle w:val="FirstParagraph"/>
      </w:pPr>
      <w:r>
        <w:t xml:space="preserve">The Stream Quality Index fills a common need of watershed managers to synthesize large amounts of information when making decisions or communicating the technical basis for those decisions. This need is particularly important in regions like Southern California, where large-scale landscape alteration and competing demands for water usage creates a need for prioritization of limited resources. We have demonstrated how this index may be used to prioritize sites for restoration, protection, and other management activities on a large scale, allowing managers to recognize large-scale patterns that may not be evident if analyses were conducted on a site-by-site basis.</w:t>
      </w:r>
    </w:p>
    <w:p>
      <w:pPr>
        <w:pStyle w:val="BodyText"/>
      </w:pPr>
      <w:r>
        <w:t xml:space="preserve">Because our index was focused on assessing environmental health, a key challenge was reflecting relationships among indicators of stream quality consistent with our conceptual model of a healthy stream ecosystem. That is, it was crucial to combine biological, chemical, and habitat indicators in a way that properly reflects the role of biology as a direct measure of condition, and the role of other indicators as measures of stress. Importantly, a finding of good water chemistry should not obscure or distort an indication of poor biology, and vice versa. We determined that a categorical approach was an appropriate way to address this concern, as a simple quantitative index that treats each indicator as independent lines of evidence could not effectively characterize situations where these indicators disagreed — a common situation in our data set. [Something about SQOs here?]</w:t>
      </w:r>
    </w:p>
    <w:p>
      <w:pPr>
        <w:pStyle w:val="BodyText"/>
      </w:pPr>
      <w:r>
        <w:t xml:space="preserve">As a categorical index, the SQI provides a readily interpretable description of stream conditions. The four classes defined by the index (i.e., healthy and unstressed, healthy and resilient, impacted and stressed, impacted by unknown stress) can be understood by a general audience with little familiarity with the underlying data or the tools used to analyze them. In contrast, numeric indices demand a higher level of experience to interpret; without training, an unfamiliar audience cannot easily identify which values of a numeric index correspond to conditions requiring protection and which correspond to problems requiring intervention. [Although categorical indices create challenges for assessing trends or identifying borderline conditions, we have addressed this by XYZ .]</w:t>
      </w:r>
    </w:p>
    <w:p>
      <w:pPr>
        <w:pStyle w:val="BodyText"/>
      </w:pPr>
      <w:r>
        <w:t xml:space="preserve">The SQI addresses the challenge of synthesizing large amounts of information about stream condition while preserving the components and presenting them for more detailed exploration. The index is structured in layers, allowing interested users to explore reasons for categorical classificaton of each site. That is, users can determine which biological indicators account for a stream’s health rating, along with which stressors may or not be associated with biological condition. Users can identify presence or absence of physical and/or chemical stressors and which components in equations (1) and (2) may be linked to their respective stressor categories. Further, physical habitat measures described by CRAM and IPI include additional metrics that were used to calculate scores at each site. Although these metrics were not explicit components in the empirical models of the SQI, they serve as additional diagnostic information to describe physical conditions at each site.</w:t>
      </w:r>
    </w:p>
    <w:p>
      <w:pPr>
        <w:pStyle w:val="BodyText"/>
      </w:pPr>
      <w:r>
        <w:t xml:space="preserve">Our approach to characterizing stressors differs from similar efforts, making the SQI well suited for use with ambient monitoring programs.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 the SMC,</w:t>
      </w:r>
      <w:r>
        <w:t xml:space="preserve"> </w:t>
      </w:r>
      <w:r>
        <w:t xml:space="preserve">Mazor (</w:t>
      </w:r>
      <w:hyperlink w:anchor="ref-Mazor15">
        <w:r>
          <w:rPr>
            <w:rStyle w:val="Hyperlink"/>
          </w:rPr>
          <w:t xml:space="preserve">2015</w:t>
        </w:r>
      </w:hyperlink>
      <w:r>
        <w:t xml:space="preserve">)</w:t>
      </w:r>
      <w:r>
        <w:t xml:space="preserve">, or the National Rivers and Streams Assessment,</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focusing on just a few indicators broadly indicative of water chemistry conditions rather than a large suite of potential stressors. Our approach is also applicable to indicators where thresholds are unavailable (e.g., CRAM or IPI), yet the relevance for measuring aquatic life supportis maintained even if it has less bearing on regulatory compliance than other approaches, such as the CWQI. Finally, our approach can be directly interpreted without familiarity of established benchmarks because the empirical stress models inthe SQI are expressed as probabilities of degrading biological condition, rather than abstract numbers.</w:t>
      </w:r>
    </w:p>
    <w:p>
      <w:pPr>
        <w:pStyle w:val="BodyText"/>
      </w:pPr>
      <w:r>
        <w:t xml:space="preserve">Our theoretical framework for the SQI is not without drawbacks. The index currently cannot accommodate additional or fewer indicators of stress or stream condition. This differs from the CWQI that can include any number of available parameters. Missing data (e.g., lost samples or incomplte coverage of required data at a site) prevents calculation of the SQI and the index cannot be estimated without recalibration to include or exclude individual components. The initial SQI described herein was purposefully restricted to a limited number of parameters to focus on developing the foundation of the index, knowing that a broader scope could preclude many sites from analysis. For example, CSCI and ASCI scores for the biological components of the SQI are available at over 1000 sites in southern California. Combining these data with the required chemical and physical stressor data reduced the total dataset where all components were available to only 266 sites. Additional work on the SQI should explore how the categorical descriptions can be provided in the absence of all the necessary components. For example, missing IPI data could be replaced with a mean value appropriate for the region so as not to bias the outcome, whereas the effect of this estimation should be explicitly demonstrated as a component of uncertainty in the final SQI output. Similarly, a mechanism for adding additional components to the SQI that are not currently included should be explored.</w:t>
      </w:r>
    </w:p>
    <w:p>
      <w:pPr>
        <w:pStyle w:val="Heading2"/>
      </w:pPr>
      <w:bookmarkStart w:id="40" w:name="the-sqi-web-application"/>
      <w:r>
        <w:t xml:space="preserve">The SQI web application</w:t>
      </w:r>
      <w:bookmarkEnd w:id="40"/>
    </w:p>
    <w:p>
      <w:pPr>
        <w:pStyle w:val="FirstParagraph"/>
      </w:pPr>
      <w:r>
        <w:t xml:space="preserve">A web application was developed to make the SQI accessible to managers and other stakeholders (</w:t>
      </w:r>
      <w:hyperlink r:id="rId41">
        <w:r>
          <w:rPr>
            <w:rStyle w:val="Hyperlink"/>
          </w:rPr>
          <w:t xml:space="preserve">https://sccwrp.shinyapps.io/sqi_shiny</w:t>
        </w:r>
      </w:hyperlink>
      <w:r>
        <w:t xml:space="preserve">). First,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avialable. Second, visualizations also support exploration of the data at both regional and site scales, improving flexibility of application by allowing users to explore results in different spatial contexts. Scores for each index component are provided, with the option to view the underlying data that were used for the empirical stress models and categorical outcomes. A map allows comparison of sites of interest to the region as a whole, as well as county- or watershed-level summaries.</w:t>
      </w:r>
    </w:p>
    <w:p>
      <w:pPr>
        <w:pStyle w:val="BodyText"/>
      </w:pPr>
      <w:r>
        <w:t xml:space="preserve">As an example, a selected site in eastern San Diego county is shown to have healthy biological conditions (i.e., unimpacted benthic macroninvertebrate and algal communities), whereas stress data suggest presence of physical or chemical habitat degradtation (i.e., overall SQI category is healthy and resilient). If additional details are needed, exploration of components of the web application allow the user to identify the presence of different stressors. For the selected site, only physical stress was observed and unusually high levels of sands and fines as one component of the overall physical stress measure was observed, relative to the other stress measures that were comparable to ranges observed for the region. With this information, managers can prioritize follow-up actions to identify causes of elevated sands and fines, e.g., wildfire, bank erosion, or other sources, and any additional management actions that can result from this information, e.g., formal causal analysis or site restoration. As such,the web application provides a screening tool to rapidly assess condition and identify potential stresors that may be impacting condition. Without this interactive tool, priorities are more difficult to identify as managers and stakeholders must rely on less intuitive research products (e.g., tabular data).</w:t>
      </w:r>
    </w:p>
    <w:p>
      <w:pPr>
        <w:pStyle w:val="Heading2"/>
      </w:pPr>
      <w:bookmarkStart w:id="42" w:name="conclusions"/>
      <w:r>
        <w:t xml:space="preserve">Conclusions</w:t>
      </w:r>
      <w:bookmarkEnd w:id="42"/>
    </w:p>
    <w:p>
      <w:pPr>
        <w:pStyle w:val="FirstParagraph"/>
      </w:pPr>
      <w:r>
        <w:t xml:space="preserve">An integrated stream quality index has the potential to transform watershed management by giving managers a tool to synthesize large amounts of data, assign priorities based on this synthesis, and communicate these decisions to a broad range of stakeholders who may lack familiarity with bioassessment or watershed science. The index preserves our understanding of the roles of different indicators in describing stream health, combining them into a single, easily understood category, while also preserving the information contributing to the integrated assessment. An integrated stream quality index could be used to communicate information in both technical and non-technical venues, such as watershed assessments, permit reporting requirements, and routine environmental report cards.</w:t>
      </w:r>
    </w:p>
    <w:p>
      <w:pPr>
        <w:pStyle w:val="Heading1"/>
      </w:pPr>
      <w:bookmarkStart w:id="43" w:name="figures"/>
      <w:r>
        <w:t xml:space="preserve">Figures</w:t>
      </w:r>
      <w:bookmarkEnd w:id="43"/>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4"/>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5"/>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594360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lt;a href=“#tab:biocmb”&gt;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 &lt;a href=</w:t>
      </w:r>
      <w:r>
        <w:t xml:space="preserve">“</w:t>
      </w:r>
      <w:r>
        <w:t xml:space="preserve">#tab:biocmb</w:t>
      </w:r>
      <w:r>
        <w:t xml:space="preserve">”</w:t>
      </w:r>
      <w:r>
        <w:t xml:space="preserve">&gt;1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title="" id="1" name="Picture"/>
            <a:graphic>
              <a:graphicData uri="http://schemas.openxmlformats.org/drawingml/2006/picture">
                <pic:pic>
                  <pic:nvPicPr>
                    <pic:cNvPr descr="figs/rsp_crv.png" id="0" name="Picture"/>
                    <pic:cNvPicPr>
                      <a:picLocks noChangeArrowheads="1" noChangeAspect="1"/>
                    </pic:cNvPicPr>
                  </pic:nvPicPr>
                  <pic:blipFill>
                    <a:blip r:embed="rId49"/>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w:t>
      </w:r>
    </w:p>
    <w:p>
      <w:pPr>
        <w:pStyle w:val="CaptionedFigure"/>
      </w:pPr>
      <w:r>
        <w:drawing>
          <wp:inline>
            <wp:extent cx="5943600" cy="356615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0"/>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1" w:name="tables"/>
      <w:r>
        <w:t xml:space="preserve">Tables</w:t>
      </w:r>
      <w:bookmarkEnd w:id="51"/>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 (ASCI &gt; 0.93)</w:t>
            </w:r>
          </w:p>
        </w:tc>
        <w:tc>
          <w:tcPr>
            <w:tcBorders>
              <w:bottom w:val="single"/>
            </w:tcBorders>
            <w:vAlign w:val="bottom"/>
          </w:tcPr>
          <w:p>
            <w:pPr>
              <w:pStyle w:val="Compact"/>
              <w:jc w:val="left"/>
            </w:pPr>
            <w:r>
              <w:t xml:space="preserve">Algae pa: (ASCI 0.83 - 0.93)</w:t>
            </w:r>
          </w:p>
        </w:tc>
        <w:tc>
          <w:tcPr>
            <w:tcBorders>
              <w:bottom w:val="single"/>
            </w:tcBorders>
            <w:vAlign w:val="bottom"/>
          </w:tcPr>
          <w:p>
            <w:pPr>
              <w:pStyle w:val="Compact"/>
              <w:jc w:val="left"/>
            </w:pPr>
            <w:r>
              <w:t xml:space="preserve">Algae la: (ASCI 0.70 - 0.83)</w:t>
            </w:r>
          </w:p>
        </w:tc>
        <w:tc>
          <w:tcPr>
            <w:tcBorders>
              <w:bottom w:val="single"/>
            </w:tcBorders>
            <w:vAlign w:val="bottom"/>
          </w:tcPr>
          <w:p>
            <w:pPr>
              <w:pStyle w:val="Compact"/>
              <w:jc w:val="left"/>
            </w:pPr>
            <w:r>
              <w:t xml:space="preserve">Algae vla: (ASCI &lt; 0.70</w:t>
            </w:r>
          </w:p>
        </w:tc>
      </w:tr>
      <w:tr>
        <w:tc>
          <w:p>
            <w:pPr>
              <w:pStyle w:val="Compact"/>
              <w:jc w:val="left"/>
            </w:pPr>
            <w:r>
              <w:t xml:space="preserve">BMI li: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pa: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la: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vla: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54 (20.3)</w:t>
            </w:r>
          </w:p>
        </w:tc>
      </w:tr>
      <w:tr>
        <w:tc>
          <w:p>
            <w:pPr>
              <w:pStyle w:val="Compact"/>
            </w:pPr>
          </w:p>
        </w:tc>
        <w:tc>
          <w:p>
            <w:pPr>
              <w:pStyle w:val="Compact"/>
              <w:jc w:val="left"/>
            </w:pPr>
            <w:r>
              <w:t xml:space="preserve">Healthy and resilient</w:t>
            </w:r>
          </w:p>
        </w:tc>
        <w:tc>
          <w:p>
            <w:pPr>
              <w:pStyle w:val="Compact"/>
              <w:jc w:val="left"/>
            </w:pPr>
            <w:r>
              <w:t xml:space="preserve">6 (2.3)</w:t>
            </w:r>
          </w:p>
        </w:tc>
      </w:tr>
      <w:tr>
        <w:tc>
          <w:p>
            <w:pPr>
              <w:pStyle w:val="Compact"/>
            </w:pPr>
          </w:p>
        </w:tc>
        <w:tc>
          <w:p>
            <w:pPr>
              <w:pStyle w:val="Compact"/>
              <w:jc w:val="left"/>
            </w:pPr>
            <w:r>
              <w:t xml:space="preserve">Impacted and stressed</w:t>
            </w:r>
          </w:p>
        </w:tc>
        <w:tc>
          <w:p>
            <w:pPr>
              <w:pStyle w:val="Compact"/>
              <w:jc w:val="left"/>
            </w:pPr>
            <w:r>
              <w:t xml:space="preserve">171 (64.3)</w:t>
            </w:r>
          </w:p>
        </w:tc>
      </w:tr>
      <w:tr>
        <w:tc>
          <w:p>
            <w:pPr>
              <w:pStyle w:val="Compact"/>
            </w:pPr>
          </w:p>
        </w:tc>
        <w:tc>
          <w:p>
            <w:pPr>
              <w:pStyle w:val="Compact"/>
              <w:jc w:val="left"/>
            </w:pPr>
            <w:r>
              <w:t xml:space="preserve">Impacted by unknown stress</w:t>
            </w:r>
          </w:p>
        </w:tc>
        <w:tc>
          <w:p>
            <w:pPr>
              <w:pStyle w:val="Compact"/>
              <w:jc w:val="left"/>
            </w:pPr>
            <w:r>
              <w:t xml:space="preserve">35 (13.2)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122 (45.9)</w:t>
            </w:r>
          </w:p>
        </w:tc>
      </w:tr>
      <w:tr>
        <w:tc>
          <w:p>
            <w:pPr>
              <w:pStyle w:val="Compact"/>
            </w:pPr>
          </w:p>
        </w:tc>
        <w:tc>
          <w:p>
            <w:pPr>
              <w:pStyle w:val="Compact"/>
              <w:jc w:val="left"/>
            </w:pPr>
            <w:r>
              <w:t xml:space="preserve">Stressed by chemistry and habitat degradation</w:t>
            </w:r>
          </w:p>
        </w:tc>
        <w:tc>
          <w:p>
            <w:pPr>
              <w:pStyle w:val="Compact"/>
              <w:jc w:val="left"/>
            </w:pPr>
            <w:r>
              <w:t xml:space="preserve">93 (35)</w:t>
            </w:r>
          </w:p>
        </w:tc>
      </w:tr>
      <w:tr>
        <w:tc>
          <w:p>
            <w:pPr>
              <w:pStyle w:val="Compact"/>
            </w:pPr>
          </w:p>
        </w:tc>
        <w:tc>
          <w:p>
            <w:pPr>
              <w:pStyle w:val="Compact"/>
              <w:jc w:val="left"/>
            </w:pPr>
            <w:r>
              <w:t xml:space="preserve">Stressed by chemistry degradation</w:t>
            </w:r>
          </w:p>
        </w:tc>
        <w:tc>
          <w:p>
            <w:pPr>
              <w:pStyle w:val="Compact"/>
              <w:jc w:val="left"/>
            </w:pPr>
            <w:r>
              <w:t xml:space="preserve">32 (12)</w:t>
            </w:r>
          </w:p>
        </w:tc>
      </w:tr>
      <w:tr>
        <w:tc>
          <w:p>
            <w:pPr>
              <w:pStyle w:val="Compact"/>
            </w:pPr>
          </w:p>
        </w:tc>
        <w:tc>
          <w:p>
            <w:pPr>
              <w:pStyle w:val="Compact"/>
              <w:jc w:val="left"/>
            </w:pPr>
            <w:r>
              <w:t xml:space="preserve">Stressed by habitat degradation</w:t>
            </w:r>
          </w:p>
        </w:tc>
        <w:tc>
          <w:p>
            <w:pPr>
              <w:pStyle w:val="Compact"/>
              <w:jc w:val="left"/>
            </w:pPr>
            <w:r>
              <w:t xml:space="preserve">19 (7.1)</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2" w:name="references"/>
      <w:r>
        <w:t xml:space="preserve">References</w:t>
      </w:r>
      <w:bookmarkEnd w:id="52"/>
    </w:p>
    <w:bookmarkStart w:id="93" w:name="refs"/>
    <w:bookmarkStart w:id="54" w:name="ref-Bay12"/>
    <w:p>
      <w:pPr>
        <w:pStyle w:val="Bibliography"/>
      </w:pPr>
      <w:r>
        <w:t xml:space="preserve">Bay, S.M., Weisberg, S.B., 2012. Framework for interpreting sediment quality triad data. Integrated Environmental Assessment and Management 8, 589–596.</w:t>
      </w:r>
      <w:r>
        <w:t xml:space="preserve"> </w:t>
      </w:r>
      <w:hyperlink r:id="rId53">
        <w:r>
          <w:rPr>
            <w:rStyle w:val="Hyperlink"/>
          </w:rPr>
          <w:t xml:space="preserve">https://doi.org/10.1002/ieam.118</w:t>
        </w:r>
      </w:hyperlink>
    </w:p>
    <w:bookmarkEnd w:id="54"/>
    <w:bookmarkStart w:id="56" w:name="ref-Beck18f"/>
    <w:p>
      <w:pPr>
        <w:pStyle w:val="Bibliography"/>
      </w:pPr>
      <w:r>
        <w:t xml:space="preserve">Beck, M.W., Mazor, R.D., 2018. SCCWRP/SQI: v1.2.0 (Version 1.2.0). Zenodo,</w:t>
      </w:r>
      <w:r>
        <w:t xml:space="preserve"> </w:t>
      </w:r>
      <w:hyperlink r:id="rId55">
        <w:r>
          <w:rPr>
            <w:rStyle w:val="Hyperlink"/>
          </w:rPr>
          <w:t xml:space="preserve">http://doi.org/10.5281/zenodo.2587212</w:t>
        </w:r>
      </w:hyperlink>
      <w:r>
        <w:t xml:space="preserve">.</w:t>
      </w:r>
    </w:p>
    <w:bookmarkEnd w:id="56"/>
    <w:bookmarkStart w:id="58"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7">
        <w:r>
          <w:rPr>
            <w:rStyle w:val="Hyperlink"/>
          </w:rPr>
          <w:t xml:space="preserve">https://doi.org/10.1899/06-078.1</w:t>
        </w:r>
      </w:hyperlink>
    </w:p>
    <w:bookmarkEnd w:id="58"/>
    <w:bookmarkStart w:id="59"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59"/>
    <w:bookmarkStart w:id="60" w:name="ref-Chang18"/>
    <w:p>
      <w:pPr>
        <w:pStyle w:val="Bibliography"/>
      </w:pPr>
      <w:r>
        <w:t xml:space="preserve">Chang, W., Cheng, J., Allaire, J., Xie, Y., McPherson, J., 2018. Shiny: Web application framework for r.</w:t>
      </w:r>
    </w:p>
    <w:bookmarkEnd w:id="60"/>
    <w:bookmarkStart w:id="61" w:name="ref-Collins07"/>
    <w:p>
      <w:pPr>
        <w:pStyle w:val="Bibliography"/>
      </w:pPr>
      <w:r>
        <w:t xml:space="preserve">Collins, J.N., Stein, E.D., Sutula, M., Clark, R., Fetscher, A.E., Grenier, L., Grosso, C., Wiskind, A., 2007. California Rapid Assessment Method (CRAM) for wetlands, ver.5.0.</w:t>
      </w:r>
    </w:p>
    <w:bookmarkEnd w:id="61"/>
    <w:bookmarkStart w:id="62" w:name="ref-Fox11"/>
    <w:p>
      <w:pPr>
        <w:pStyle w:val="Bibliography"/>
      </w:pPr>
      <w:r>
        <w:t xml:space="preserve">Fox, J., Weisberg, S., 2011. An R companion to applied regression. SAGE Publications Inc., Thousand Oaks, California.</w:t>
      </w:r>
    </w:p>
    <w:bookmarkEnd w:id="62"/>
    <w:bookmarkStart w:id="64"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3">
        <w:r>
          <w:rPr>
            <w:rStyle w:val="Hyperlink"/>
          </w:rPr>
          <w:t xml:space="preserve">https://doi.org/10.1890/1051-0761(2000)010[1456:DAEOPM]2.0.CO;2</w:t>
        </w:r>
      </w:hyperlink>
    </w:p>
    <w:bookmarkEnd w:id="64"/>
    <w:bookmarkStart w:id="66"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5">
        <w:r>
          <w:rPr>
            <w:rStyle w:val="Hyperlink"/>
          </w:rPr>
          <w:t xml:space="preserve">https://doi.org/10.1016/j.watres.2012.03.061</w:t>
        </w:r>
      </w:hyperlink>
    </w:p>
    <w:bookmarkEnd w:id="66"/>
    <w:bookmarkStart w:id="67" w:name="ref-Karr81"/>
    <w:p>
      <w:pPr>
        <w:pStyle w:val="Bibliography"/>
      </w:pPr>
      <w:r>
        <w:t xml:space="preserve">Karr, J.R., 1981. Assessment of biotic integrity using fish communities. Fisheries 6, 21–27.</w:t>
      </w:r>
    </w:p>
    <w:bookmarkEnd w:id="67"/>
    <w:bookmarkStart w:id="69" w:name="ref-Maddock99"/>
    <w:p>
      <w:pPr>
        <w:pStyle w:val="Bibliography"/>
      </w:pPr>
      <w:r>
        <w:t xml:space="preserve">Maddock, I., 1999. The importance of physical habitat assessment for evaluating river health. Freshwater Biology 41, 373–391.</w:t>
      </w:r>
      <w:r>
        <w:t xml:space="preserve"> </w:t>
      </w:r>
      <w:hyperlink r:id="rId68">
        <w:r>
          <w:rPr>
            <w:rStyle w:val="Hyperlink"/>
          </w:rPr>
          <w:t xml:space="preserve">https://doi.org/10.1046/j.1365-2427.1999.00437.x</w:t>
        </w:r>
      </w:hyperlink>
    </w:p>
    <w:bookmarkEnd w:id="69"/>
    <w:bookmarkStart w:id="70"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0"/>
    <w:bookmarkStart w:id="71"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1"/>
    <w:bookmarkStart w:id="73"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2">
        <w:r>
          <w:rPr>
            <w:rStyle w:val="Hyperlink"/>
          </w:rPr>
          <w:t xml:space="preserve">https://doi.org/10.1111/j.1365-2427.1987.tb01027.x</w:t>
        </w:r>
      </w:hyperlink>
    </w:p>
    <w:bookmarkEnd w:id="73"/>
    <w:bookmarkStart w:id="74" w:name="ref-NRC90"/>
    <w:p>
      <w:pPr>
        <w:pStyle w:val="Bibliography"/>
      </w:pPr>
      <w:r>
        <w:t xml:space="preserve">National Research Council, 1990. Managing troubled waters: The role of marine environmental monitoring. National Academy Press, Washington, DC.</w:t>
      </w:r>
    </w:p>
    <w:bookmarkEnd w:id="74"/>
    <w:bookmarkStart w:id="75" w:name="ref-Ode07"/>
    <w:p>
      <w:pPr>
        <w:pStyle w:val="Bibliography"/>
      </w:pPr>
      <w:r>
        <w:t xml:space="preserve">Ode, P.R., 2007. Standard operating procedures for collecting benthic macroinvertebrate samples and associated physical and chemical data for ambient bioassessment in California.</w:t>
      </w:r>
    </w:p>
    <w:bookmarkEnd w:id="75"/>
    <w:bookmarkStart w:id="76"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6"/>
    <w:bookmarkStart w:id="78"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77">
        <w:r>
          <w:rPr>
            <w:rStyle w:val="Hyperlink"/>
          </w:rPr>
          <w:t xml:space="preserve">https://doi.org/10.1046/j.1529-8817.1999.3530460.x</w:t>
        </w:r>
      </w:hyperlink>
    </w:p>
    <w:bookmarkEnd w:id="78"/>
    <w:bookmarkStart w:id="80"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79">
        <w:r>
          <w:rPr>
            <w:rStyle w:val="Hyperlink"/>
          </w:rPr>
          <w:t xml:space="preserve">https://doi.org/10.1899/08-098.1</w:t>
        </w:r>
      </w:hyperlink>
    </w:p>
    <w:bookmarkEnd w:id="80"/>
    <w:bookmarkStart w:id="81" w:name="ref-RDCT18"/>
    <w:p>
      <w:pPr>
        <w:pStyle w:val="Bibliography"/>
      </w:pPr>
      <w:r>
        <w:t xml:space="preserve">RDCT (R Development Core Team), 2018. R: A language and environment for statistical computing, v3.5.1. R Foundation for Statistical Computing, Vienna, Austria.</w:t>
      </w:r>
    </w:p>
    <w:bookmarkEnd w:id="81"/>
    <w:bookmarkStart w:id="82"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2"/>
    <w:bookmarkStart w:id="84"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3">
        <w:r>
          <w:rPr>
            <w:rStyle w:val="Hyperlink"/>
          </w:rPr>
          <w:t xml:space="preserve">https://doi.org/10.1046/j.1365-2427.1997.d01-540.x</w:t>
        </w:r>
      </w:hyperlink>
    </w:p>
    <w:bookmarkEnd w:id="84"/>
    <w:bookmarkStart w:id="86"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5">
        <w:r>
          <w:rPr>
            <w:rStyle w:val="Hyperlink"/>
          </w:rPr>
          <w:t xml:space="preserve">https://doi.org/10.1007/s11273-011-9230-6</w:t>
        </w:r>
      </w:hyperlink>
    </w:p>
    <w:bookmarkEnd w:id="86"/>
    <w:bookmarkStart w:id="88"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87">
        <w:r>
          <w:rPr>
            <w:rStyle w:val="Hyperlink"/>
          </w:rPr>
          <w:t xml:space="preserve">https://doi.org/10.1890/1051-0761(2006)016[1267:SEFTEC]2.0.CO;2</w:t>
        </w:r>
      </w:hyperlink>
    </w:p>
    <w:bookmarkEnd w:id="88"/>
    <w:bookmarkStart w:id="89" w:name="ref-Therouxip"/>
    <w:p>
      <w:pPr>
        <w:pStyle w:val="Bibliography"/>
      </w:pPr>
      <w:r>
        <w:t xml:space="preserve">Theroux, S., Mazor, R.D., Beck, M.W., Ode, P., Sutula, M., Stein, E.D., n.d. A non-predictive algal index for complex environments. Ecological Indicators.</w:t>
      </w:r>
    </w:p>
    <w:bookmarkEnd w:id="89"/>
    <w:bookmarkStart w:id="90" w:name="ref-USEPA16"/>
    <w:p>
      <w:pPr>
        <w:pStyle w:val="Bibliography"/>
      </w:pPr>
      <w:r>
        <w:t xml:space="preserve">USEPA (US Environmental Protection Agency), 2016. National rivers and streams assessment 2008-2009: A collaborative survey (No. EPA-841-R-16-007). Washington, DC.</w:t>
      </w:r>
    </w:p>
    <w:bookmarkEnd w:id="90"/>
    <w:bookmarkStart w:id="92"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1">
        <w:r>
          <w:rPr>
            <w:rStyle w:val="Hyperlink"/>
          </w:rPr>
          <w:t xml:space="preserve">https://doi.org/10.1007/s00267-006-0135-8</w:t>
        </w:r>
      </w:hyperlink>
    </w:p>
    <w:bookmarkEnd w:id="92"/>
    <w:bookmarkEnd w:id="9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hyperlink" Id="rId55" Target="http://doi.org/10.5281/zenodo.2587212" TargetMode="External" /><Relationship Type="http://schemas.openxmlformats.org/officeDocument/2006/relationships/hyperlink" Id="rId53" Target="https://doi.org/10.1002/ieam.118" TargetMode="External" /><Relationship Type="http://schemas.openxmlformats.org/officeDocument/2006/relationships/hyperlink" Id="rId91" Target="https://doi.org/10.1007/s00267-006-0135-8" TargetMode="External" /><Relationship Type="http://schemas.openxmlformats.org/officeDocument/2006/relationships/hyperlink" Id="rId85" Target="https://doi.org/10.1007/s11273-011-9230-6" TargetMode="External" /><Relationship Type="http://schemas.openxmlformats.org/officeDocument/2006/relationships/hyperlink" Id="rId65" Target="https://doi.org/10.1016/j.watres.2012.03.061" TargetMode="External" /><Relationship Type="http://schemas.openxmlformats.org/officeDocument/2006/relationships/hyperlink" Id="rId83" Target="https://doi.org/10.1046/j.1365-2427.1997.d01-540.x" TargetMode="External" /><Relationship Type="http://schemas.openxmlformats.org/officeDocument/2006/relationships/hyperlink" Id="rId68" Target="https://doi.org/10.1046/j.1365-2427.1999.00437.x" TargetMode="External" /><Relationship Type="http://schemas.openxmlformats.org/officeDocument/2006/relationships/hyperlink" Id="rId77" Target="https://doi.org/10.1046/j.1529-8817.1999.3530460.x" TargetMode="External" /><Relationship Type="http://schemas.openxmlformats.org/officeDocument/2006/relationships/hyperlink" Id="rId72" Target="https://doi.org/10.1111/j.1365-2427.1987.tb01027.x" TargetMode="External" /><Relationship Type="http://schemas.openxmlformats.org/officeDocument/2006/relationships/hyperlink" Id="rId63" Target="https://doi.org/10.1890/1051-0761(2000)010[1456:DAEOPM]2.0.CO;2" TargetMode="External" /><Relationship Type="http://schemas.openxmlformats.org/officeDocument/2006/relationships/hyperlink" Id="rId87" Target="https://doi.org/10.1890/1051-0761(2006)016[1267:SEFTEC]2.0.CO;2" TargetMode="External" /><Relationship Type="http://schemas.openxmlformats.org/officeDocument/2006/relationships/hyperlink" Id="rId57" Target="https://doi.org/10.1899/06-078.1" TargetMode="External" /><Relationship Type="http://schemas.openxmlformats.org/officeDocument/2006/relationships/hyperlink" Id="rId79" Target="https://doi.org/10.1899/08-098.1" TargetMode="External" /><Relationship Type="http://schemas.openxmlformats.org/officeDocument/2006/relationships/hyperlink" Id="rId41"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5" Target="http://doi.org/10.5281/zenodo.2587212" TargetMode="External" /><Relationship Type="http://schemas.openxmlformats.org/officeDocument/2006/relationships/hyperlink" Id="rId53" Target="https://doi.org/10.1002/ieam.118" TargetMode="External" /><Relationship Type="http://schemas.openxmlformats.org/officeDocument/2006/relationships/hyperlink" Id="rId91" Target="https://doi.org/10.1007/s00267-006-0135-8" TargetMode="External" /><Relationship Type="http://schemas.openxmlformats.org/officeDocument/2006/relationships/hyperlink" Id="rId85" Target="https://doi.org/10.1007/s11273-011-9230-6" TargetMode="External" /><Relationship Type="http://schemas.openxmlformats.org/officeDocument/2006/relationships/hyperlink" Id="rId65" Target="https://doi.org/10.1016/j.watres.2012.03.061" TargetMode="External" /><Relationship Type="http://schemas.openxmlformats.org/officeDocument/2006/relationships/hyperlink" Id="rId83" Target="https://doi.org/10.1046/j.1365-2427.1997.d01-540.x" TargetMode="External" /><Relationship Type="http://schemas.openxmlformats.org/officeDocument/2006/relationships/hyperlink" Id="rId68" Target="https://doi.org/10.1046/j.1365-2427.1999.00437.x" TargetMode="External" /><Relationship Type="http://schemas.openxmlformats.org/officeDocument/2006/relationships/hyperlink" Id="rId77" Target="https://doi.org/10.1046/j.1529-8817.1999.3530460.x" TargetMode="External" /><Relationship Type="http://schemas.openxmlformats.org/officeDocument/2006/relationships/hyperlink" Id="rId72" Target="https://doi.org/10.1111/j.1365-2427.1987.tb01027.x" TargetMode="External" /><Relationship Type="http://schemas.openxmlformats.org/officeDocument/2006/relationships/hyperlink" Id="rId63" Target="https://doi.org/10.1890/1051-0761(2000)010[1456:DAEOPM]2.0.CO;2" TargetMode="External" /><Relationship Type="http://schemas.openxmlformats.org/officeDocument/2006/relationships/hyperlink" Id="rId87" Target="https://doi.org/10.1890/1051-0761(2006)016[1267:SEFTEC]2.0.CO;2" TargetMode="External" /><Relationship Type="http://schemas.openxmlformats.org/officeDocument/2006/relationships/hyperlink" Id="rId57" Target="https://doi.org/10.1899/06-078.1" TargetMode="External" /><Relationship Type="http://schemas.openxmlformats.org/officeDocument/2006/relationships/hyperlink" Id="rId79" Target="https://doi.org/10.1899/08-098.1" TargetMode="External" /><Relationship Type="http://schemas.openxmlformats.org/officeDocument/2006/relationships/hyperlink" Id="rId41"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2019-03-20T19:42:59Z</dcterms:created>
  <dcterms:modified xsi:type="dcterms:W3CDTF">2019-03-20T19:42:59Z</dcterms:modified>
</cp:coreProperties>
</file>