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1.png" ContentType="image/png"/>
  <Override PartName="/word/media/rId40.png" ContentType="image/png"/>
  <Override PartName="/word/media/rId42.png" ContentType="image/pn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Quality</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introduction"/>
      <w:r>
        <w:t xml:space="preserve">Introduction</w:t>
      </w:r>
      <w:bookmarkEnd w:id="23"/>
    </w:p>
    <w:p>
      <w:pPr>
        <w:pStyle w:val="Heading1"/>
      </w:pPr>
      <w:bookmarkStart w:id="24" w:name="methods"/>
      <w:r>
        <w:t xml:space="preserve">Methods</w:t>
      </w:r>
      <w:bookmarkEnd w:id="24"/>
    </w:p>
    <w:p>
      <w:pPr>
        <w:pStyle w:val="Heading2"/>
      </w:pPr>
      <w:bookmarkStart w:id="25" w:name="general-approach"/>
      <w:r>
        <w:t xml:space="preserve">General Approach</w:t>
      </w:r>
      <w:bookmarkEnd w:id="25"/>
    </w:p>
    <w:p>
      <w:pPr>
        <w:pStyle w:val="FirstParagraph"/>
      </w:pPr>
      <w:r>
        <w:t xml:space="preserve">The SQI is a conceptual approach to describing stream health that is based on a stressor-response relationship between biology and in-stream stressors (Figure</w:t>
      </w:r>
      <w:r>
        <w:t xml:space="preserve"> </w:t>
      </w:r>
      <w:r>
        <w:t xml:space="preserve">1</w:t>
      </w:r>
      <w:r>
        <w:t xml:space="preserve">).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We selected water chemistry stressors that are strongly associated with biological condition in perennial streams, namely nutrients and conductivity. Likewise, we selected physical habitat metrics that quantified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6" w:name="Xd71738c2a8536eb28edbc0077a20add097195e3"/>
      <w:r>
        <w:t xml:space="preserve">Biological response components of the SQI</w:t>
      </w:r>
      <w:bookmarkEnd w:id="26"/>
    </w:p>
    <w:p>
      <w:pPr>
        <w:pStyle w:val="Heading3"/>
      </w:pPr>
      <w:bookmarkStart w:id="27" w:name="characterizing-biological-condition"/>
      <w:r>
        <w:t xml:space="preserve">Characterizing biological condition</w:t>
      </w:r>
      <w:bookmarkEnd w:id="27"/>
    </w:p>
    <w:p>
      <w:pPr>
        <w:pStyle w:val="FirstParagraph"/>
      </w:pPr>
      <w:r>
        <w:t xml:space="preserve">The stressor-response model used by the SQI uses biological endpoints as indicators of beneficial uses for wadeable streams and water chemistry and physical habitat measurements as stressors that are empirically linked to biological condition. Because biological indicators provide direct measures of aquatic life, whereas physical and chemical measures provide ancillary information about the stressors that may affect aquatic life, it was crucial to combine these indicators in a way that preserved the types of information provided by each (as opposed to treating them as equivalent lines of evidence that could be</w:t>
      </w:r>
      <w:r>
        <w:t xml:space="preserve"> </w:t>
      </w:r>
      <w:r>
        <w:t xml:space="preserve">“</w:t>
      </w:r>
      <w:r>
        <w:t xml:space="preserve">averaged</w:t>
      </w:r>
      <w:r>
        <w:t xml:space="preserve">”</w:t>
      </w:r>
      <w:r>
        <w:t xml:space="preserve">" to assess overall condition).</w:t>
      </w:r>
    </w:p>
    <w:p>
      <w:pPr>
        <w:pStyle w:val="BodyText"/>
      </w:pPr>
      <w:r>
        <w:t xml:space="preserve">We used quantitative bioassessment indices as measures of biological condition. Bioassessment indices for benthic macroinvertebrates and algal communities have been developed for California streams</w:t>
      </w:r>
      <w:r>
        <w:t xml:space="preserve"> </w:t>
      </w:r>
      <w:r>
        <w:t xml:space="preserve">(Mazor et al.</w:t>
      </w:r>
      <w:r>
        <w:t xml:space="preserve"> </w:t>
      </w:r>
      <w:hyperlink w:anchor="ref-Mazor16">
        <w:r>
          <w:rPr>
            <w:rStyle w:val="Hyperlink"/>
          </w:rPr>
          <w:t xml:space="preserve">2016</w:t>
        </w:r>
      </w:hyperlink>
      <w:r>
        <w:t xml:space="preserve">; Theroux et al.,</w:t>
      </w:r>
      <w:r>
        <w:t xml:space="preserve"> </w:t>
      </w:r>
      <w:hyperlink w:anchor="ref-Therouxip">
        <w:r>
          <w:rPr>
            <w:rStyle w:val="Hyperlink"/>
          </w:rPr>
          <w:t xml:space="preserve">n.d.</w:t>
        </w:r>
      </w:hyperlink>
      <w:r>
        <w:t xml:space="preserve">)</w:t>
      </w:r>
      <w:r>
        <w:t xml:space="preserve"> </w:t>
      </w:r>
      <w:r>
        <w:t xml:space="preserve">and both indices are used as complementary lines of evidence within the SQI. Analysis of multiple assemblages provides a more comprehensive indication of biological condition that can confirm overall stream health and may also provide additional diagnostic information about stressors (as different communities may respond to different characteristics of stream habitat).</w:t>
      </w:r>
    </w:p>
    <w:p>
      <w:pPr>
        <w:pStyle w:val="BodyText"/>
      </w:pPr>
      <w:r>
        <w:t xml:space="preserve">Biological responses were measured as two biological indices previously developed for California wadeable streams.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benthic macroinvertebrate taxa and metrics at a site to those expected under least disturbed reference conditions (sensu</w:t>
      </w:r>
      <w:r>
        <w:t xml:space="preserve"> </w:t>
      </w:r>
      <w:r>
        <w:t xml:space="preserve">Stoddard et al.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as a response endpoint for lower trophic levels; the ASCI is a non-predictive multi-metric index (i.e., it uses a uniform, statewide reference expectation) that incorporates both diatoms and soft-bodied algae. Scores for both indices can range from 0 to ~ 1.4, with a score of 1 at sites in reference condition and lower values indicating biological degradation. Both indices are used as standard assessment measures for perennial wadeable streams in California.</w:t>
      </w:r>
    </w:p>
    <w:p>
      <w:pPr>
        <w:pStyle w:val="BodyText"/>
      </w:pPr>
      <w:r>
        <w:t xml:space="preserve">Index scores were compared to the distribution of scores at reference sites to assign BMI and algal samples to biological condition classes that described the likelihood of biological alteration. For both the CSCI and ASCI, the 1st, 10th, and 30th percentiles of scores at reference sites were used to categorize sites as very likely to have altered biological condition (ref 4, scores less than the 1st percentile), likely altered (ref 3, scores between the 1st and 10th percentile), possibly altered (ref 2, scores between the 10th and 30th percentiles), and likely intact (ref 1, scores greater than the 30th percentile) (Table</w:t>
      </w:r>
      <w:r>
        <w:t xml:space="preserve"> </w:t>
      </w:r>
      <w:r>
        <w:t xml:space="preserve">1</w:t>
      </w:r>
      <w:r>
        <w:t xml:space="preserve">). This produced four classes for each index such that each site had two categories describing separate lines of evidence of the likelihood of biological alteration in the benthic macroinvertebrate and algal communities. Both lines of evidence were jointly considered by the SQI for evaluating overall biological condition, described below.</w:t>
      </w:r>
    </w:p>
    <w:p>
      <w:pPr>
        <w:pStyle w:val="Heading3"/>
      </w:pPr>
      <w:bookmarkStart w:id="28" w:name="X2e8a059881a1a74830506931182fa1e8b7fab11"/>
      <w:r>
        <w:t xml:space="preserve">Integrating multiple measures of biological condition</w:t>
      </w:r>
      <w:bookmarkEnd w:id="28"/>
    </w:p>
    <w:p>
      <w:pPr>
        <w:pStyle w:val="FirstParagraph"/>
      </w:pPr>
      <w:r>
        <w:t xml:space="preserve">The assigned biological condition categories for each index were combined using a ranking system to create a single numeric value that represents an overall condition reflected by both biological indices. These values were assigned based on the judgment of stakeholders, in accordance with several principles. First, the two indices should be independently applicable, so that an indication of good health in one index cannot negate indications of poor health in the other. Second, the numeric values should be sensitive to differences between sites in marginal or extreme conditions. For example, the numeric value for a sample where both indices indicate likely intact biological communities will be higher than for a sample where one index indicates likely intact and the other indicates possibly altered. This sensitivity improves detection of small changes in condition. The final numeric values ranged from -4 to +4 (Table</w:t>
      </w:r>
      <w:r>
        <w:t xml:space="preserve"> </w:t>
      </w:r>
      <w:r>
        <w:t xml:space="preserve">1</w:t>
      </w:r>
      <w:r>
        <w:t xml:space="preserve">). All negative values indicate impacted conditions.</w:t>
      </w:r>
    </w:p>
    <w:p>
      <w:pPr>
        <w:pStyle w:val="Heading2"/>
      </w:pPr>
      <w:bookmarkStart w:id="29" w:name="stressor-components"/>
      <w:r>
        <w:t xml:space="preserve">Stressor components</w:t>
      </w:r>
      <w:bookmarkEnd w:id="29"/>
    </w:p>
    <w:p>
      <w:pPr>
        <w:pStyle w:val="Heading3"/>
      </w:pPr>
      <w:bookmarkStart w:id="30" w:name="characterizing-stress"/>
      <w:r>
        <w:t xml:space="preserve">Characterizing stress</w:t>
      </w:r>
      <w:bookmarkEnd w:id="30"/>
    </w:p>
    <w:p>
      <w:pPr>
        <w:pStyle w:val="FirstParagraph"/>
      </w:pPr>
      <w:r>
        <w:t xml:space="preserve">Water chemistry and physical habitat measurements were used to describe stressors associated with low CSCI and ASCI scores</w:t>
      </w:r>
      <w:r>
        <w:t xml:space="preserve"> </w:t>
      </w:r>
      <w:r>
        <w:t xml:space="preserve">(Mazor</w:t>
      </w:r>
      <w:r>
        <w:t xml:space="preserve"> </w:t>
      </w:r>
      <w:hyperlink w:anchor="ref-Mazor15">
        <w:r>
          <w:rPr>
            <w:rStyle w:val="Hyperlink"/>
          </w:rPr>
          <w:t xml:space="preserve">2015</w:t>
        </w:r>
      </w:hyperlink>
      <w:r>
        <w:t xml:space="preserve">; Theroux et al.,</w:t>
      </w:r>
      <w:r>
        <w:t xml:space="preserve"> </w:t>
      </w:r>
      <w:hyperlink w:anchor="ref-Therouxip">
        <w:r>
          <w:rPr>
            <w:rStyle w:val="Hyperlink"/>
          </w:rPr>
          <w:t xml:space="preserve">n.d.</w:t>
        </w:r>
      </w:hyperlink>
      <w:r>
        <w:t xml:space="preserve">)</w:t>
      </w:r>
      <w:r>
        <w:t xml:space="preserve"> </w:t>
      </w:r>
      <w:r>
        <w:t xml:space="preserve">and have a conceptual relationship with both invertebrate and algal assemblages</w:t>
      </w:r>
      <w:r>
        <w:t xml:space="preserve"> </w:t>
      </w:r>
      <w:r>
        <w:t xml:space="preserve">(Richards et al.</w:t>
      </w:r>
      <w:r>
        <w:t xml:space="preserve"> </w:t>
      </w:r>
      <w:hyperlink w:anchor="ref-Richards97">
        <w:r>
          <w:rPr>
            <w:rStyle w:val="Hyperlink"/>
          </w:rPr>
          <w:t xml:space="preserve">1997</w:t>
        </w:r>
      </w:hyperlink>
      <w:r>
        <w:t xml:space="preserve">; Pan et al.</w:t>
      </w:r>
      <w:r>
        <w:t xml:space="preserve"> </w:t>
      </w:r>
      <w:hyperlink w:anchor="ref-Pan02">
        <w:r>
          <w:rPr>
            <w:rStyle w:val="Hyperlink"/>
          </w:rPr>
          <w:t xml:space="preserve">2002</w:t>
        </w:r>
      </w:hyperlink>
      <w:r>
        <w:t xml:space="preserve">; Wang, Robertson, and Garrison</w:t>
      </w:r>
      <w:r>
        <w:t xml:space="preserve"> </w:t>
      </w:r>
      <w:hyperlink w:anchor="ref-Wang07">
        <w:r>
          <w:rPr>
            <w:rStyle w:val="Hyperlink"/>
          </w:rPr>
          <w:t xml:space="preserve">2007</w:t>
        </w:r>
      </w:hyperlink>
      <w:r>
        <w:t xml:space="preserve">)</w:t>
      </w:r>
      <w:r>
        <w:t xml:space="preserve">. The water chemistry indicators included total nitrogen (mg/L), total phosphorus (mg/L) and specific conductivity (</w:t>
      </w:r>
      <m:oMath>
        <m:r>
          <m:t>μ</m:t>
        </m:r>
      </m:oMath>
      <w:r>
        <w:t xml:space="preserve">S/cm). Nitrogen, phosphorus, and conductivity are widely measured in many regional and statewide monitoring programs and collectively act as surrogates for unmeasured or alternative water quality problems at a site (e.g., temperature, light penetration). Although other contaminants that can affect aquatic organisms are sometimes measured (e.g., metals, pesticides, pharmaceuticals), observations can be sparsely distributed in the study region</w:t>
      </w:r>
      <w:r>
        <w:t xml:space="preserve"> </w:t>
      </w:r>
      <w:r>
        <w:t xml:space="preserve">(Mazor</w:t>
      </w:r>
      <w:r>
        <w:t xml:space="preserve"> </w:t>
      </w:r>
      <w:hyperlink w:anchor="ref-Mazor15">
        <w:r>
          <w:rPr>
            <w:rStyle w:val="Hyperlink"/>
          </w:rPr>
          <w:t xml:space="preserve">2015</w:t>
        </w:r>
      </w:hyperlink>
      <w:r>
        <w:t xml:space="preserve">)</w:t>
      </w:r>
      <w:r>
        <w:t xml:space="preserve"> </w:t>
      </w:r>
      <w:r>
        <w:t xml:space="preserve">and contaminants often co-occur with elevated nutrients or specific conductivity. As such, the selected indicators may be an effective proxy for other unmeasured water quality stressors in southern California.</w:t>
      </w:r>
    </w:p>
    <w:p>
      <w:pPr>
        <w:pStyle w:val="BodyText"/>
      </w:pPr>
      <w:r>
        <w:t xml:space="preserve">Physical habitat conditions at a site were described using two indices of habitat condition developed for California: the Index of Physical-Habitat Integrity (IPI,</w:t>
      </w:r>
      <w:r>
        <w:t xml:space="preserve"> </w:t>
      </w:r>
      <w:r>
        <w:t xml:space="preserve">Rehn, Mazor, and Ode (</w:t>
      </w:r>
      <w:hyperlink w:anchor="ref-Rehn18">
        <w:r>
          <w:rPr>
            <w:rStyle w:val="Hyperlink"/>
          </w:rPr>
          <w:t xml:space="preserve">2018</w:t>
        </w:r>
      </w:hyperlink>
      <w:r>
        <w:t xml:space="preserve">)</w:t>
      </w:r>
      <w:r>
        <w:t xml:space="preserve">) and the California Rapid Assessment Method for riverine wetlands</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The IPI is based on physical habitat metrics that characterize five components of in-stream habitat quality: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 IPI is based on physical habitat metrics that characterize five components of in-stream habitat quality: percent sands, fines, or concrete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calculate these metrics were collected using standard field protocols described in</w:t>
      </w:r>
      <w:r>
        <w:t xml:space="preserve"> </w:t>
      </w:r>
      <w:r>
        <w:t xml:space="preserve">Ode (</w:t>
      </w:r>
      <w:hyperlink w:anchor="ref-Ode07">
        <w:r>
          <w:rPr>
            <w:rStyle w:val="Hyperlink"/>
          </w:rPr>
          <w:t xml:space="preserve">2007</w:t>
        </w:r>
      </w:hyperlink>
      <w:r>
        <w:t xml:space="preserve">)</w:t>
      </w:r>
      <w:r>
        <w:t xml:space="preserve">, which are derived from protocols used in national assessments</w:t>
      </w:r>
      <w:r>
        <w:t xml:space="preserve"> </w:t>
      </w:r>
      <w:r>
        <w:t xml:space="preserve">(USEPA (US Environmental Protection Agency)</w:t>
      </w:r>
      <w:r>
        <w:t xml:space="preserve"> </w:t>
      </w:r>
      <w:hyperlink w:anchor="ref-USEPA16">
        <w:r>
          <w:rPr>
            <w:rStyle w:val="Hyperlink"/>
          </w:rPr>
          <w:t xml:space="preserve">2016</w:t>
        </w:r>
      </w:hyperlink>
      <w:r>
        <w:t xml:space="preserve">)</w:t>
      </w:r>
      <w:r>
        <w:t xml:space="preserve">. As with the CSCI, the IPI is a predictive index, and values for most metrics are compared to site-specific expectations appropriate for the stream’s environmental setting. The IPI also ranges from 0 to ~1.4, with values less than 1 indicating departure from reference conditions.</w:t>
      </w:r>
    </w:p>
    <w:p>
      <w:pPr>
        <w:pStyle w:val="BodyText"/>
      </w:pPr>
      <w:r>
        <w:t xml:space="preserve">In contrast to the IPI, CRAM is based on qualitative assessments of four attributes of riparian wetland function: landscape and buffer condition, hydrologic condition, physical structure, and biotic structure. Whereas the data for the IPI is derived from numerous quantitative measurements of physical habitat components collected along several transects, CRAM attributes are assessed on a whole-reach scale through visual observation. In general, CRAM characterizes larger-scale processes affecting stream condition both within and adjacent to the stream corridor, whereas the IPI focuses more narrowly on in-stream conditions. CRAM scores range from 25 to 100, with higher values indicating less degraded conditions at a site.</w:t>
      </w:r>
    </w:p>
    <w:p>
      <w:pPr>
        <w:pStyle w:val="Heading3"/>
      </w:pPr>
      <w:bookmarkStart w:id="31" w:name="integrating-multiple-measures-of-stress"/>
      <w:r>
        <w:t xml:space="preserve">Integrating multiple measures of stress</w:t>
      </w:r>
      <w:bookmarkEnd w:id="31"/>
    </w:p>
    <w:p>
      <w:pPr>
        <w:pStyle w:val="FirstParagraph"/>
      </w:pPr>
      <w:r>
        <w:t xml:space="preserve">The combined impact of habitat or chemistry stressors on biological condition was evaluated by developing stress-response models that calculate the probability of observing poor biological conditions given observed levels of chemical or habitat stress. This approach eliminates the need to identify potential thresholds for identifying high levels of stress while also accounting for their combined impacts.</w:t>
      </w:r>
    </w:p>
    <w:p>
      <w:pPr>
        <w:pStyle w:val="BodyText"/>
      </w:pPr>
      <w:r>
        <w:t xml:space="preserve">For both types of stress, a generalized linear model</w:t>
      </w:r>
      <w:r>
        <w:t xml:space="preserve"> </w:t>
      </w:r>
      <w:r>
        <w:t xml:space="preserve">(Fox and Weisberg</w:t>
      </w:r>
      <w:r>
        <w:t xml:space="preserve"> </w:t>
      </w:r>
      <w:hyperlink w:anchor="ref-Fox11">
        <w:r>
          <w:rPr>
            <w:rStyle w:val="Hyperlink"/>
          </w:rPr>
          <w:t xml:space="preserve">2011</w:t>
        </w:r>
      </w:hyperlink>
      <w:r>
        <w:t xml:space="preserve">)</w:t>
      </w:r>
      <w:r>
        <w:t xml:space="preserve"> </w:t>
      </w:r>
      <w:r>
        <w:t xml:space="preserve">was fit to calibration data to quantify associations for each separate water quality or physical habitat measure with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sSub>
            <m:e>
              <m:r>
                <m:t>β</m:t>
              </m:r>
            </m:e>
            <m:sub>
              <m:r>
                <m:t>0</m:t>
              </m:r>
            </m:sub>
          </m:sSub>
          <m:r>
            <m:t>+</m:t>
          </m:r>
          <m:sSub>
            <m:e>
              <m:r>
                <m:t>β</m:t>
              </m:r>
            </m:e>
            <m:sub>
              <m:r>
                <m:t>1</m:t>
              </m:r>
            </m:sub>
          </m:sSub>
          <m:r>
            <m:t>T</m:t>
          </m:r>
          <m:r>
            <m:t>N</m:t>
          </m:r>
          <m:r>
            <m:t>+</m:t>
          </m:r>
          <m:sSub>
            <m:e>
              <m:r>
                <m:t>β</m:t>
              </m:r>
            </m:e>
            <m:sub>
              <m:r>
                <m:t>2</m:t>
              </m:r>
            </m:sub>
          </m:sSub>
          <m:r>
            <m:t>T</m:t>
          </m:r>
          <m:r>
            <m:t>P</m:t>
          </m:r>
          <m:r>
            <m:t>+</m:t>
          </m:r>
          <m:sSub>
            <m:e>
              <m:r>
                <m:t>β</m:t>
              </m:r>
            </m:e>
            <m:sub>
              <m:r>
                <m:t>3</m:t>
              </m:r>
            </m:sub>
          </m:sSub>
          <m:r>
            <m:t>c</m:t>
          </m:r>
          <m:r>
            <m:t>o</m:t>
          </m:r>
          <m:r>
            <m:t>n</m:t>
          </m:r>
          <m:r>
            <m:t>d</m:t>
          </m:r>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sSub>
            <m:e>
              <m:r>
                <m:t>β</m:t>
              </m:r>
            </m:e>
            <m:sub>
              <m:r>
                <m:t>0</m:t>
              </m:r>
            </m:sub>
          </m:sSub>
          <m:r>
            <m:t>+</m:t>
          </m:r>
          <m:sSub>
            <m:e>
              <m:r>
                <m:t>β</m:t>
              </m:r>
            </m:e>
            <m:sub>
              <m:r>
                <m:t>1</m:t>
              </m:r>
            </m:sub>
          </m:sSub>
          <m:r>
            <m:t>I</m:t>
          </m:r>
          <m:r>
            <m:t>P</m:t>
          </m:r>
          <m:r>
            <m:t>I</m:t>
          </m:r>
          <m:r>
            <m:t>+</m:t>
          </m:r>
          <m:sSub>
            <m:e>
              <m:r>
                <m:t>β</m:t>
              </m:r>
            </m:e>
            <m:sub>
              <m:r>
                <m:t>2</m:t>
              </m:r>
            </m:sub>
          </m:sSub>
          <m:r>
            <m:t>C</m:t>
          </m:r>
          <m:r>
            <m:t>R</m:t>
          </m:r>
          <m:r>
            <m:t>A</m:t>
          </m:r>
          <m:r>
            <m:t>M</m:t>
          </m:r>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the indicators 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 described above.</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1</m:t>
          </m:r>
          <m:r>
            <m:t>−</m:t>
          </m:r>
          <m:d>
            <m:dPr>
              <m:begChr m:val="("/>
              <m:endChr m:val=")"/>
              <m:grow/>
            </m:dPr>
            <m:e>
              <m:d>
                <m:dPr>
                  <m:begChr m:val="("/>
                  <m:endChr m:val=")"/>
                  <m:grow/>
                </m:dPr>
                <m:e>
                  <m:r>
                    <m:t>1</m:t>
                  </m:r>
                  <m:r>
                    <m:t>−</m:t>
                  </m:r>
                  <m:r>
                    <m:t>p</m:t>
                  </m:r>
                  <m:r>
                    <m:t>C</m:t>
                  </m:r>
                  <m:r>
                    <m:t>h</m:t>
                  </m:r>
                  <m:r>
                    <m:t>e</m:t>
                  </m:r>
                  <m:r>
                    <m:t>m</m:t>
                  </m:r>
                </m:e>
              </m:d>
              <m:r>
                <m:t>×</m:t>
              </m:r>
              <m:d>
                <m:dPr>
                  <m:begChr m:val="("/>
                  <m:endChr m:val=")"/>
                  <m:grow/>
                </m:dPr>
                <m:e>
                  <m:r>
                    <m:t>1</m:t>
                  </m:r>
                  <m:r>
                    <m:t>−</m:t>
                  </m:r>
                  <m:r>
                    <m:t>p</m:t>
                  </m:r>
                  <m:r>
                    <m:t>H</m:t>
                  </m:r>
                  <m:r>
                    <m:t>a</m:t>
                  </m:r>
                  <m:r>
                    <m:t>b</m:t>
                  </m:r>
                </m:e>
              </m:d>
            </m:e>
          </m:d>
          <m:r>
            <m:t>  </m:t>
          </m:r>
          <m:r>
            <m:t>(</m:t>
          </m:r>
          <m:r>
            <m:t>3</m:t>
          </m:r>
          <m:r>
            <m:t>)</m:t>
          </m:r>
        </m:oMath>
      </m:oMathPara>
    </w:p>
    <w:p>
      <w:pPr>
        <w:pStyle w:val="FirstParagraph"/>
      </w:pPr>
      <w:r>
        <w:t xml:space="preserve">The inverse of the likelihoods was used to represent an additive effect of both chemistry and physical habitat stressors. Equations (1), (2), and (3) provided the empirical estimates of biological alteration that were used to define the categorical outputs of the SQI, defined below.</w:t>
      </w:r>
    </w:p>
    <w:p>
      <w:pPr>
        <w:pStyle w:val="Heading2"/>
      </w:pPr>
      <w:bookmarkStart w:id="32" w:name="X0e75f73393ee0fc7527d9ee66afeeede5457e3e"/>
      <w:r>
        <w:t xml:space="preserve">Combining stress and response measures into an overall Stream Quality Index (SQI)</w:t>
      </w:r>
      <w:bookmarkEnd w:id="32"/>
    </w:p>
    <w:p>
      <w:pPr>
        <w:pStyle w:val="FirstParagraph"/>
      </w:pPr>
      <w:r>
        <w:t xml:space="preserve">The empirical framework for the binomial models and combined biological condition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healthy and unstressed, health and resilient, impacted by unknown stress, and impacted and stressed.</w:t>
      </w:r>
    </w:p>
    <w:p>
      <w:pPr>
        <w:pStyle w:val="BodyText"/>
      </w:pPr>
      <w:r>
        <w:t xml:space="preserve">Separate categorical outputs were also created for the biological condition and stressorcondition categories. The four possible outputs for the biological categories were based on the four combinations from the binary categories of high/low CSCI and high/low ASCI: healthy, impacted for CSCI, impacted for ASCI, and impacted for both. The possible stressor condition categories for a site were based on the four outcomes of the binary combinations of high/low chemistry stress and high/low physical habitat stress: low stress, stressed by chemistry, stressed by habitat, and stressed by both. A fifth stress category was also possible based on the additive combinations of low chemistry and low habitat stress if</w:t>
      </w:r>
      <w:r>
        <w:t xml:space="preserve"> </w:t>
      </w:r>
      <m:oMath>
        <m:r>
          <m:t>p</m:t>
        </m:r>
        <m:r>
          <m:t>O</m:t>
        </m:r>
        <m:r>
          <m:t>v</m:t>
        </m:r>
        <m:r>
          <m:t>e</m:t>
        </m:r>
        <m:r>
          <m:t>r</m:t>
        </m:r>
        <m:r>
          <m:t>a</m:t>
        </m:r>
        <m:r>
          <m:t>l</m:t>
        </m:r>
        <m:r>
          <m:t>l</m:t>
        </m:r>
      </m:oMath>
      <w:r>
        <w:t xml:space="preserve"> </w:t>
      </w:r>
      <w:r>
        <w:t xml:space="preserve">exceeded the threshold even though</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did not. Thresholds for biological indices that defined high/low condition were based on the tenth percentile distribution of scores at reference sites for each index. Thresholds for high/low stress were based on the median likelihood across all sites.</w:t>
      </w:r>
    </w:p>
    <w:p>
      <w:pPr>
        <w:pStyle w:val="Heading2"/>
      </w:pPr>
      <w:bookmarkStart w:id="33" w:name="application"/>
      <w:r>
        <w:t xml:space="preserve">Application</w:t>
      </w:r>
      <w:bookmarkEnd w:id="33"/>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poor condition, and evaluating trends over time. This dataset represents the most comprehensive source of stream data in Southern California. Because the SQI requires synoptic biological, chemistry, and physical habitat data, the final dataset used for model calibration represents a subset of the SMC dataset where all three components were simultaneously collected. This included 266 sites, 75% of which were used for model calibration. Sampling dates ranged from 2009 to 2016 with relatively even distribution of samples between years. Most sample events occurred between May and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34" w:name="results"/>
      <w:r>
        <w:t xml:space="preserve">Results</w:t>
      </w:r>
      <w:bookmarkEnd w:id="34"/>
    </w:p>
    <w:p>
      <w:pPr>
        <w:pStyle w:val="FirstParagraph"/>
      </w:pPr>
      <w:r>
        <w:t xml:space="preserve">Among all sites, the overall SQI categorized a majority as having altered biology under high stress conditions (impacted and stressed, 64% of sites, Table</w:t>
      </w:r>
      <w:r>
        <w:t xml:space="preserve"> </w:t>
      </w:r>
      <w:r>
        <w:t xml:space="preserve">2</w:t>
      </w:r>
      <w:r>
        <w:t xml:space="preserve">). Just over 20% of sites were in the opposite category of unaltered biology in low stress conditions (healthy and unstressed). For the remaining two categories of the overall SQI, only 2% had unaltered biology but were under high stress conditions (healthy and resilient), whereas 13% sites had altered biology not related to physical or chemical stressors (impacted by unknown stress). For the biological condition category, sites with altered conditions were more often altered for both CSCI and ASCI scores (50%). For sites with one low scoring index, more sites were altered for the ASCI (16%) than the CSCI (11%). Less than a quarter of all sites had unaltered biology (23%). For stress conditions, 35% of sites were stressed by both chemistry and physical habitat stressors. More sites were stressed by water chemistry (12%) than physical habitat degradation (7%) if only one stressor was present. Over 45% of sites had low stress and no sites were stressed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across the study region whereas sites altered only for the CSCI were more common at higher elevation areas in central and northern ares of the study region. Stress condition patterns were similar to biology although low stress conditions also occured closer to coastal areas in addition to higher elevation areas in each watershed. This produced a handful of sites that had altered biology but under low stress conditions at mid-elevation ranges (i.e., impacted by unknown stress, Table</w:t>
      </w:r>
      <w:r>
        <w:t xml:space="preserve"> </w:t>
      </w:r>
      <w:r>
        <w:t xml:space="preserve">2</w:t>
      </w:r>
      <w:r>
        <w:t xml:space="preserve">).</w:t>
      </w:r>
    </w:p>
    <w:p>
      <w:pPr>
        <w:pStyle w:val="BodyText"/>
      </w:pPr>
      <w:r>
        <w:t xml:space="preserve">The underlying empirical models provided insight into instream characteristics that were related to he likelihood of biological alteration (Figures</w:t>
      </w:r>
      <w:r>
        <w:t xml:space="preserve"> </w:t>
      </w:r>
      <w:r>
        <w:t xml:space="preserve">4</w:t>
      </w:r>
      <w:r>
        <w:t xml:space="preserve">,</w:t>
      </w:r>
      <w:r>
        <w:t xml:space="preserve"> </w:t>
      </w:r>
      <w:r>
        <w:t xml:space="preserve">5</w:t>
      </w:r>
      <w:r>
        <w:t xml:space="preserve">). About 69% of sites (n = 183) had greater than 50% likelihood of biological alteration from water chemistry stressors and 74% (n = 196) had greater than 50% likelihood of biological alteration from physical habitat stressors (Figure</w:t>
      </w:r>
      <w:r>
        <w:t xml:space="preserve"> </w:t>
      </w:r>
      <w:r>
        <w:t xml:space="preserve">4</w:t>
      </w:r>
      <w:r>
        <w:t xml:space="preserve">). Collectively, 89% (n = 237) of sites had greater than 50% likelihood of biological alteration from the overall stress of both chemistry and physical habitat stressors.</w:t>
      </w:r>
    </w:p>
    <w:p>
      <w:pPr>
        <w:pStyle w:val="BodyText"/>
      </w:pPr>
      <w:r>
        <w:t xml:space="preserve">Figure</w:t>
      </w:r>
      <w:r>
        <w:t xml:space="preserve"> </w:t>
      </w:r>
      <w:r>
        <w:t xml:space="preserve">5</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in each model (equations (1), (2)) not on the x-axis were held at approximate values that were associated with low stress to better understand how biological alteration may be related to each predictor. For water chemistry stressors, all were positively associated with likelihood of alteration, particularly conductiviity which had the steepest per unit increase in likelihood. Associations of biological alteration with physical habitat predictors were as expected, except that decreasesin likelihood of biological alteration were observed with increasein IPI and CRAM given that both are indicators of habitat condition. The strongest relationship was observed with increases in CRAM scores, where likelihood of alteration decreased sharply with CRAM scores greater than 50. Increases in IPI scores were also associated with decreases in likelihood of alteration except the relationship had more uncertainty than for CRAM scores.</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5" w:name="discussion"/>
      <w:r>
        <w:t xml:space="preserve">Discussion</w:t>
      </w:r>
      <w:bookmarkEnd w:id="35"/>
    </w:p>
    <w:p>
      <w:pPr>
        <w:pStyle w:val="FirstParagraph"/>
      </w:pPr>
      <w:r>
        <w:t xml:space="preserve">The Stream Quality Index fills a common need of watershed managers to synthesize large amounts of information when making decisions or communicating the technical basis for those decisions. This need is particularly important in regions like Southern California, where large-scale landscape alteration and competing demands for water usage creates a need for prioritization of limited resources. We have demonstrated how this index may be used to prioritize sites for restoration, protection, and other management activities on a large scale, allowing managers to recognize large-scale patterns that may not be evident if analyses were conducted on a site-by-site basis.</w:t>
      </w:r>
    </w:p>
    <w:p>
      <w:pPr>
        <w:pStyle w:val="BodyText"/>
      </w:pPr>
      <w:r>
        <w:t xml:space="preserve">Because our index was focused on assessing environmental health, a key challenge was reflecting relationships among indicators of stream quality consistent with our conceptual model of a healthy stream ecosystem. That is, it was crucial to combine biological, chemical, and habitat indicators in a way that properly reflects the role of biology as a direct measure of condition, and the role of other indicators as measures of stress. Importantly, a finding of good water chemistry should not obscure or distort an indication of poor biology, and vice versa. We determined that a categorical approach was an appropriate way to address this concern, as a simple quantitative index that treats each indicator as independent lines of evidence could not effectively characterize situations where these indicators disagreed — a common situation in our data set. [Something about SQOs here?]</w:t>
      </w:r>
    </w:p>
    <w:p>
      <w:pPr>
        <w:pStyle w:val="BodyText"/>
      </w:pPr>
      <w:r>
        <w:t xml:space="preserve">As a categorical index, the SQI provides a readily interpretable description of stream conditions. The four classes defined by the index (i.e., healthy and unstressed, healthy and resilient, impacted and stressed, impacted by unknown stress) can be understood by a general audience with little familiarity with the underlying data or the tools used to analyze them. In contrast, numeric indices demand a higher level of experience to interpret; without training, an unfamiliar audience cannot easily identify which values of a numeric index correspond to conditions requiring protection and which correspond to problems requiring intervention. [Although categorical indices create challenges for assessing trends or identifying borderline conditions, we have addressed this by XYZ .]</w:t>
      </w:r>
    </w:p>
    <w:p>
      <w:pPr>
        <w:pStyle w:val="BodyText"/>
      </w:pPr>
      <w:r>
        <w:t xml:space="preserve">The SQI addresses the challenge of synthesizing large amounts of information about stream condition while preserving the components and presenting them for more detailed exploration. The index is structured in layers, allowing interested users to explore reasons for categorical classificaton of each site. That is, users can determine which biological indicators account for a stream’s health rating, along with which stressors may or not be associated with biological condition. Users can identify presence or absence of physical and/or chemical stressors and which components in equations (1) and</w:t>
      </w:r>
      <w:r>
        <w:t xml:space="preserve"> </w:t>
      </w:r>
      <w:r>
        <w:t xml:space="preserve">??</w:t>
      </w:r>
      <w:r>
        <w:t xml:space="preserve"> </w:t>
      </w:r>
      <w:r>
        <w:t xml:space="preserve">may be linked to their respective stressor categories. Further, physical habitat measures described by CRAM and IPI include additional metrics that were used to calculate scores at each site. Although these metrics were not explicit components in the empirical models of the SQI, they serve as additional diagnostic information to describe physical conditions at each site.</w:t>
      </w:r>
    </w:p>
    <w:p>
      <w:pPr>
        <w:pStyle w:val="BodyText"/>
      </w:pPr>
      <w:r>
        <w:t xml:space="preserve">Our approach to characterizing stressors differs from similar efforts, making the SQI well suited for use with ambient monitoring programs. The Canadian Water Quality Index (CWQI,</w:t>
      </w:r>
      <w:r>
        <w:t xml:space="preserve"> </w:t>
      </w:r>
      <w:r>
        <w:t xml:space="preserve">CCME (Canadian Council of Ministers of the Environment) (</w:t>
      </w:r>
      <w:hyperlink w:anchor="ref-CCME01">
        <w:r>
          <w:rPr>
            <w:rStyle w:val="Hyperlink"/>
          </w:rPr>
          <w:t xml:space="preserve">2001</w:t>
        </w:r>
      </w:hyperlink>
      <w:r>
        <w:t xml:space="preserve">)</w:t>
      </w:r>
      <w:r>
        <w:t xml:space="preserve">) is a similar tool that evaluates the scope, frequency, and amplitude of water quality objective exceedances for numerous parameters, resulting in a numeric value that ranges from 0 (poor) to 100 (excellent). This approach is appropriate for assessing compliance with regulatory criteria at sites where monitoring covers many parameters and occurs at regular intervals (i.e., at selected sites of interest, such as below discharge points or at mass-emission stations). In contrast, the SQI is better suited for ambient monitoring programs (e.g., the SMC,</w:t>
      </w:r>
      <w:r>
        <w:t xml:space="preserve"> </w:t>
      </w:r>
      <w:r>
        <w:t xml:space="preserve">Mazor (</w:t>
      </w:r>
      <w:hyperlink w:anchor="ref-Mazor15">
        <w:r>
          <w:rPr>
            <w:rStyle w:val="Hyperlink"/>
          </w:rPr>
          <w:t xml:space="preserve">2015</w:t>
        </w:r>
      </w:hyperlink>
      <w:r>
        <w:t xml:space="preserve">)</w:t>
      </w:r>
      <w:r>
        <w:t xml:space="preserve">, or the National Rivers and Streams Assessment,</w:t>
      </w:r>
      <w:r>
        <w:t xml:space="preserve"> </w:t>
      </w:r>
      <w:r>
        <w:t xml:space="preserve">USEPA (US Environmental Protection Agency) (</w:t>
      </w:r>
      <w:hyperlink w:anchor="ref-USEPA16">
        <w:r>
          <w:rPr>
            <w:rStyle w:val="Hyperlink"/>
          </w:rPr>
          <w:t xml:space="preserve">2016</w:t>
        </w:r>
      </w:hyperlink>
      <w:r>
        <w:t xml:space="preserve">)</w:t>
      </w:r>
      <w:r>
        <w:t xml:space="preserve">) that typically sample many sites with little or no replication and focusing on just a few indicators broadly indicative of water chemistry conditions rather than a large suite of potential stressors. Our approach is also applicable to indicators where thresholds are unavailable (e.g., CRAM or IPI), yet the relevance for measuring aquatic life supportis maintained even if it has less bearing on regulatory compliance than other approaches, such as the CWQI. Finally, our approach can be directly interpreted without familiarity of established benchmarks because the empirical stress models inthe SQI are expressed as probabilities of degrading biological condition, rather than abstract numbers.</w:t>
      </w:r>
    </w:p>
    <w:p>
      <w:pPr>
        <w:pStyle w:val="BodyText"/>
      </w:pPr>
      <w:r>
        <w:t xml:space="preserve">Our theoretical framework for the SQI is not without drawbacks. The index currently cannot accommodate additional or fewer indicators of stress or stream condition. This differs from the CWQI that can include any number of available parameters. Missing data (e.g., lost samples or incomplte coverage of required data at a site) prevents calculation of the SQI and the index cannot be estimated without recalibration to include or exclude individual components. The initial SQI described herein was purposefully restricted to a limited number of parameters to focus on developing the foundation of the index, knowing that a broader scope could preclude many sites from analysis. For example, CSCI and ASCI scores for the biological components of the SQI are available at over 1000 sites in southern California. Combining these data with the required chemical and physical stressor data reduced the total dataset where all components were available to only 266 sites. Additional work on the SQI should explore how the categorical descriptions can be provided in the absence of all the necessary components. For example, missing IPI data could be replaced with a mean value appropriate for the region so as not to bias the outcome, whereas the effect of this estimation should be explicitly demonstrated as a component of uncertainty in the final SQI output. Similarly, a mechanism for adding additional components to the SQI that are not currently included should be explored.</w:t>
      </w:r>
    </w:p>
    <w:p>
      <w:pPr>
        <w:pStyle w:val="Heading2"/>
      </w:pPr>
      <w:bookmarkStart w:id="36" w:name="the-sqi-web-application"/>
      <w:r>
        <w:t xml:space="preserve">The SQI web application</w:t>
      </w:r>
      <w:bookmarkEnd w:id="36"/>
    </w:p>
    <w:p>
      <w:pPr>
        <w:pStyle w:val="FirstParagraph"/>
      </w:pPr>
      <w:r>
        <w:t xml:space="preserve">A web application was developed to make the SQI accessible to managers and other stakeholders (</w:t>
      </w:r>
      <w:hyperlink r:id="rId37">
        <w:r>
          <w:rPr>
            <w:rStyle w:val="Hyperlink"/>
          </w:rPr>
          <w:t xml:space="preserve">https://sccwrp.shinyapps.io/sqi_shiny</w:t>
        </w:r>
      </w:hyperlink>
      <w:r>
        <w:t xml:space="preserve">). First, the web interface uses an open source software program developed in R</w:t>
      </w:r>
      <w:r>
        <w:t xml:space="preserve"> </w:t>
      </w:r>
      <w:r>
        <w:t xml:space="preserve">(Chang et al.</w:t>
      </w:r>
      <w:r>
        <w:t xml:space="preserve"> </w:t>
      </w:r>
      <w:hyperlink w:anchor="ref-Chang18">
        <w:r>
          <w:rPr>
            <w:rStyle w:val="Hyperlink"/>
          </w:rPr>
          <w:t xml:space="preserve">2018</w:t>
        </w:r>
      </w:hyperlink>
      <w:r>
        <w:t xml:space="preserve">; RDCT (R Development Core Team)</w:t>
      </w:r>
      <w:r>
        <w:t xml:space="preserve"> </w:t>
      </w:r>
      <w:hyperlink w:anchor="ref-RDCT18">
        <w:r>
          <w:rPr>
            <w:rStyle w:val="Hyperlink"/>
          </w:rPr>
          <w:t xml:space="preserve">2018</w:t>
        </w:r>
      </w:hyperlink>
      <w:r>
        <w:t xml:space="preserve">)</w:t>
      </w:r>
      <w:r>
        <w:t xml:space="preserve"> </w:t>
      </w:r>
      <w:r>
        <w:t xml:space="preserve">to automate batch calculation of the SQI at large numbers of sites</w:t>
      </w:r>
      <w:r>
        <w:t xml:space="preserve"> </w:t>
      </w:r>
      <w:r>
        <w:t xml:space="preserve">(Beck and Mazor</w:t>
      </w:r>
      <w:r>
        <w:t xml:space="preserve"> </w:t>
      </w:r>
      <w:hyperlink w:anchor="ref-Beck18f">
        <w:r>
          <w:rPr>
            <w:rStyle w:val="Hyperlink"/>
          </w:rPr>
          <w:t xml:space="preserve">2018</w:t>
        </w:r>
      </w:hyperlink>
      <w:r>
        <w:t xml:space="preserve">)</w:t>
      </w:r>
      <w:r>
        <w:t xml:space="preserve">. This allows the index and web application to be easily updated as new data become avialable. Second, visualizations also support exploration of the data at both regional and site scales, improving flexibility of application by allowing users to explore results in different spatial contexts. Scores for each index component are provided, with the option to view the underlying data that were used for the empirical stress models and categorical outcomes. A map allows comparison of sites of interest to the region as a whole, as well as county- or watershed-level summaries.</w:t>
      </w:r>
    </w:p>
    <w:p>
      <w:pPr>
        <w:pStyle w:val="BodyText"/>
      </w:pPr>
      <w:r>
        <w:t xml:space="preserve">As an example, a selected site in eastern San Diego county is shown to have healthy biological conditions (i.e., unimpacted benthic macroninvertebrate and algal communities), whereas stress data suggest presence of physical or chemical habitat degradtation (i.e., overall SQI category is healthy and resilient). If additional details are needed, exploration of components of the web application allow the user to identify the presence of different stressors. For the selected site, only physical stress was observed and unusually high levels of sands and fines as one component of the overall physical stress measure was observed, relative to the other stress measures that were comparable to ranges observed for the region. With this information, managers can prioritize follow-up actions to identify causes of elevated sands and fines, e.g., wildfire, bank erosion, or other sources, and any additional management actions that can result from this information, e.g., formal causal analysis or site restoration. As such,the web application provides a screening tool to rapidly assess condition and identify potential stresors that may be impacting condition. Without this interactive tool, priorities are more difficult to identify as managers and stakeholders must rely on less intuitive research products (e.g., tabular data).</w:t>
      </w:r>
    </w:p>
    <w:p>
      <w:pPr>
        <w:pStyle w:val="Heading2"/>
      </w:pPr>
      <w:bookmarkStart w:id="38" w:name="conclusions"/>
      <w:r>
        <w:t xml:space="preserve">Conclusions</w:t>
      </w:r>
      <w:bookmarkEnd w:id="38"/>
    </w:p>
    <w:p>
      <w:pPr>
        <w:pStyle w:val="FirstParagraph"/>
      </w:pPr>
      <w:r>
        <w:t xml:space="preserve">An integrated stream quality index has the potential to transform watershed management by giving managers a tool to synthesize large amounts of data, assign priorities based on this synthesis, and communicate these decisions to a broad range of stakeholders who may lack familiarity with bioassessment or watershed science. The index preserves our understanding of the roles of different indicators in describing stream health, combining them into a single, easily understood category, while also preserving the information contributing to the integrated assessment. An integrated stream quality index could be used to communicate information in both technical and non-technical venues, such as watershed assessments, permit reporting requirements, and routine environmental report cards.</w:t>
      </w:r>
    </w:p>
    <w:p>
      <w:pPr>
        <w:pStyle w:val="Heading1"/>
      </w:pPr>
      <w:bookmarkStart w:id="39" w:name="figures"/>
      <w:r>
        <w:t xml:space="preserve">Figures</w:t>
      </w:r>
      <w:bookmarkEnd w:id="39"/>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40"/>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41"/>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4125112" cy="4583458"/>
            <wp:effectExtent b="0" l="0" r="0" t="0"/>
            <wp:docPr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43"/>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4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4457700"/>
            <wp:effectExtent b="0" l="0" r="0" t="0"/>
            <wp:docPr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4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45" w:name="tables"/>
      <w:r>
        <w:t xml:space="preserve">Tables</w:t>
      </w:r>
      <w:bookmarkEnd w:id="45"/>
    </w:p>
    <w:p>
      <w:pPr>
        <w:pStyle w:val="TableCaption"/>
      </w:pPr>
      <w:r>
        <w:t xml:space="preserve">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w:t>
      </w:r>
    </w:p>
    <w:tbl>
      <w:tblPr>
        <w:tblStyle w:val="Table"/>
        <w:tblW w:type="pct" w:w="0.0"/>
        <w:tblLook w:firstRow="1"/>
        <w:tblCaption w:val="Table 1 Combined biological condition categories for the benthic macroinvertebrate (BMI) and algal indices. The combined categories were used to model the likelihood of biological alteration given observed physical and chemical habitat stressors. Sites with combined categories greater than zero were considered biologically healthy and those less than or equal to zero were considered biologically impacted (i.e., response variable in equations (1) and (2)). Individual biological categories for the BMI and algal indices were based on percentile distributions of scores at reference sites, i.e., 1st, 10th, and 30th percentiles. The scores associated with the percentiles for each index (CSCI, ASCI) are in parenthes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Algae ref 1: (ASCI &gt; 0.93)</w:t>
            </w:r>
          </w:p>
        </w:tc>
        <w:tc>
          <w:tcPr>
            <w:tcBorders>
              <w:bottom w:val="single"/>
            </w:tcBorders>
            <w:vAlign w:val="bottom"/>
          </w:tcPr>
          <w:p>
            <w:pPr>
              <w:pStyle w:val="Compact"/>
              <w:jc w:val="right"/>
            </w:pPr>
            <w:r>
              <w:t xml:space="preserve">Algae ref 2: (ASCI 0.83 - 0.93)</w:t>
            </w:r>
          </w:p>
        </w:tc>
        <w:tc>
          <w:tcPr>
            <w:tcBorders>
              <w:bottom w:val="single"/>
            </w:tcBorders>
            <w:vAlign w:val="bottom"/>
          </w:tcPr>
          <w:p>
            <w:pPr>
              <w:pStyle w:val="Compact"/>
              <w:jc w:val="right"/>
            </w:pPr>
            <w:r>
              <w:t xml:space="preserve">Algae ref 3: (ASCI 0.70 - 0.83)</w:t>
            </w:r>
          </w:p>
        </w:tc>
        <w:tc>
          <w:tcPr>
            <w:tcBorders>
              <w:bottom w:val="single"/>
            </w:tcBorders>
            <w:vAlign w:val="bottom"/>
          </w:tcPr>
          <w:p>
            <w:pPr>
              <w:pStyle w:val="Compact"/>
              <w:jc w:val="right"/>
            </w:pPr>
            <w:r>
              <w:t xml:space="preserve">Algae ref 4: (ASCI &lt; 0.70</w:t>
            </w:r>
          </w:p>
        </w:tc>
      </w:tr>
      <w:tr>
        <w:tc>
          <w:p>
            <w:pPr>
              <w:pStyle w:val="Compact"/>
              <w:jc w:val="left"/>
            </w:pPr>
            <w:r>
              <w:t xml:space="preserve">BMI ref 1: (CSCI &gt; 0.92)</w:t>
            </w:r>
          </w:p>
        </w:tc>
        <w:tc>
          <w:p>
            <w:pPr>
              <w:pStyle w:val="Compact"/>
              <w:jc w:val="right"/>
            </w:pPr>
            <w:r>
              <w:t xml:space="preserve">4</w:t>
            </w:r>
          </w:p>
        </w:tc>
        <w:tc>
          <w:p>
            <w:pPr>
              <w:pStyle w:val="Compact"/>
              <w:jc w:val="right"/>
            </w:pPr>
            <w:r>
              <w:t xml:space="preserve">1</w:t>
            </w:r>
          </w:p>
        </w:tc>
        <w:tc>
          <w:p>
            <w:pPr>
              <w:pStyle w:val="Compact"/>
              <w:jc w:val="right"/>
            </w:pPr>
            <w:r>
              <w:t xml:space="preserve">0</w:t>
            </w:r>
          </w:p>
        </w:tc>
        <w:tc>
          <w:p>
            <w:pPr>
              <w:pStyle w:val="Compact"/>
              <w:jc w:val="right"/>
            </w:pPr>
            <w:r>
              <w:t xml:space="preserve">-1</w:t>
            </w:r>
          </w:p>
        </w:tc>
      </w:tr>
      <w:tr>
        <w:tc>
          <w:p>
            <w:pPr>
              <w:pStyle w:val="Compact"/>
              <w:jc w:val="left"/>
            </w:pPr>
            <w:r>
              <w:t xml:space="preserve">BMI ref 2: (CSCI 0.79 - 0.92)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left"/>
            </w:pPr>
            <w:r>
              <w:t xml:space="preserve">BMI ref 3: (CSCI 0.63 - 0.79)</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left"/>
            </w:pPr>
            <w:r>
              <w:t xml:space="preserve">BMI ref 4: (CSCI &lt; 0.63)</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-4</w:t>
            </w:r>
          </w:p>
        </w:tc>
      </w:tr>
    </w:tbl>
    <w:p>
      <w:pPr>
        <w:pStyle w:val="TableCaption"/>
      </w:pPr>
      <w:r>
        <w:t xml:space="preserve">Table 2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2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54 (20.3)</w:t>
            </w:r>
          </w:p>
        </w:tc>
      </w:tr>
      <w:tr>
        <w:tc>
          <w:p/>
        </w:tc>
        <w:tc>
          <w:p>
            <w:pPr>
              <w:pStyle w:val="Compact"/>
              <w:jc w:val="left"/>
            </w:pPr>
            <w:r>
              <w:t xml:space="preserve">Healthy and resilient</w:t>
            </w:r>
          </w:p>
        </w:tc>
        <w:tc>
          <w:p>
            <w:pPr>
              <w:pStyle w:val="Compact"/>
              <w:jc w:val="left"/>
            </w:pPr>
            <w:r>
              <w:t xml:space="preserve">6 (2.3)</w:t>
            </w:r>
          </w:p>
        </w:tc>
      </w:tr>
      <w:tr>
        <w:tc>
          <w:p/>
        </w:tc>
        <w:tc>
          <w:p>
            <w:pPr>
              <w:pStyle w:val="Compact"/>
              <w:jc w:val="left"/>
            </w:pPr>
            <w:r>
              <w:t xml:space="preserve">Impacted and stressed</w:t>
            </w:r>
          </w:p>
        </w:tc>
        <w:tc>
          <w:p>
            <w:pPr>
              <w:pStyle w:val="Compact"/>
              <w:jc w:val="left"/>
            </w:pPr>
            <w:r>
              <w:t xml:space="preserve">171 (64.3)</w:t>
            </w:r>
          </w:p>
        </w:tc>
      </w:tr>
      <w:tr>
        <w:tc>
          <w:p/>
        </w:tc>
        <w:tc>
          <w:p>
            <w:pPr>
              <w:pStyle w:val="Compact"/>
              <w:jc w:val="left"/>
            </w:pPr>
            <w:r>
              <w:t xml:space="preserve">Impacted by unknown stress</w:t>
            </w:r>
          </w:p>
        </w:tc>
        <w:tc>
          <w:p>
            <w:pPr>
              <w:pStyle w:val="Compact"/>
              <w:jc w:val="left"/>
            </w:pPr>
            <w:r>
              <w:t xml:space="preserve">35 (13.2)</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60 (22.6)</w:t>
            </w:r>
          </w:p>
        </w:tc>
      </w:tr>
      <w:tr>
        <w:tc>
          <w:p/>
        </w:tc>
        <w:tc>
          <w:p>
            <w:pPr>
              <w:pStyle w:val="Compact"/>
              <w:jc w:val="left"/>
            </w:pPr>
            <w:r>
              <w:t xml:space="preserve">Impacted for ASCI</w:t>
            </w:r>
          </w:p>
        </w:tc>
        <w:tc>
          <w:p>
            <w:pPr>
              <w:pStyle w:val="Compact"/>
              <w:jc w:val="left"/>
            </w:pPr>
            <w:r>
              <w:t xml:space="preserve">43 (16.2)</w:t>
            </w:r>
          </w:p>
        </w:tc>
      </w:tr>
      <w:tr>
        <w:tc>
          <w:p/>
        </w:tc>
        <w:tc>
          <w:p>
            <w:pPr>
              <w:pStyle w:val="Compact"/>
              <w:jc w:val="left"/>
            </w:pPr>
            <w:r>
              <w:t xml:space="preserve">Impacted for CSCI</w:t>
            </w:r>
          </w:p>
        </w:tc>
        <w:tc>
          <w:p>
            <w:pPr>
              <w:pStyle w:val="Compact"/>
              <w:jc w:val="left"/>
            </w:pPr>
            <w:r>
              <w:t xml:space="preserve">29 (10.9)</w:t>
            </w:r>
          </w:p>
        </w:tc>
      </w:tr>
      <w:tr>
        <w:tc>
          <w:p/>
        </w:tc>
        <w:tc>
          <w:p>
            <w:pPr>
              <w:pStyle w:val="Compact"/>
              <w:jc w:val="left"/>
            </w:pPr>
            <w:r>
              <w:t xml:space="preserve">Impacted for CSCI and ASCI</w:t>
            </w:r>
          </w:p>
        </w:tc>
        <w:tc>
          <w:p>
            <w:pPr>
              <w:pStyle w:val="Compact"/>
              <w:jc w:val="left"/>
            </w:pPr>
            <w:r>
              <w:t xml:space="preserve">134 (50.4)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122 (45.9)</w:t>
            </w:r>
          </w:p>
        </w:tc>
      </w:tr>
      <w:tr>
        <w:tc>
          <w:p/>
        </w:tc>
        <w:tc>
          <w:p>
            <w:pPr>
              <w:pStyle w:val="Compact"/>
              <w:jc w:val="left"/>
            </w:pPr>
            <w:r>
              <w:t xml:space="preserve">Stressed by chemistry and habitat degradation</w:t>
            </w:r>
          </w:p>
        </w:tc>
        <w:tc>
          <w:p>
            <w:pPr>
              <w:pStyle w:val="Compact"/>
              <w:jc w:val="left"/>
            </w:pPr>
            <w:r>
              <w:t xml:space="preserve">93 (35)</w:t>
            </w:r>
          </w:p>
        </w:tc>
      </w:tr>
      <w:tr>
        <w:tc>
          <w:p/>
        </w:tc>
        <w:tc>
          <w:p>
            <w:pPr>
              <w:pStyle w:val="Compact"/>
              <w:jc w:val="left"/>
            </w:pPr>
            <w:r>
              <w:t xml:space="preserve">Stressed by chemistry degradation</w:t>
            </w:r>
          </w:p>
        </w:tc>
        <w:tc>
          <w:p>
            <w:pPr>
              <w:pStyle w:val="Compact"/>
              <w:jc w:val="left"/>
            </w:pPr>
            <w:r>
              <w:t xml:space="preserve">32 (12)</w:t>
            </w:r>
          </w:p>
        </w:tc>
      </w:tr>
      <w:tr>
        <w:tc>
          <w:p/>
        </w:tc>
        <w:tc>
          <w:p>
            <w:pPr>
              <w:pStyle w:val="Compact"/>
              <w:jc w:val="left"/>
            </w:pPr>
            <w:r>
              <w:t xml:space="preserve">Stressed by habitat degradation</w:t>
            </w:r>
          </w:p>
        </w:tc>
        <w:tc>
          <w:p>
            <w:pPr>
              <w:pStyle w:val="Compact"/>
              <w:jc w:val="left"/>
            </w:pPr>
            <w:r>
              <w:t xml:space="preserve">19 (7.1)</w:t>
            </w:r>
          </w:p>
        </w:tc>
      </w:tr>
    </w:tbl>
    <w:p>
      <w:pPr>
        <w:pStyle w:val="Heading1"/>
      </w:pPr>
      <w:bookmarkStart w:id="46" w:name="references"/>
      <w:r>
        <w:t xml:space="preserve">References</w:t>
      </w:r>
      <w:bookmarkEnd w:id="46"/>
    </w:p>
    <w:bookmarkStart w:id="77" w:name="refs"/>
    <w:bookmarkStart w:id="48" w:name="ref-Beck18f"/>
    <w:p>
      <w:pPr>
        <w:pStyle w:val="Bibliography"/>
      </w:pPr>
      <w:r>
        <w:t xml:space="preserve">Beck, M. W., and R. D. Mazor. 2018. “SCCWRP/SQI: v1.2.0 (Version 1.2.0). Zenodo,</w:t>
      </w:r>
      <w:r>
        <w:t xml:space="preserve"> </w:t>
      </w:r>
      <w:hyperlink r:id="rId47">
        <w:r>
          <w:rPr>
            <w:rStyle w:val="Hyperlink"/>
          </w:rPr>
          <w:t xml:space="preserve">http://doi.org/10.5281/zenodo.2587212</w:t>
        </w:r>
      </w:hyperlink>
      <w:r>
        <w:t xml:space="preserve">.”</w:t>
      </w:r>
    </w:p>
    <w:bookmarkEnd w:id="48"/>
    <w:bookmarkStart w:id="50"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 566–85.</w:t>
      </w:r>
      <w:r>
        <w:t xml:space="preserve"> </w:t>
      </w:r>
      <w:hyperlink r:id="rId49">
        <w:r>
          <w:rPr>
            <w:rStyle w:val="Hyperlink"/>
          </w:rPr>
          <w:t xml:space="preserve">https://doi.org/10.1899/06-078.1</w:t>
        </w:r>
      </w:hyperlink>
      <w:r>
        <w:t xml:space="preserve">.</w:t>
      </w:r>
    </w:p>
    <w:bookmarkEnd w:id="50"/>
    <w:bookmarkStart w:id="51" w:name="ref-CCME01"/>
    <w:p>
      <w:pPr>
        <w:pStyle w:val="Bibliography"/>
      </w:pPr>
      <w:r>
        <w:t xml:space="preserve">CCME (Canadian Council of Ministers of the Environment). 2001. “Canadian water quality guidelines for the protection of aquatic life: CCME Water Quality Index 1.0, Technical Report. In: Canadian environmental quality guidelines.” Winnipeg, Manitoba: Canadian Council of Ministers of the Environment.</w:t>
      </w:r>
    </w:p>
    <w:bookmarkEnd w:id="51"/>
    <w:bookmarkStart w:id="53"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2">
        <w:r>
          <w:rPr>
            <w:rStyle w:val="Hyperlink"/>
          </w:rPr>
          <w:t xml:space="preserve">https://CRAN.R-project.org/package=shiny</w:t>
        </w:r>
      </w:hyperlink>
      <w:r>
        <w:t xml:space="preserve">.</w:t>
      </w:r>
    </w:p>
    <w:bookmarkEnd w:id="53"/>
    <w:bookmarkStart w:id="55"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54">
        <w:r>
          <w:rPr>
            <w:rStyle w:val="Hyperlink"/>
          </w:rPr>
          <w:t xml:space="preserve">\url{http://www.cramwetlands.org/documents/}</w:t>
        </w:r>
      </w:hyperlink>
      <w:r>
        <w:t xml:space="preserve">.</w:t>
      </w:r>
    </w:p>
    <w:bookmarkEnd w:id="55"/>
    <w:bookmarkStart w:id="56" w:name="ref-Fox11"/>
    <w:p>
      <w:pPr>
        <w:pStyle w:val="Bibliography"/>
      </w:pPr>
      <w:r>
        <w:t xml:space="preserve">Fox, J., and S. Weisberg. 2011.</w:t>
      </w:r>
      <w:r>
        <w:t xml:space="preserve"> </w:t>
      </w:r>
      <w:r>
        <w:rPr>
          <w:i/>
        </w:rPr>
        <w:t xml:space="preserve">An R Companion to Applied Regression</w:t>
      </w:r>
      <w:r>
        <w:t xml:space="preserve">. Thousand Oaks, California: SAGE Publications Inc.</w:t>
      </w:r>
    </w:p>
    <w:bookmarkEnd w:id="56"/>
    <w:bookmarkStart w:id="57" w:name="ref-Mazor15"/>
    <w:p>
      <w:pPr>
        <w:pStyle w:val="Bibliography"/>
      </w:pPr>
      <w:r>
        <w:t xml:space="preserve">Mazor, R. D. 2015. “Bioassessment of Perennial Streams in Southern California: A Report on the First Five Years of the Stormwater Monitoring Coalition’s Regional Stream Survey.” 844. Costa Mesa, California: Southern California Coastal Water Research Project.</w:t>
      </w:r>
    </w:p>
    <w:bookmarkEnd w:id="57"/>
    <w:bookmarkStart w:id="58"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bookmarkEnd w:id="58"/>
    <w:bookmarkStart w:id="60"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 41–52.</w:t>
      </w:r>
      <w:r>
        <w:t xml:space="preserve"> </w:t>
      </w:r>
      <w:hyperlink r:id="rId59">
        <w:r>
          <w:rPr>
            <w:rStyle w:val="Hyperlink"/>
          </w:rPr>
          <w:t xml:space="preserve">https://doi.org/10.1111/j.1365-2427.1987.tb01027.x</w:t>
        </w:r>
      </w:hyperlink>
      <w:r>
        <w:t xml:space="preserve">.</w:t>
      </w:r>
    </w:p>
    <w:bookmarkEnd w:id="60"/>
    <w:bookmarkStart w:id="61"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61"/>
    <w:bookmarkStart w:id="63" w:name="ref-Pan02"/>
    <w:p>
      <w:pPr>
        <w:pStyle w:val="Bibliography"/>
      </w:pPr>
      <w:r>
        <w:t xml:space="preserve">Pan, Y., R. J. Stevenson, B. H. Hill, P. R. Kaufmann, and A. T. Herlihy. 2002. “Spatial Patterns and Ecological Determinants of Benthic Algal Assemblages in Mid-Atlantic Streams, USA.”</w:t>
      </w:r>
      <w:r>
        <w:t xml:space="preserve"> </w:t>
      </w:r>
      <w:r>
        <w:rPr>
          <w:i/>
        </w:rPr>
        <w:t xml:space="preserve">Journal of Phycology</w:t>
      </w:r>
      <w:r>
        <w:t xml:space="preserve"> </w:t>
      </w:r>
      <w:r>
        <w:t xml:space="preserve">35 (3): 460–68.</w:t>
      </w:r>
      <w:r>
        <w:t xml:space="preserve"> </w:t>
      </w:r>
      <w:hyperlink r:id="rId62">
        <w:r>
          <w:rPr>
            <w:rStyle w:val="Hyperlink"/>
          </w:rPr>
          <w:t xml:space="preserve">https://doi.org/10.1046/j.1529-8817.1999.3530460.x</w:t>
        </w:r>
      </w:hyperlink>
      <w:r>
        <w:t xml:space="preserve">.</w:t>
      </w:r>
    </w:p>
    <w:bookmarkEnd w:id="63"/>
    <w:bookmarkStart w:id="64" w:name="ref-RDCT18"/>
    <w:p>
      <w:pPr>
        <w:pStyle w:val="Bibliography"/>
      </w:pPr>
      <w:r>
        <w:t xml:space="preserve">RDCT (R Development Core Team). 2018. “R: A language and environment for statistical computing, v3.5.1. R Foundation for Statistical Computing, Vienna, Austria.”</w:t>
      </w:r>
    </w:p>
    <w:bookmarkEnd w:id="64"/>
    <w:bookmarkStart w:id="66"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65">
        <w:r>
          <w:rPr>
            <w:rStyle w:val="Hyperlink"/>
          </w:rPr>
          <w:t xml:space="preserve">https://www.waterboards.ca.gov/water_issues/programs/swamp/bioassessment/docs/physical_habitat_index_technical_memo.pdf</w:t>
        </w:r>
      </w:hyperlink>
      <w:r>
        <w:t xml:space="preserve">.</w:t>
      </w:r>
    </w:p>
    <w:bookmarkEnd w:id="66"/>
    <w:bookmarkStart w:id="68" w:name="ref-Richards97"/>
    <w:p>
      <w:pPr>
        <w:pStyle w:val="Bibliography"/>
      </w:pPr>
      <w:r>
        <w:t xml:space="preserve">Richards, C., R. Haro, L. Johnson, and G. Host. 1997. “Catchment and Reach-Scale Properties as Indicators of Macroinvertebrate Species Traits.”</w:t>
      </w:r>
      <w:r>
        <w:t xml:space="preserve"> </w:t>
      </w:r>
      <w:r>
        <w:rPr>
          <w:i/>
        </w:rPr>
        <w:t xml:space="preserve">Freshwater Biology</w:t>
      </w:r>
      <w:r>
        <w:t xml:space="preserve"> </w:t>
      </w:r>
      <w:r>
        <w:t xml:space="preserve">37 (1): 219–30.</w:t>
      </w:r>
      <w:r>
        <w:t xml:space="preserve"> </w:t>
      </w:r>
      <w:hyperlink r:id="rId67">
        <w:r>
          <w:rPr>
            <w:rStyle w:val="Hyperlink"/>
          </w:rPr>
          <w:t xml:space="preserve">https://doi.org/10.1046/j.1365-2427.1997.d01-540.x</w:t>
        </w:r>
      </w:hyperlink>
      <w:r>
        <w:t xml:space="preserve">.</w:t>
      </w:r>
    </w:p>
    <w:bookmarkEnd w:id="68"/>
    <w:bookmarkStart w:id="70"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 459–74.</w:t>
      </w:r>
      <w:r>
        <w:t xml:space="preserve"> </w:t>
      </w:r>
      <w:hyperlink r:id="rId69">
        <w:r>
          <w:rPr>
            <w:rStyle w:val="Hyperlink"/>
          </w:rPr>
          <w:t xml:space="preserve">https://doi.org/10.1007/s11273-011-9230-6</w:t>
        </w:r>
      </w:hyperlink>
      <w:r>
        <w:t xml:space="preserve">.</w:t>
      </w:r>
    </w:p>
    <w:bookmarkEnd w:id="70"/>
    <w:bookmarkStart w:id="7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 1267–76.</w:t>
      </w:r>
      <w:r>
        <w:t xml:space="preserve"> </w:t>
      </w:r>
      <w:hyperlink r:id="rId71">
        <w:r>
          <w:rPr>
            <w:rStyle w:val="Hyperlink"/>
          </w:rPr>
          <w:t xml:space="preserve">https://doi.org/10.1890/1051-0761(2006)016[1267:SEFTEC]2.0.CO;2</w:t>
        </w:r>
      </w:hyperlink>
      <w:r>
        <w:t xml:space="preserve">.</w:t>
      </w:r>
    </w:p>
    <w:bookmarkEnd w:id="72"/>
    <w:bookmarkStart w:id="73"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73"/>
    <w:bookmarkStart w:id="74" w:name="ref-USEPA16"/>
    <w:p>
      <w:pPr>
        <w:pStyle w:val="Bibliography"/>
      </w:pPr>
      <w:r>
        <w:t xml:space="preserve">USEPA (US Environmental Protection Agency). 2016. “National Rivers and Streams Assessment 2008-2009: A Collaborative Survey.” EPA-841-R-16-007. Washington, DC.</w:t>
      </w:r>
    </w:p>
    <w:bookmarkEnd w:id="74"/>
    <w:bookmarkStart w:id="76" w:name="ref-Wang07"/>
    <w:p>
      <w:pPr>
        <w:pStyle w:val="Bibliography"/>
      </w:pPr>
      <w:r>
        <w:t xml:space="preserve">Wang, L. Z., D. M. Robertson, and P. J. Garrison. 2007. “Linkages Between Nutrients and Assemblages of Macroinvertebrates and Fish in Wadeable Streams: Implication to Nutrient Criteria Development.”</w:t>
      </w:r>
      <w:r>
        <w:t xml:space="preserve"> </w:t>
      </w:r>
      <w:r>
        <w:rPr>
          <w:i/>
        </w:rPr>
        <w:t xml:space="preserve">Environmental Management</w:t>
      </w:r>
      <w:r>
        <w:t xml:space="preserve"> </w:t>
      </w:r>
      <w:r>
        <w:t xml:space="preserve">39 (2): 194–212.</w:t>
      </w:r>
      <w:r>
        <w:t xml:space="preserve"> </w:t>
      </w:r>
      <w:hyperlink r:id="rId75">
        <w:r>
          <w:rPr>
            <w:rStyle w:val="Hyperlink"/>
          </w:rPr>
          <w:t xml:space="preserve">https://doi.org/10.1007/s00267-006-0135-8</w:t>
        </w:r>
      </w:hyperlink>
      <w:r>
        <w:t xml:space="preserve">.</w:t>
      </w:r>
    </w:p>
    <w:bookmarkEnd w:id="76"/>
    <w:bookmarkEnd w:id="77"/>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4" Target="\url{http://www.cramwetlands.org/documents/}" TargetMode="External" /><Relationship Type="http://schemas.openxmlformats.org/officeDocument/2006/relationships/hyperlink" Id="rId47" Target="http://doi.org/10.5281/zenodo.2587212" TargetMode="External" /><Relationship Type="http://schemas.openxmlformats.org/officeDocument/2006/relationships/hyperlink" Id="rId52" Target="https://CRAN.R-project.org/package=shiny" TargetMode="External" /><Relationship Type="http://schemas.openxmlformats.org/officeDocument/2006/relationships/hyperlink" Id="rId75" Target="https://doi.org/10.1007/s00267-006-0135-8" TargetMode="External" /><Relationship Type="http://schemas.openxmlformats.org/officeDocument/2006/relationships/hyperlink" Id="rId69" Target="https://doi.org/10.1007/s11273-011-9230-6" TargetMode="External" /><Relationship Type="http://schemas.openxmlformats.org/officeDocument/2006/relationships/hyperlink" Id="rId67" Target="https://doi.org/10.1046/j.1365-2427.1997.d01-540.x" TargetMode="External" /><Relationship Type="http://schemas.openxmlformats.org/officeDocument/2006/relationships/hyperlink" Id="rId62" Target="https://doi.org/10.1046/j.1529-8817.1999.3530460.x" TargetMode="External" /><Relationship Type="http://schemas.openxmlformats.org/officeDocument/2006/relationships/hyperlink" Id="rId59" Target="https://doi.org/10.1111/j.1365-2427.1987.tb01027.x" TargetMode="External" /><Relationship Type="http://schemas.openxmlformats.org/officeDocument/2006/relationships/hyperlink" Id="rId71" Target="https://doi.org/10.1890/1051-0761(2006)016[1267:SEFTEC]2.0.CO;2" TargetMode="External" /><Relationship Type="http://schemas.openxmlformats.org/officeDocument/2006/relationships/hyperlink" Id="rId49" Target="https://doi.org/10.1899/06-078.1" TargetMode="External" /><Relationship Type="http://schemas.openxmlformats.org/officeDocument/2006/relationships/hyperlink" Id="rId37" Target="https://sccwrp.shinyapps.io/sqi_shiny" TargetMode="External" /><Relationship Type="http://schemas.openxmlformats.org/officeDocument/2006/relationships/hyperlink" Id="rId65"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54" Target="\url{http://www.cramwetlands.org/documents/}" TargetMode="External" /><Relationship Type="http://schemas.openxmlformats.org/officeDocument/2006/relationships/hyperlink" Id="rId47" Target="http://doi.org/10.5281/zenodo.2587212" TargetMode="External" /><Relationship Type="http://schemas.openxmlformats.org/officeDocument/2006/relationships/hyperlink" Id="rId52" Target="https://CRAN.R-project.org/package=shiny" TargetMode="External" /><Relationship Type="http://schemas.openxmlformats.org/officeDocument/2006/relationships/hyperlink" Id="rId75" Target="https://doi.org/10.1007/s00267-006-0135-8" TargetMode="External" /><Relationship Type="http://schemas.openxmlformats.org/officeDocument/2006/relationships/hyperlink" Id="rId69" Target="https://doi.org/10.1007/s11273-011-9230-6" TargetMode="External" /><Relationship Type="http://schemas.openxmlformats.org/officeDocument/2006/relationships/hyperlink" Id="rId67" Target="https://doi.org/10.1046/j.1365-2427.1997.d01-540.x" TargetMode="External" /><Relationship Type="http://schemas.openxmlformats.org/officeDocument/2006/relationships/hyperlink" Id="rId62" Target="https://doi.org/10.1046/j.1529-8817.1999.3530460.x" TargetMode="External" /><Relationship Type="http://schemas.openxmlformats.org/officeDocument/2006/relationships/hyperlink" Id="rId59" Target="https://doi.org/10.1111/j.1365-2427.1987.tb01027.x" TargetMode="External" /><Relationship Type="http://schemas.openxmlformats.org/officeDocument/2006/relationships/hyperlink" Id="rId71" Target="https://doi.org/10.1890/1051-0761(2006)016[1267:SEFTEC]2.0.CO;2" TargetMode="External" /><Relationship Type="http://schemas.openxmlformats.org/officeDocument/2006/relationships/hyperlink" Id="rId49" Target="https://doi.org/10.1899/06-078.1" TargetMode="External" /><Relationship Type="http://schemas.openxmlformats.org/officeDocument/2006/relationships/hyperlink" Id="rId37" Target="https://sccwrp.shinyapps.io/sqi_shiny" TargetMode="External" /><Relationship Type="http://schemas.openxmlformats.org/officeDocument/2006/relationships/hyperlink" Id="rId65"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Quality Index: A Multi-Indicator Tool For Enhancing Environmental Management Communication</dc:title>
  <dc:creator>Marcus W. Beck (marcusb@sccwrp.org), Raphael D. Mazor (raphaelm@sccwrp.org), Kenneth C. Schiff (kens@sccwrp.org</dc:creator>
  <cp:keywords/>
  <dcterms:created xsi:type="dcterms:W3CDTF">2019-03-07T23:44:14Z</dcterms:created>
  <dcterms:modified xsi:type="dcterms:W3CDTF">2019-03-07T23:44:14Z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