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4.png" ContentType="image/png"/>
  <Override PartName="/word/media/rId41.png" ContentType="image/png"/>
  <Override PartName="/word/media/rId40.png" ContentType="image/png"/>
  <Override PartName="/word/media/rId42.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Quality</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introduction"/>
      <w:r>
        <w:t xml:space="preserve">Introduction</w:t>
      </w:r>
      <w:bookmarkEnd w:id="23"/>
    </w:p>
    <w:p>
      <w:pPr>
        <w:pStyle w:val="Heading1"/>
      </w:pPr>
      <w:bookmarkStart w:id="24" w:name="methods"/>
      <w:r>
        <w:t xml:space="preserve">Methods</w:t>
      </w:r>
      <w:bookmarkEnd w:id="24"/>
    </w:p>
    <w:p>
      <w:pPr>
        <w:pStyle w:val="Heading2"/>
      </w:pPr>
      <w:bookmarkStart w:id="25" w:name="general-approach"/>
      <w:r>
        <w:t xml:space="preserve">General Approach</w:t>
      </w:r>
      <w:bookmarkEnd w:id="25"/>
    </w:p>
    <w:p>
      <w:pPr>
        <w:pStyle w:val="FirstParagraph"/>
      </w:pPr>
      <w:r>
        <w:t xml:space="preserve">The SQI is a conceptual approach to describing stream health that is based on a stressor-response relationship between biology and in-stream stressors (Figure</w:t>
      </w:r>
      <w:r>
        <w:t xml:space="preserve"> </w:t>
      </w:r>
      <w:r>
        <w:t xml:space="preserve">1</w:t>
      </w:r>
      <w:r>
        <w:t xml:space="preserve">).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We selected water chemistry stressors that are strongly associated with biological condition in perennial streams, namely nutrients and conductivity.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6" w:name="Xd71738c2a8536eb28edbc0077a20add097195e3"/>
      <w:r>
        <w:t xml:space="preserve">Biological response components of the SQI</w:t>
      </w:r>
      <w:bookmarkEnd w:id="26"/>
    </w:p>
    <w:p>
      <w:pPr>
        <w:pStyle w:val="Heading3"/>
      </w:pPr>
      <w:bookmarkStart w:id="27" w:name="characterizing-biological-condition"/>
      <w:r>
        <w:t xml:space="preserve">Characterizing biological condition</w:t>
      </w:r>
      <w:bookmarkEnd w:id="27"/>
    </w:p>
    <w:p>
      <w:pPr>
        <w:pStyle w:val="FirstParagraph"/>
      </w:pPr>
      <w:r>
        <w:t xml:space="preserve">The stressor-response model used by the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w:t>
      </w:r>
      <w:r>
        <w:t xml:space="preserve"> </w:t>
      </w:r>
      <w:r>
        <w:t xml:space="preserve">“</w:t>
      </w:r>
      <w:r>
        <w:t xml:space="preserve">averaged</w:t>
      </w:r>
      <w:r>
        <w:t xml:space="preserve">”</w:t>
      </w:r>
      <w:r>
        <w:t xml:space="preserve">" to assess overall condition).</w:t>
      </w:r>
    </w:p>
    <w:p>
      <w:pPr>
        <w:pStyle w:val="BodyText"/>
      </w:pPr>
      <w:r>
        <w:t xml:space="preserve">We used quantitative bioassessment indices as measures of biological condition. Bioassessment indices for benthic macroinvertebrates and algal communities have been developed for California streams</w:t>
      </w:r>
      <w:r>
        <w:t xml:space="preserve"> </w:t>
      </w:r>
      <w:r>
        <w:t xml:space="preserve">(Mazor et al.</w:t>
      </w:r>
      <w:r>
        <w:t xml:space="preserve"> </w:t>
      </w:r>
      <w:hyperlink w:anchor="ref-Mazor16">
        <w:r>
          <w:rPr>
            <w:rStyle w:val="Hyperlink"/>
          </w:rPr>
          <w:t xml:space="preserve">2016</w:t>
        </w:r>
      </w:hyperlink>
      <w:r>
        <w:t xml:space="preserve">; Theroux et al.,</w:t>
      </w:r>
      <w:r>
        <w:t xml:space="preserve"> </w:t>
      </w:r>
      <w:hyperlink w:anchor="ref-Therouxip">
        <w:r>
          <w:rPr>
            <w:rStyle w:val="Hyperlink"/>
          </w:rPr>
          <w:t xml:space="preserve">n.d.</w:t>
        </w:r>
      </w:hyperlink>
      <w:r>
        <w:t xml:space="preserve">)</w:t>
      </w:r>
      <w:r>
        <w:t xml:space="preserve"> </w:t>
      </w:r>
      <w:r>
        <w:t xml:space="preserve">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pPr>
        <w:pStyle w:val="BodyText"/>
      </w:pPr>
      <w:r>
        <w:t xml:space="preserve">Biological responses were measured as two biological indices previously developed for California wadeable streams.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benthic macroinvertebrate taxa and metrics at a site to those expected under least disturbed reference conditions (sensu</w:t>
      </w:r>
      <w:r>
        <w:t xml:space="preserve"> </w:t>
      </w:r>
      <w:r>
        <w:t xml:space="preserve">Stoddard et al.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condition and lower values indicating biological degradation. Both indices are used as standard assessment measures for perennial wadeable streams in California.</w:t>
      </w:r>
    </w:p>
    <w:p>
      <w:pPr>
        <w:pStyle w:val="BodyText"/>
      </w:pPr>
      <w:r>
        <w:t xml:space="preserve">Index scores were compared to the distribution of scores at reference sites to assign BMI and algal samples to biological condition classes that described the likelihood of biological alteration. 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w:t>
      </w:r>
      <w:r>
        <w:t xml:space="preserve"> </w:t>
      </w:r>
      <w:r>
        <w:t xml:space="preserve">1</w:t>
      </w:r>
      <w:r>
        <w:t xml:space="preserve">). This produced four classes for each index such that each site had two categories describing separate lines of evidence of the likelihood of biological alteration in the benthic macroinvertebrate and algal communities. Both lines of evidence were jointly considered by the SQI for evaluating overall biological condition, described below.</w:t>
      </w:r>
    </w:p>
    <w:p>
      <w:pPr>
        <w:pStyle w:val="Heading3"/>
      </w:pPr>
      <w:bookmarkStart w:id="28" w:name="X2e8a059881a1a74830506931182fa1e8b7fab11"/>
      <w:r>
        <w:t xml:space="preserve">Integrating multiple measures of biological condition</w:t>
      </w:r>
      <w:bookmarkEnd w:id="28"/>
    </w:p>
    <w:p>
      <w:pPr>
        <w:pStyle w:val="FirstParagraph"/>
      </w:pPr>
      <w:r>
        <w:t xml:space="preserve">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w:t>
      </w:r>
      <w:r>
        <w:t xml:space="preserve"> </w:t>
      </w:r>
      <w:r>
        <w:t xml:space="preserve">1</w:t>
      </w:r>
      <w:r>
        <w:t xml:space="preserve">). All negative values indicate impacted conditions.</w:t>
      </w:r>
    </w:p>
    <w:p>
      <w:pPr>
        <w:pStyle w:val="Heading2"/>
      </w:pPr>
      <w:bookmarkStart w:id="29" w:name="stressor-components"/>
      <w:r>
        <w:t xml:space="preserve">Stressor components</w:t>
      </w:r>
      <w:bookmarkEnd w:id="29"/>
    </w:p>
    <w:p>
      <w:pPr>
        <w:pStyle w:val="Heading3"/>
      </w:pPr>
      <w:bookmarkStart w:id="30" w:name="characterizing-stress"/>
      <w:r>
        <w:t xml:space="preserve">Characterizing stress</w:t>
      </w:r>
      <w:bookmarkEnd w:id="30"/>
    </w:p>
    <w:p>
      <w:pPr>
        <w:pStyle w:val="FirstParagraph"/>
      </w:pPr>
      <w:r>
        <w:t xml:space="preserve">Water chemistry and physical habitat measurements were used to describe stressors associated with low CSCI and ASCI scores</w:t>
      </w:r>
      <w:r>
        <w:t xml:space="preserve"> </w:t>
      </w:r>
      <w:r>
        <w:t xml:space="preserve">(Mazor</w:t>
      </w:r>
      <w:r>
        <w:t xml:space="preserve"> </w:t>
      </w:r>
      <w:hyperlink w:anchor="ref-Mazor15">
        <w:r>
          <w:rPr>
            <w:rStyle w:val="Hyperlink"/>
          </w:rPr>
          <w:t xml:space="preserve">2015</w:t>
        </w:r>
      </w:hyperlink>
      <w:r>
        <w:t xml:space="preserve">; Theroux et al.,</w:t>
      </w:r>
      <w:r>
        <w:t xml:space="preserve"> </w:t>
      </w:r>
      <w:hyperlink w:anchor="ref-Therouxip">
        <w:r>
          <w:rPr>
            <w:rStyle w:val="Hyperlink"/>
          </w:rPr>
          <w:t xml:space="preserve">n.d.</w:t>
        </w:r>
      </w:hyperlink>
      <w:r>
        <w:t xml:space="preserve">)</w:t>
      </w:r>
      <w:r>
        <w:t xml:space="preserve"> </w:t>
      </w:r>
      <w:r>
        <w:t xml:space="preserve">and have a conceptual relationship with both invertebrate and algal assemblages</w:t>
      </w:r>
      <w:r>
        <w:t xml:space="preserve"> </w:t>
      </w:r>
      <w:r>
        <w:t xml:space="preserve">(Richards et al.</w:t>
      </w:r>
      <w:r>
        <w:t xml:space="preserve"> </w:t>
      </w:r>
      <w:hyperlink w:anchor="ref-Richards97">
        <w:r>
          <w:rPr>
            <w:rStyle w:val="Hyperlink"/>
          </w:rPr>
          <w:t xml:space="preserve">1997</w:t>
        </w:r>
      </w:hyperlink>
      <w:r>
        <w:t xml:space="preserve">; Pan et al.</w:t>
      </w:r>
      <w:r>
        <w:t xml:space="preserve"> </w:t>
      </w:r>
      <w:hyperlink w:anchor="ref-Pan02">
        <w:r>
          <w:rPr>
            <w:rStyle w:val="Hyperlink"/>
          </w:rPr>
          <w:t xml:space="preserve">2002</w:t>
        </w:r>
      </w:hyperlink>
      <w:r>
        <w:t xml:space="preserve">; Wang, Robertson, and Garrison</w:t>
      </w:r>
      <w:r>
        <w:t xml:space="preserve"> </w:t>
      </w:r>
      <w:hyperlink w:anchor="ref-Wang07">
        <w:r>
          <w:rPr>
            <w:rStyle w:val="Hyperlink"/>
          </w:rPr>
          <w:t xml:space="preserve">2007</w:t>
        </w:r>
      </w:hyperlink>
      <w:r>
        <w:t xml:space="preserve">)</w:t>
      </w:r>
      <w:r>
        <w:t xml:space="preserve">. The water chemistry indicators included total nitrogen (mg/L), total phosphorus (mg/L) and specific conductivity (</w:t>
      </w:r>
      <m:oMath>
        <m: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w:t>
      </w:r>
      <w:r>
        <w:t xml:space="preserve"> </w:t>
      </w:r>
      <w:r>
        <w:t xml:space="preserve">(Mazor</w:t>
      </w:r>
      <w:r>
        <w:t xml:space="preserve"> </w:t>
      </w:r>
      <w:hyperlink w:anchor="ref-Mazor15">
        <w:r>
          <w:rPr>
            <w:rStyle w:val="Hyperlink"/>
          </w:rPr>
          <w:t xml:space="preserve">2015</w:t>
        </w:r>
      </w:hyperlink>
      <w:r>
        <w:t xml:space="preserve">)</w:t>
      </w:r>
      <w:r>
        <w:t xml:space="preserve"> </w:t>
      </w:r>
      <w:r>
        <w:t xml:space="preserve">and contaminants often co-occur with elevated nutrients or specific conductivity. As such, the selected indicators may be an effective proxy for other unmeasured water quality stressors in southern California.</w:t>
      </w:r>
    </w:p>
    <w:p>
      <w:pPr>
        <w:pStyle w:val="BodyText"/>
      </w:pPr>
      <w:r>
        <w:t xml:space="preserve">Physical habitat conditions at a site were described using two indices of habitat condition developed for California: the Index of Physical-Habitat Integrity (IPI,</w:t>
      </w:r>
      <w:r>
        <w:t xml:space="preserve"> </w:t>
      </w:r>
      <w:r>
        <w:t xml:space="preserve">Rehn, Mazor, and Ode (</w:t>
      </w:r>
      <w:hyperlink w:anchor="ref-Rehn18">
        <w:r>
          <w:rPr>
            <w:rStyle w:val="Hyperlink"/>
          </w:rPr>
          <w:t xml:space="preserve">2018</w:t>
        </w:r>
      </w:hyperlink>
      <w:r>
        <w:t xml:space="preserve">)</w:t>
      </w:r>
      <w:r>
        <w:t xml:space="preserve">) and the California Rapid Assessment Method for riverine wetlands</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The IPI is based on physical habitat metrics that characterize five components of in-stream habitat quality: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 IPI is based on physical habitat metrics that characterize five components of in-stream habitat quality: 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w:t>
      </w:r>
      <w:r>
        <w:t xml:space="preserve"> </w:t>
      </w:r>
      <w:r>
        <w:t xml:space="preserve">Ode (</w:t>
      </w:r>
      <w:hyperlink w:anchor="ref-Ode07">
        <w:r>
          <w:rPr>
            <w:rStyle w:val="Hyperlink"/>
          </w:rPr>
          <w:t xml:space="preserve">2007</w:t>
        </w:r>
      </w:hyperlink>
      <w:r>
        <w:t xml:space="preserve">)</w:t>
      </w:r>
      <w:r>
        <w:t xml:space="preserve">, which are derived from protocols used in national assessments</w:t>
      </w:r>
      <w:r>
        <w:t xml:space="preserve"> </w:t>
      </w:r>
      <w:r>
        <w:t xml:space="preserve">(USEPA (US Environmental Protection Agency)</w:t>
      </w:r>
      <w:r>
        <w:t xml:space="preserve"> </w:t>
      </w:r>
      <w:hyperlink w:anchor="ref-USEPA16">
        <w:r>
          <w:rPr>
            <w:rStyle w:val="Hyperlink"/>
          </w:rPr>
          <w:t xml:space="preserve">2016</w:t>
        </w:r>
      </w:hyperlink>
      <w:r>
        <w:t xml:space="preserve">)</w:t>
      </w:r>
      <w:r>
        <w:t xml:space="preserve">.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pPr>
        <w:pStyle w:val="BodyText"/>
      </w:pPr>
      <w:r>
        <w:t xml:space="preserve">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pPr>
        <w:pStyle w:val="Heading3"/>
      </w:pPr>
      <w:bookmarkStart w:id="31" w:name="integrating-multiple-measures-of-stress"/>
      <w:r>
        <w:t xml:space="preserve">Integrating multiple measures of stress</w:t>
      </w:r>
      <w:bookmarkEnd w:id="31"/>
    </w:p>
    <w:p>
      <w:pPr>
        <w:pStyle w:val="FirstParagraph"/>
      </w:pPr>
      <w:r>
        <w:t xml:space="preserve">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pPr>
        <w:pStyle w:val="BodyText"/>
      </w:pPr>
      <w:r>
        <w:t xml:space="preserve">For both types of stress, a generalized linear model</w:t>
      </w:r>
      <w:r>
        <w:t xml:space="preserve"> </w:t>
      </w:r>
      <w:r>
        <w:t xml:space="preserve">(Fox and Weisberg</w:t>
      </w:r>
      <w:r>
        <w:t xml:space="preserve"> </w:t>
      </w:r>
      <w:hyperlink w:anchor="ref-Fox11">
        <w:r>
          <w:rPr>
            <w:rStyle w:val="Hyperlink"/>
          </w:rPr>
          <w:t xml:space="preserve">2011</w:t>
        </w:r>
      </w:hyperlink>
      <w:r>
        <w:t xml:space="preserve">)</w:t>
      </w:r>
      <w:r>
        <w:t xml:space="preserve"> </w:t>
      </w:r>
      <w:r>
        <w:t xml:space="preserve">was fit to calibration data to quantify associations for each separate water quality or physical habitat measure with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sSub>
            <m:e>
              <m:r>
                <m:t>β</m:t>
              </m:r>
            </m:e>
            <m:sub>
              <m:r>
                <m:t>0</m:t>
              </m:r>
            </m:sub>
          </m:sSub>
          <m:r>
            <m:t>+</m:t>
          </m:r>
          <m:sSub>
            <m:e>
              <m:r>
                <m:t>β</m:t>
              </m:r>
            </m:e>
            <m:sub>
              <m:r>
                <m:t>1</m:t>
              </m:r>
            </m:sub>
          </m:sSub>
          <m:r>
            <m:t>T</m:t>
          </m:r>
          <m:r>
            <m:t>N</m:t>
          </m:r>
          <m:r>
            <m:t>+</m:t>
          </m:r>
          <m:sSub>
            <m:e>
              <m:r>
                <m:t>β</m:t>
              </m:r>
            </m:e>
            <m:sub>
              <m:r>
                <m:t>2</m:t>
              </m:r>
            </m:sub>
          </m:sSub>
          <m:r>
            <m:t>T</m:t>
          </m:r>
          <m:r>
            <m:t>P</m:t>
          </m:r>
          <m:r>
            <m:t>+</m:t>
          </m:r>
          <m:sSub>
            <m:e>
              <m:r>
                <m:t>β</m:t>
              </m:r>
            </m:e>
            <m:sub>
              <m:r>
                <m:t>3</m:t>
              </m:r>
            </m:sub>
          </m:sSub>
          <m:r>
            <m:t>c</m:t>
          </m:r>
          <m:r>
            <m:t>o</m:t>
          </m:r>
          <m:r>
            <m:t>n</m:t>
          </m:r>
          <m:r>
            <m:t>d</m:t>
          </m:r>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sSub>
            <m:e>
              <m:r>
                <m:t>β</m:t>
              </m:r>
            </m:e>
            <m:sub>
              <m:r>
                <m:t>0</m:t>
              </m:r>
            </m:sub>
          </m:sSub>
          <m:r>
            <m:t>+</m:t>
          </m:r>
          <m:sSub>
            <m:e>
              <m:r>
                <m:t>β</m:t>
              </m:r>
            </m:e>
            <m:sub>
              <m:r>
                <m:t>1</m:t>
              </m:r>
            </m:sub>
          </m:sSub>
          <m:r>
            <m:t>I</m:t>
          </m:r>
          <m:r>
            <m:t>P</m:t>
          </m:r>
          <m:r>
            <m:t>I</m:t>
          </m:r>
          <m:r>
            <m:t>+</m:t>
          </m:r>
          <m:sSub>
            <m:e>
              <m:r>
                <m:t>β</m:t>
              </m:r>
            </m:e>
            <m:sub>
              <m:r>
                <m:t>2</m:t>
              </m:r>
            </m:sub>
          </m:sSub>
          <m:r>
            <m:t>C</m:t>
          </m:r>
          <m:r>
            <m:t>R</m:t>
          </m:r>
          <m:r>
            <m:t>A</m:t>
          </m:r>
          <m:r>
            <m:t>M</m:t>
          </m:r>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the indicators 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 described above.</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1</m:t>
          </m:r>
          <m:r>
            <m:t>−</m:t>
          </m:r>
          <m:d>
            <m:dPr>
              <m:begChr m:val="("/>
              <m:endChr m:val=")"/>
              <m:grow/>
            </m:dPr>
            <m:e>
              <m:d>
                <m:dPr>
                  <m:begChr m:val="("/>
                  <m:endChr m:val=")"/>
                  <m:grow/>
                </m:dPr>
                <m:e>
                  <m:r>
                    <m:t>1</m:t>
                  </m:r>
                  <m:r>
                    <m:t>−</m:t>
                  </m:r>
                  <m:r>
                    <m:t>p</m:t>
                  </m:r>
                  <m:r>
                    <m:t>C</m:t>
                  </m:r>
                  <m:r>
                    <m:t>h</m:t>
                  </m:r>
                  <m:r>
                    <m:t>e</m:t>
                  </m:r>
                  <m:r>
                    <m:t>m</m:t>
                  </m:r>
                </m:e>
              </m:d>
              <m:r>
                <m:t>×</m:t>
              </m:r>
              <m:d>
                <m:dPr>
                  <m:begChr m:val="("/>
                  <m:endChr m:val=")"/>
                  <m:grow/>
                </m:dPr>
                <m:e>
                  <m:r>
                    <m:t>1</m:t>
                  </m:r>
                  <m:r>
                    <m:t>−</m:t>
                  </m:r>
                  <m:r>
                    <m:t>p</m:t>
                  </m:r>
                  <m:r>
                    <m:t>H</m:t>
                  </m:r>
                  <m:r>
                    <m:t>a</m:t>
                  </m:r>
                  <m:r>
                    <m:t>b</m:t>
                  </m:r>
                </m:e>
              </m:d>
            </m:e>
          </m:d>
          <m:r>
            <m:t>  </m:t>
          </m:r>
          <m:r>
            <m:t>(</m:t>
          </m:r>
          <m:r>
            <m:t>3</m:t>
          </m:r>
          <m:r>
            <m:t>)</m:t>
          </m:r>
        </m:oMath>
      </m:oMathPara>
    </w:p>
    <w:p>
      <w:pPr>
        <w:pStyle w:val="FirstParagraph"/>
      </w:pPr>
      <w:r>
        <w:t xml:space="preserve">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pPr>
        <w:pStyle w:val="Heading2"/>
      </w:pPr>
      <w:bookmarkStart w:id="32" w:name="X0e75f73393ee0fc7527d9ee66afeeede5457e3e"/>
      <w:r>
        <w:t xml:space="preserve">Combining stress and response measures into an overall Stream Quality Index (SQI)</w:t>
      </w:r>
      <w:bookmarkEnd w:id="32"/>
    </w:p>
    <w:p>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pPr>
        <w:pStyle w:val="BodyText"/>
      </w:pPr>
      <w:r>
        <w:t xml:space="preserve">Separate categorical outputs were also created for the biological condition and stressorcondition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w:t>
      </w:r>
      <w:r>
        <w:t xml:space="preserve"> </w:t>
      </w:r>
      <m:oMath>
        <m:r>
          <m:t>p</m:t>
        </m:r>
        <m:r>
          <m:t>O</m:t>
        </m:r>
        <m:r>
          <m:t>v</m:t>
        </m:r>
        <m:r>
          <m:t>e</m:t>
        </m:r>
        <m:r>
          <m:t>r</m:t>
        </m:r>
        <m:r>
          <m:t>a</m:t>
        </m:r>
        <m:r>
          <m:t>l</m:t>
        </m:r>
        <m:r>
          <m:t>l</m:t>
        </m:r>
      </m:oMath>
      <w:r>
        <w:t xml:space="preserve"> </w:t>
      </w:r>
      <w:r>
        <w:t xml:space="preserve">exceeded the threshold even though</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did not. Thresholds for biological indices that defined high/low condition were based on the tenth percentile distribution of scores at reference sites for each index. Thresholds for high/low stress were based on the median likelihood across all sites.</w:t>
      </w:r>
    </w:p>
    <w:p>
      <w:pPr>
        <w:pStyle w:val="Heading2"/>
      </w:pPr>
      <w:bookmarkStart w:id="33" w:name="application"/>
      <w:r>
        <w:t xml:space="preserve">Application</w:t>
      </w:r>
      <w:bookmarkEnd w:id="33"/>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years. Most sample events occurred between May and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34" w:name="results"/>
      <w:r>
        <w:t xml:space="preserve">Results</w:t>
      </w:r>
      <w:bookmarkEnd w:id="34"/>
    </w:p>
    <w:p>
      <w:pPr>
        <w:pStyle w:val="FirstParagraph"/>
      </w:pPr>
      <w:r>
        <w:t xml:space="preserve">Among all sites, the overall SQI categorized a majority as having altered biology under high stress conditions (impacted and stressed, 64% of sites, Table</w:t>
      </w:r>
      <w:r>
        <w:t xml:space="preserve"> </w:t>
      </w:r>
      <w:r>
        <w:t xml:space="preserve">2</w:t>
      </w:r>
      <w:r>
        <w:t xml:space="preserve">). Just over 20% of sites were in the opposite category of unaltered biology in low stress conditions (healthy and unstressed). For the remaining two categories of the overall SQI, only 2% had unaltered biology but were under high stress conditions (healthy and resilient), whereas 13% sites had altered biology not related to physical or chemical stressors (impacted by unknown stress). For the biological condition category, sites with altered conditions were more often altered for both CSCI and ASCI scores (50%). For sites with one low scoring index, more sites were altered for the ASCI (16%) than the CSCI (11%). Less than a quarter of all sites had unaltered biology (23%). For stress conditions, 35% of sites were stressed by both chemistry and physical habitat stressors. More sites were stressed by water chemistry (12%) than physical habitat degradation (7%) if only one stressor was present. Over 45% of sites had low stress and no sites were stressed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ares of the study region. Stress condition patterns were similar to biology although low stress conditions also occured closer to coastal areas in addition to higher elevation areas in each watershed. This produced a handful of sites that had altered biology but under low stress conditions at mid-elevation ranges (i.e., impacted by unknown stress, Table</w:t>
      </w:r>
      <w:r>
        <w:t xml:space="preserve"> </w:t>
      </w:r>
      <w:r>
        <w:t xml:space="preserve">2</w:t>
      </w:r>
      <w:r>
        <w:t xml:space="preserve">).</w:t>
      </w:r>
    </w:p>
    <w:p>
      <w:pPr>
        <w:pStyle w:val="BodyText"/>
      </w:pPr>
      <w:r>
        <w:t xml:space="preserve">The underlying empirical models provided insight into instream characteristics that were related to he likelihood of biological alteration (Figures</w:t>
      </w:r>
      <w:r>
        <w:t xml:space="preserve"> </w:t>
      </w:r>
      <w:r>
        <w:t xml:space="preserve">4</w:t>
      </w:r>
      <w:r>
        <w:t xml:space="preserve">,</w:t>
      </w:r>
      <w:r>
        <w:t xml:space="preserve"> </w:t>
      </w:r>
      <w:r>
        <w:t xml:space="preserve">5</w:t>
      </w:r>
      <w:r>
        <w:t xml:space="preserve">). About 69% of sites (n = 183) had greater than 50% likelihood of biological alteration from water chemistry stressors and 74% (n = 196) had greater than 50% likelihood of biological alteration from physical habitat stressors (Figure</w:t>
      </w:r>
      <w:r>
        <w:t xml:space="preserve"> </w:t>
      </w:r>
      <w:r>
        <w:t xml:space="preserve">4</w:t>
      </w:r>
      <w:r>
        <w:t xml:space="preserve">). Collectively, 89% (n = 237) of sites had greater than 50% likelihood of biological alteration from the overall stress of both chemistry and physical habitat stressors.</w:t>
      </w:r>
    </w:p>
    <w:p>
      <w:pPr>
        <w:pStyle w:val="BodyText"/>
      </w:pPr>
      <w:r>
        <w:t xml:space="preserve">Figure</w:t>
      </w:r>
      <w:r>
        <w:t xml:space="preserve"> </w:t>
      </w:r>
      <w:r>
        <w:t xml:space="preserve">5</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conductiviity which had the steepest per unit increase in likelihood. Associations of biological alteration with physical habitat predictors were as expected, except that decreasesin likelihood of biological alteration were observed with increasein IPI and CRAM given that both are indicators of habitat condition. The strongest relationship was observed with increases in CRAM scores, where likelihood of alteration decreased sharply with CRAM scores greater than 50. Increases in IPI scores were also associated with decreases in likelihood of alteration except the relationship had more uncertainty than for CRAM scores.</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5" w:name="discussion"/>
      <w:r>
        <w:t xml:space="preserve">Discussion</w:t>
      </w:r>
      <w:bookmarkEnd w:id="35"/>
    </w:p>
    <w:p>
      <w:pPr>
        <w:pStyle w:val="FirstParagraph"/>
      </w:pPr>
      <w:r>
        <w:t xml:space="preserve">The Stream Quality Index fills a common need of watershed managers to synthesize large amounts of information when making decisions or communicating the technical basis for those decisions. This need is particularly important in regions like Southern California, where large-scale landscape alteration and competing demands for water usage creates a need for prioritization of limited resources. We have demonstrated how this index may be used to prioritize sites for restoration, protection, and other management activities on a large scale, allowing managers to recognize large-scale patterns that may not be evident if analyses were conducted on a site-by-site basis.</w:t>
      </w:r>
    </w:p>
    <w:p>
      <w:pPr>
        <w:pStyle w:val="BodyText"/>
      </w:pPr>
      <w:r>
        <w:t xml:space="preserve">Because our index was focused on assessing environmental health, a key challenge was reflecting relationships among indicators of stream quality consistent with our conceptual model of a healthy stream ecosystem. That is, it was crucial to combine biological, chemical, and habitat indicators in a way that properly reflects the role of biology as a direct measure of condition, and the role of other indicators as measures of stress. Importantly, a finding of good water chemistry should not obscure or distort an indication of poor biology, and vice versa. We determined that a categorical approach was an appropriate way to address this concern, as a simple quantitative index that treats each indicator as independent lines of evidence could not effectively characterize situations where these indicators disagreed — a common situation in our data set. [Something about SQOs here?]</w:t>
      </w:r>
    </w:p>
    <w:p>
      <w:pPr>
        <w:pStyle w:val="BodyText"/>
      </w:pPr>
      <w:r>
        <w:t xml:space="preserve">As a categorical index, the SQI provides a readily interpretable description of stream conditions. The four classes defined by the index (i.e., healthy and unstressed, healthy and resilient, impacted and stressed, impacted by unknown stress) can be understood by a general audience with little familiarity with the underlying data or the tools used to analyze them. In contrast, numeric indices demand a higher level of experience to interpret; without training, an unfamiliar audience cannot easily identify which values of a numeric index correspond to conditions requiring protection and which correspond to problems requiring intervention. [Although categorical indices create challenges for assessing trends or identifying borderline conditions, we have addressed this by XYZ .]</w:t>
      </w:r>
    </w:p>
    <w:p>
      <w:pPr>
        <w:pStyle w:val="BodyText"/>
      </w:pPr>
      <w:r>
        <w:t xml:space="preserve">The SQI addresses the challenge of synthesizing large amounts of information about stream condition while preserving the components and presenting them for more detailed exploration. The index is structured in layers, allowing interested users to explore reasons for categorical classificaton of each site. That is, users can determine which biological indicators account for a stream’s health rating, along with which stressors may or not be associated with biological condition. Users can identify presence or absence of physical and/or chemical stressors and which components in equations (1) and (2) may be linked to their respective stressor categories. Further, physical habitat measures described by CRAM and IPI include additional metrics that were used to calculate scores at each site. Although these metrics were not explicit components in the empirical models of the SQI, they serve as additional diagnostic information to describe physical conditions at each site.</w:t>
      </w:r>
    </w:p>
    <w:p>
      <w:pPr>
        <w:pStyle w:val="BodyText"/>
      </w:pPr>
      <w:r>
        <w:t xml:space="preserve">Our approach to characterizing stressors differs from similar efforts, making the SQI well suited for use with ambient monitoring programs. The Canadian Water Quality Index (CWQI,</w:t>
      </w:r>
      <w:r>
        <w:t xml:space="preserve"> </w:t>
      </w:r>
      <w:r>
        <w:t xml:space="preserve">CCME (Canadian Council of Ministers of the Environment) (</w:t>
      </w:r>
      <w:hyperlink w:anchor="ref-CCME01">
        <w:r>
          <w:rPr>
            <w:rStyle w:val="Hyperlink"/>
          </w:rPr>
          <w:t xml:space="preserve">2001</w:t>
        </w:r>
      </w:hyperlink>
      <w:r>
        <w:t xml:space="preserve">)</w:t>
      </w:r>
      <w:r>
        <w:t xml:space="preserve">) is a similar tool that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the SMC,</w:t>
      </w:r>
      <w:r>
        <w:t xml:space="preserve"> </w:t>
      </w:r>
      <w:r>
        <w:t xml:space="preserve">Mazor (</w:t>
      </w:r>
      <w:hyperlink w:anchor="ref-Mazor15">
        <w:r>
          <w:rPr>
            <w:rStyle w:val="Hyperlink"/>
          </w:rPr>
          <w:t xml:space="preserve">2015</w:t>
        </w:r>
      </w:hyperlink>
      <w:r>
        <w:t xml:space="preserve">)</w:t>
      </w:r>
      <w:r>
        <w:t xml:space="preserve">, or the National Rivers and Streams Assessment,</w:t>
      </w:r>
      <w:r>
        <w:t xml:space="preserve"> </w:t>
      </w:r>
      <w:r>
        <w:t xml:space="preserve">USEPA (US Environmental Protection Agency) (</w:t>
      </w:r>
      <w:hyperlink w:anchor="ref-USEPA16">
        <w:r>
          <w:rPr>
            <w:rStyle w:val="Hyperlink"/>
          </w:rPr>
          <w:t xml:space="preserve">2016</w:t>
        </w:r>
      </w:hyperlink>
      <w:r>
        <w:t xml:space="preserve">)</w:t>
      </w:r>
      <w:r>
        <w:t xml:space="preserve">) that typically sample many sites with little or no replication and focusing on just a few indicators broadly indicative of water chemistry conditions rather than a large suite of potential stressors. Our approach is also applicable to indicators where thresholds are unavailable (e.g., CRAM or IPI), yet the relevance for measuring aquatic life supportis maintained even if it has less bearing on regulatory compliance than other approaches, such as the CWQI. Finally, our approach can be directly interpreted without familiarity of established benchmarks because the empirical stress models inthe SQI are expressed as probabilities of degrading biological condition, rather than abstract numbers.</w:t>
      </w:r>
    </w:p>
    <w:p>
      <w:pPr>
        <w:pStyle w:val="BodyText"/>
      </w:pPr>
      <w:r>
        <w:t xml:space="preserve">Our theoretical framework for the SQI is not without drawbacks. The index currently cannot accommodate additional or fewer indicators of stress or stream condition. This differs from the CWQI that can include any number of available parameters. Missing data (e.g., lost samples or incomplte coverage of required data at a site) prevents calculation of the SQI and the index cannot be estimated without recalibration to include or exclude individual components. The initial SQI described herein was purposefully restricted to a limited number of parameters to focus on developing the foundation of the index, knowing that a broader scope could preclude many sites from analysis. For example, CSCI and ASCI scores for the biological components of the SQI are available at over 1000 sites in southern California. Combining these data with the required chemical and physical stressor data reduced the total dataset where all components were available to only 266 sites. Additional work on the SQI should explore how the categorical descriptions can be provided in the absence of all the necessary components. For example, missing IPI data could be replaced with a mean value appropriate for the region so as not to bias the outcome, whereas the effect of this estimation should be explicitly demonstrated as a component of uncertainty in the final SQI output. Similarly, a mechanism for adding additional components to the SQI that are not currently included should be explored.</w:t>
      </w:r>
    </w:p>
    <w:p>
      <w:pPr>
        <w:pStyle w:val="Heading2"/>
      </w:pPr>
      <w:bookmarkStart w:id="36" w:name="the-sqi-web-application"/>
      <w:r>
        <w:t xml:space="preserve">The SQI web application</w:t>
      </w:r>
      <w:bookmarkEnd w:id="36"/>
    </w:p>
    <w:p>
      <w:pPr>
        <w:pStyle w:val="FirstParagraph"/>
      </w:pPr>
      <w:r>
        <w:t xml:space="preserve">A web application was developed to make the SQI accessible to managers and other stakeholders (</w:t>
      </w:r>
      <w:hyperlink r:id="rId37">
        <w:r>
          <w:rPr>
            <w:rStyle w:val="Hyperlink"/>
          </w:rPr>
          <w:t xml:space="preserve">https://sccwrp.shinyapps.io/sqi_shiny</w:t>
        </w:r>
      </w:hyperlink>
      <w:r>
        <w:t xml:space="preserve">). First, the web interface uses an open source software program developed in R</w:t>
      </w:r>
      <w:r>
        <w:t xml:space="preserve"> </w:t>
      </w:r>
      <w:r>
        <w:t xml:space="preserve">(Chang et al.</w:t>
      </w:r>
      <w:r>
        <w:t xml:space="preserve"> </w:t>
      </w:r>
      <w:hyperlink w:anchor="ref-Chang18">
        <w:r>
          <w:rPr>
            <w:rStyle w:val="Hyperlink"/>
          </w:rPr>
          <w:t xml:space="preserve">2018</w:t>
        </w:r>
      </w:hyperlink>
      <w:r>
        <w:t xml:space="preserve">; RDCT (R Development Core Team)</w:t>
      </w:r>
      <w:r>
        <w:t xml:space="preserve"> </w:t>
      </w:r>
      <w:hyperlink w:anchor="ref-RDCT18">
        <w:r>
          <w:rPr>
            <w:rStyle w:val="Hyperlink"/>
          </w:rPr>
          <w:t xml:space="preserve">2018</w:t>
        </w:r>
      </w:hyperlink>
      <w:r>
        <w:t xml:space="preserve">)</w:t>
      </w:r>
      <w:r>
        <w:t xml:space="preserve"> </w:t>
      </w:r>
      <w:r>
        <w:t xml:space="preserve">to automate batch calculation of the SQI at large numbers of sites</w:t>
      </w:r>
      <w:r>
        <w:t xml:space="preserve"> </w:t>
      </w:r>
      <w:r>
        <w:t xml:space="preserve">(Beck and Mazor</w:t>
      </w:r>
      <w:r>
        <w:t xml:space="preserve"> </w:t>
      </w:r>
      <w:hyperlink w:anchor="ref-Beck18f">
        <w:r>
          <w:rPr>
            <w:rStyle w:val="Hyperlink"/>
          </w:rPr>
          <w:t xml:space="preserve">2018</w:t>
        </w:r>
      </w:hyperlink>
      <w:r>
        <w:t xml:space="preserve">)</w:t>
      </w:r>
      <w:r>
        <w:t xml:space="preserve">. This allows the index and web application to be easily updated as new data become avialable. Second, visualizations also support exploration of the data at both regional and site scales, improving flexibility of application by allowing users to explore results in different spatial contexts. Scores for each index component are provided, with the option to view the underlying data that were used for the empirical stress models and categorical outcomes. A map allows comparison of sites of interest to the region as a whole, as well as county- or watershed-level summaries.</w:t>
      </w:r>
    </w:p>
    <w:p>
      <w:pPr>
        <w:pStyle w:val="BodyText"/>
      </w:pPr>
      <w:r>
        <w:t xml:space="preserve">As an example, a selected site in eastern San Diego county is shown to have healthy biological conditions (i.e., unimpacted benthic macroninvertebrate and algal communities), whereas stress data suggest presence of physical or chemical habitat degradtation (i.e., overall SQI category is healthy and resilient). If additional details are needed, exploration of components of the web application allow the user to identify the presence of different stressors. For the selected site, only physical stress was observed and unusually high levels of sands and fines as one component of the overall physical stress measure was observed, relative to the other stress measures that were comparable to ranges observed for the region. With this information, managers can prioritize follow-up actions to identify causes of elevated sands and fines, e.g., wildfire, bank erosion, or other sources, and any additional management actions that can result from this information, e.g., formal causal analysis or site restoration. As such,the web application provides a screening tool to rapidly assess condition and identify potential stresors that may be impacting condition. Without this interactive tool, priorities are more difficult to identify as managers and stakeholders must rely on less intuitive research products (e.g., tabular data).</w:t>
      </w:r>
    </w:p>
    <w:p>
      <w:pPr>
        <w:pStyle w:val="Heading2"/>
      </w:pPr>
      <w:bookmarkStart w:id="38" w:name="conclusions"/>
      <w:r>
        <w:t xml:space="preserve">Conclusions</w:t>
      </w:r>
      <w:bookmarkEnd w:id="38"/>
    </w:p>
    <w:p>
      <w:pPr>
        <w:pStyle w:val="FirstParagraph"/>
      </w:pPr>
      <w:r>
        <w:t xml:space="preserve">An integrated stream quality index has the potential to transform watershed management by giving managers a tool to synthesize large amounts of data, assign priorities based on this synthesis, and communicate these decisions to a broad range of stakeholders who may lack familiarity with bioassessment or watershed science. The index preserves our understanding of the roles of different indicators in describing stream health, combining them into a single, easily understood category, while also preserving the information contributing to the integrated assessment. An integrated stream quality index could be used to communicate information in both technical and non-technical venues, such as watershed assessments, permit reporting requirements, and routine environmental report cards.</w:t>
      </w:r>
    </w:p>
    <w:p>
      <w:pPr>
        <w:pStyle w:val="Heading1"/>
      </w:pPr>
      <w:bookmarkStart w:id="39" w:name="figures"/>
      <w:r>
        <w:t xml:space="preserve">Figures</w:t>
      </w:r>
      <w:bookmarkEnd w:id="39"/>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40"/>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41"/>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4125112" cy="4583458"/>
            <wp:effectExtent b="0" l="0" r="0" t="0"/>
            <wp:docPr descr="Figure 4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43"/>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4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4457700"/>
            <wp:effectExtent b="0" l="0" r="0" t="0"/>
            <wp:docPr descr="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44"/>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45" w:name="tables"/>
      <w:r>
        <w:t xml:space="preserve">Tables</w:t>
      </w:r>
      <w:bookmarkEnd w:id="45"/>
    </w:p>
    <w:p>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w:t>
      </w:r>
    </w:p>
    <w:tbl>
      <w:tblPr>
        <w:tblStyle w:val="Table"/>
        <w:tblW w:type="pct" w:w="0.0"/>
        <w:tblLook w:firstRow="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Algae ref 1: (ASCI &gt; 0.93)</w:t>
            </w:r>
          </w:p>
        </w:tc>
        <w:tc>
          <w:tcPr>
            <w:tcBorders>
              <w:bottom w:val="single"/>
            </w:tcBorders>
            <w:vAlign w:val="bottom"/>
          </w:tcPr>
          <w:p>
            <w:pPr>
              <w:pStyle w:val="Compact"/>
              <w:jc w:val="right"/>
            </w:pPr>
            <w:r>
              <w:t xml:space="preserve">Algae ref 2: (ASCI 0.83 - 0.93)</w:t>
            </w:r>
          </w:p>
        </w:tc>
        <w:tc>
          <w:tcPr>
            <w:tcBorders>
              <w:bottom w:val="single"/>
            </w:tcBorders>
            <w:vAlign w:val="bottom"/>
          </w:tcPr>
          <w:p>
            <w:pPr>
              <w:pStyle w:val="Compact"/>
              <w:jc w:val="right"/>
            </w:pPr>
            <w:r>
              <w:t xml:space="preserve">Algae ref 3: (ASCI 0.70 - 0.83)</w:t>
            </w:r>
          </w:p>
        </w:tc>
        <w:tc>
          <w:tcPr>
            <w:tcBorders>
              <w:bottom w:val="single"/>
            </w:tcBorders>
            <w:vAlign w:val="bottom"/>
          </w:tcPr>
          <w:p>
            <w:pPr>
              <w:pStyle w:val="Compact"/>
              <w:jc w:val="right"/>
            </w:pPr>
            <w:r>
              <w:t xml:space="preserve">Algae ref 4: (ASCI &lt; 0.70</w:t>
            </w:r>
          </w:p>
        </w:tc>
      </w:tr>
      <w:tr>
        <w:tc>
          <w:p>
            <w:pPr>
              <w:pStyle w:val="Compact"/>
              <w:jc w:val="left"/>
            </w:pPr>
            <w:r>
              <w:t xml:space="preserve">BMI ref 1: (CSCI &gt; 0.92)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BMI ref 2: (CSCI 0.79 - 0.92)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BMI ref 3: (CSCI 0.63 - 0.79)</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BMI ref 4: (CSCI &lt; 0.63)</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bl>
    <w:p>
      <w:pPr>
        <w:pStyle w:val="TableCaption"/>
      </w:pPr>
      <w:r>
        <w:t xml:space="preserve">Table 2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2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54 (20.3)</w:t>
            </w:r>
          </w:p>
        </w:tc>
      </w:tr>
      <w:tr>
        <w:tc>
          <w:p/>
        </w:tc>
        <w:tc>
          <w:p>
            <w:pPr>
              <w:pStyle w:val="Compact"/>
              <w:jc w:val="left"/>
            </w:pPr>
            <w:r>
              <w:t xml:space="preserve">Healthy and resilient</w:t>
            </w:r>
          </w:p>
        </w:tc>
        <w:tc>
          <w:p>
            <w:pPr>
              <w:pStyle w:val="Compact"/>
              <w:jc w:val="left"/>
            </w:pPr>
            <w:r>
              <w:t xml:space="preserve">6 (2.3)</w:t>
            </w:r>
          </w:p>
        </w:tc>
      </w:tr>
      <w:tr>
        <w:tc>
          <w:p/>
        </w:tc>
        <w:tc>
          <w:p>
            <w:pPr>
              <w:pStyle w:val="Compact"/>
              <w:jc w:val="left"/>
            </w:pPr>
            <w:r>
              <w:t xml:space="preserve">Impacted and stressed</w:t>
            </w:r>
          </w:p>
        </w:tc>
        <w:tc>
          <w:p>
            <w:pPr>
              <w:pStyle w:val="Compact"/>
              <w:jc w:val="left"/>
            </w:pPr>
            <w:r>
              <w:t xml:space="preserve">171 (64.3)</w:t>
            </w:r>
          </w:p>
        </w:tc>
      </w:tr>
      <w:tr>
        <w:tc>
          <w:p/>
        </w:tc>
        <w:tc>
          <w:p>
            <w:pPr>
              <w:pStyle w:val="Compact"/>
              <w:jc w:val="left"/>
            </w:pPr>
            <w:r>
              <w:t xml:space="preserve">Impacted by unknown stress</w:t>
            </w:r>
          </w:p>
        </w:tc>
        <w:tc>
          <w:p>
            <w:pPr>
              <w:pStyle w:val="Compact"/>
              <w:jc w:val="left"/>
            </w:pPr>
            <w:r>
              <w:t xml:space="preserve">35 (13.2)</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tc>
        <w:tc>
          <w:p>
            <w:pPr>
              <w:pStyle w:val="Compact"/>
              <w:jc w:val="left"/>
            </w:pPr>
            <w:r>
              <w:t xml:space="preserve">Impacted for ASCI</w:t>
            </w:r>
          </w:p>
        </w:tc>
        <w:tc>
          <w:p>
            <w:pPr>
              <w:pStyle w:val="Compact"/>
              <w:jc w:val="left"/>
            </w:pPr>
            <w:r>
              <w:t xml:space="preserve">43 (16.2)</w:t>
            </w:r>
          </w:p>
        </w:tc>
      </w:tr>
      <w:tr>
        <w:tc>
          <w:p/>
        </w:tc>
        <w:tc>
          <w:p>
            <w:pPr>
              <w:pStyle w:val="Compact"/>
              <w:jc w:val="left"/>
            </w:pPr>
            <w:r>
              <w:t xml:space="preserve">Impacted for CSCI</w:t>
            </w:r>
          </w:p>
        </w:tc>
        <w:tc>
          <w:p>
            <w:pPr>
              <w:pStyle w:val="Compact"/>
              <w:jc w:val="left"/>
            </w:pPr>
            <w:r>
              <w:t xml:space="preserve">29 (10.9)</w:t>
            </w:r>
          </w:p>
        </w:tc>
      </w:tr>
      <w:tr>
        <w:tc>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122 (45.9)</w:t>
            </w:r>
          </w:p>
        </w:tc>
      </w:tr>
      <w:tr>
        <w:tc>
          <w:p/>
        </w:tc>
        <w:tc>
          <w:p>
            <w:pPr>
              <w:pStyle w:val="Compact"/>
              <w:jc w:val="left"/>
            </w:pPr>
            <w:r>
              <w:t xml:space="preserve">Stressed by chemistry and habitat degradation</w:t>
            </w:r>
          </w:p>
        </w:tc>
        <w:tc>
          <w:p>
            <w:pPr>
              <w:pStyle w:val="Compact"/>
              <w:jc w:val="left"/>
            </w:pPr>
            <w:r>
              <w:t xml:space="preserve">93 (35)</w:t>
            </w:r>
          </w:p>
        </w:tc>
      </w:tr>
      <w:tr>
        <w:tc>
          <w:p/>
        </w:tc>
        <w:tc>
          <w:p>
            <w:pPr>
              <w:pStyle w:val="Compact"/>
              <w:jc w:val="left"/>
            </w:pPr>
            <w:r>
              <w:t xml:space="preserve">Stressed by chemistry degradation</w:t>
            </w:r>
          </w:p>
        </w:tc>
        <w:tc>
          <w:p>
            <w:pPr>
              <w:pStyle w:val="Compact"/>
              <w:jc w:val="left"/>
            </w:pPr>
            <w:r>
              <w:t xml:space="preserve">32 (12)</w:t>
            </w:r>
          </w:p>
        </w:tc>
      </w:tr>
      <w:tr>
        <w:tc>
          <w:p/>
        </w:tc>
        <w:tc>
          <w:p>
            <w:pPr>
              <w:pStyle w:val="Compact"/>
              <w:jc w:val="left"/>
            </w:pPr>
            <w:r>
              <w:t xml:space="preserve">Stressed by habitat degradation</w:t>
            </w:r>
          </w:p>
        </w:tc>
        <w:tc>
          <w:p>
            <w:pPr>
              <w:pStyle w:val="Compact"/>
              <w:jc w:val="left"/>
            </w:pPr>
            <w:r>
              <w:t xml:space="preserve">19 (7.1)</w:t>
            </w:r>
          </w:p>
        </w:tc>
      </w:tr>
    </w:tbl>
    <w:p>
      <w:pPr>
        <w:pStyle w:val="BodyText"/>
      </w:pPr>
      <w:r>
        <w:rPr>
          <w:i/>
        </w:rPr>
        <w:t xml:space="preserve">Table</w:t>
      </w:r>
      <w:r>
        <w:rPr>
          <w:i/>
        </w:rPr>
        <w:t xml:space="preserve"> </w:t>
      </w:r>
      <w:r>
        <w:rPr>
          <w:i/>
        </w:rPr>
        <w:t xml:space="preserve">3</w:t>
      </w:r>
      <w:r>
        <w:rPr>
          <w:i/>
        </w:rPr>
        <w:t xml:space="preserve">: (#tab:strmod) Summary of empirical stress models to quantify associations of water chemistry (pChem) and physical habitat (pHab) predictors with biological alteration. Generalized linear models were fit to predict the likelihood of both healthy benthic macroinvertebrate and algal communities at calibration sites (75\% of 266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59"/>
        <w:gridCol w:w="1359"/>
      </w:tblGrid>
      <w:tr>
        <w:trPr>
          <w:cantSplit/>
          <w:trHeight w:val="437"/>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pChem</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pHab</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-2.94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7.95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(1.30)   </w:t>
            </w:r>
          </w:p>
        </w:tc>
      </w:tr>
      <w:tr>
        <w:trPr>
          <w:cantSplit/>
          <w:trHeight w:val="461"/>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log(TN)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61"/>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log(TP)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20.59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(8.52)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Conductivity</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CRAM</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-0.09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(0.02)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IPI</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-0.86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(1.33)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AIC</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134.53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181.40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BIC</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147.73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191.29    </w:t>
            </w:r>
          </w:p>
        </w:tc>
      </w:tr>
      <w:tr>
        <w:trPr>
          <w:cantSplit/>
          <w:trHeight w:val="396"/>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Pseudo 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    </w:t>
            </w:r>
          </w:p>
        </w:tc>
      </w:tr>
      <w:tr>
        <w:trPr>
          <w:cantSplit/>
          <w:trHeight w:val="434"/>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Heading1"/>
      </w:pPr>
      <w:bookmarkStart w:id="46" w:name="references"/>
      <w:r>
        <w:t xml:space="preserve">References</w:t>
      </w:r>
      <w:bookmarkEnd w:id="46"/>
    </w:p>
    <w:bookmarkStart w:id="77" w:name="refs"/>
    <w:bookmarkStart w:id="48" w:name="ref-Beck18f"/>
    <w:p>
      <w:pPr>
        <w:pStyle w:val="Bibliography"/>
      </w:pPr>
      <w:r>
        <w:t xml:space="preserve">Beck, M. W., and R. D. Mazor. 2018. “SCCWRP/SQI: v1.2.0 (Version 1.2.0). Zenodo,</w:t>
      </w:r>
      <w:r>
        <w:t xml:space="preserve"> </w:t>
      </w:r>
      <w:hyperlink r:id="rId47">
        <w:r>
          <w:rPr>
            <w:rStyle w:val="Hyperlink"/>
          </w:rPr>
          <w:t xml:space="preserve">http://doi.org/10.5281/zenodo.2587212</w:t>
        </w:r>
      </w:hyperlink>
      <w:r>
        <w:t xml:space="preserve">.”</w:t>
      </w:r>
    </w:p>
    <w:bookmarkEnd w:id="48"/>
    <w:bookmarkStart w:id="50"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 566–85.</w:t>
      </w:r>
      <w:r>
        <w:t xml:space="preserve"> </w:t>
      </w:r>
      <w:hyperlink r:id="rId49">
        <w:r>
          <w:rPr>
            <w:rStyle w:val="Hyperlink"/>
          </w:rPr>
          <w:t xml:space="preserve">https://doi.org/10.1899/06-078.1</w:t>
        </w:r>
      </w:hyperlink>
      <w:r>
        <w:t xml:space="preserve">.</w:t>
      </w:r>
    </w:p>
    <w:bookmarkEnd w:id="50"/>
    <w:bookmarkStart w:id="51" w:name="ref-CCME01"/>
    <w:p>
      <w:pPr>
        <w:pStyle w:val="Bibliography"/>
      </w:pPr>
      <w:r>
        <w:t xml:space="preserve">CCME (Canadian Council of Ministers of the Environment). 2001. “Canadian water quality guidelines for the protection of aquatic life: CCME Water Quality Index 1.0, Technical Report. In: Canadian environmental quality guidelines.” Winnipeg, Manitoba: Canadian Council of Ministers of the Environment.</w:t>
      </w:r>
    </w:p>
    <w:bookmarkEnd w:id="51"/>
    <w:bookmarkStart w:id="53"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52">
        <w:r>
          <w:rPr>
            <w:rStyle w:val="Hyperlink"/>
          </w:rPr>
          <w:t xml:space="preserve">https://CRAN.R-project.org/package=shiny</w:t>
        </w:r>
      </w:hyperlink>
      <w:r>
        <w:t xml:space="preserve">.</w:t>
      </w:r>
    </w:p>
    <w:bookmarkEnd w:id="53"/>
    <w:bookmarkStart w:id="55"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54">
        <w:r>
          <w:rPr>
            <w:rStyle w:val="Hyperlink"/>
          </w:rPr>
          <w:t xml:space="preserve">\url{http://www.cramwetlands.org/documents/}</w:t>
        </w:r>
      </w:hyperlink>
      <w:r>
        <w:t xml:space="preserve">.</w:t>
      </w:r>
    </w:p>
    <w:bookmarkEnd w:id="55"/>
    <w:bookmarkStart w:id="56" w:name="ref-Fox11"/>
    <w:p>
      <w:pPr>
        <w:pStyle w:val="Bibliography"/>
      </w:pPr>
      <w:r>
        <w:t xml:space="preserve">Fox, J., and S. Weisberg. 2011.</w:t>
      </w:r>
      <w:r>
        <w:t xml:space="preserve"> </w:t>
      </w:r>
      <w:r>
        <w:rPr>
          <w:i/>
        </w:rPr>
        <w:t xml:space="preserve">An R Companion to Applied Regression</w:t>
      </w:r>
      <w:r>
        <w:t xml:space="preserve">. Thousand Oaks, California: SAGE Publications Inc.</w:t>
      </w:r>
    </w:p>
    <w:bookmarkEnd w:id="56"/>
    <w:bookmarkStart w:id="57" w:name="ref-Mazor15"/>
    <w:p>
      <w:pPr>
        <w:pStyle w:val="Bibliography"/>
      </w:pPr>
      <w:r>
        <w:t xml:space="preserve">Mazor, R. D. 2015. “Bioassessment of Perennial Streams in Southern California: A Report on the First Five Years of the Stormwater Monitoring Coalition’s Regional Stream Survey.” 844. Costa Mesa, California: Southern California Coastal Water Research Project.</w:t>
      </w:r>
    </w:p>
    <w:bookmarkEnd w:id="57"/>
    <w:bookmarkStart w:id="58"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bookmarkEnd w:id="58"/>
    <w:bookmarkStart w:id="60"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 41–52.</w:t>
      </w:r>
      <w:r>
        <w:t xml:space="preserve"> </w:t>
      </w:r>
      <w:hyperlink r:id="rId59">
        <w:r>
          <w:rPr>
            <w:rStyle w:val="Hyperlink"/>
          </w:rPr>
          <w:t xml:space="preserve">https://doi.org/10.1111/j.1365-2427.1987.tb01027.x</w:t>
        </w:r>
      </w:hyperlink>
      <w:r>
        <w:t xml:space="preserve">.</w:t>
      </w:r>
    </w:p>
    <w:bookmarkEnd w:id="60"/>
    <w:bookmarkStart w:id="61"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61"/>
    <w:bookmarkStart w:id="63" w:name="ref-Pan02"/>
    <w:p>
      <w:pPr>
        <w:pStyle w:val="Bibliography"/>
      </w:pPr>
      <w:r>
        <w:t xml:space="preserve">Pan, Y., R. J. Stevenson, B. H. Hill, P. R. Kaufmann, and A. T. Herlihy. 2002. “Spatial Patterns and Ecological Determinants of Benthic Algal Assemblages in Mid-Atlantic Streams, USA.”</w:t>
      </w:r>
      <w:r>
        <w:t xml:space="preserve"> </w:t>
      </w:r>
      <w:r>
        <w:rPr>
          <w:i/>
        </w:rPr>
        <w:t xml:space="preserve">Journal of Phycology</w:t>
      </w:r>
      <w:r>
        <w:t xml:space="preserve"> </w:t>
      </w:r>
      <w:r>
        <w:t xml:space="preserve">35 (3): 460–68.</w:t>
      </w:r>
      <w:r>
        <w:t xml:space="preserve"> </w:t>
      </w:r>
      <w:hyperlink r:id="rId62">
        <w:r>
          <w:rPr>
            <w:rStyle w:val="Hyperlink"/>
          </w:rPr>
          <w:t xml:space="preserve">https://doi.org/10.1046/j.1529-8817.1999.3530460.x</w:t>
        </w:r>
      </w:hyperlink>
      <w:r>
        <w:t xml:space="preserve">.</w:t>
      </w:r>
    </w:p>
    <w:bookmarkEnd w:id="63"/>
    <w:bookmarkStart w:id="64" w:name="ref-RDCT18"/>
    <w:p>
      <w:pPr>
        <w:pStyle w:val="Bibliography"/>
      </w:pPr>
      <w:r>
        <w:t xml:space="preserve">RDCT (R Development Core Team). 2018. “R: A language and environment for statistical computing, v3.5.1. R Foundation for Statistical Computing, Vienna, Austria.”</w:t>
      </w:r>
    </w:p>
    <w:bookmarkEnd w:id="64"/>
    <w:bookmarkStart w:id="66"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65">
        <w:r>
          <w:rPr>
            <w:rStyle w:val="Hyperlink"/>
          </w:rPr>
          <w:t xml:space="preserve">https://www.waterboards.ca.gov/water_issues/programs/swamp/bioassessment/docs/physical_habitat_index_technical_memo.pdf</w:t>
        </w:r>
      </w:hyperlink>
      <w:r>
        <w:t xml:space="preserve">.</w:t>
      </w:r>
    </w:p>
    <w:bookmarkEnd w:id="66"/>
    <w:bookmarkStart w:id="68" w:name="ref-Richards97"/>
    <w:p>
      <w:pPr>
        <w:pStyle w:val="Bibliography"/>
      </w:pPr>
      <w:r>
        <w:t xml:space="preserve">Richards, C., R. Haro, L. Johnson, and G. Host. 1997. “Catchment and Reach-Scale Properties as Indicators of Macroinvertebrate Species Traits.”</w:t>
      </w:r>
      <w:r>
        <w:t xml:space="preserve"> </w:t>
      </w:r>
      <w:r>
        <w:rPr>
          <w:i/>
        </w:rPr>
        <w:t xml:space="preserve">Freshwater Biology</w:t>
      </w:r>
      <w:r>
        <w:t xml:space="preserve"> </w:t>
      </w:r>
      <w:r>
        <w:t xml:space="preserve">37 (1): 219–30.</w:t>
      </w:r>
      <w:r>
        <w:t xml:space="preserve"> </w:t>
      </w:r>
      <w:hyperlink r:id="rId67">
        <w:r>
          <w:rPr>
            <w:rStyle w:val="Hyperlink"/>
          </w:rPr>
          <w:t xml:space="preserve">https://doi.org/10.1046/j.1365-2427.1997.d01-540.x</w:t>
        </w:r>
      </w:hyperlink>
      <w:r>
        <w:t xml:space="preserve">.</w:t>
      </w:r>
    </w:p>
    <w:bookmarkEnd w:id="68"/>
    <w:bookmarkStart w:id="70"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 459–74.</w:t>
      </w:r>
      <w:r>
        <w:t xml:space="preserve"> </w:t>
      </w:r>
      <w:hyperlink r:id="rId69">
        <w:r>
          <w:rPr>
            <w:rStyle w:val="Hyperlink"/>
          </w:rPr>
          <w:t xml:space="preserve">https://doi.org/10.1007/s11273-011-9230-6</w:t>
        </w:r>
      </w:hyperlink>
      <w:r>
        <w:t xml:space="preserve">.</w:t>
      </w:r>
    </w:p>
    <w:bookmarkEnd w:id="70"/>
    <w:bookmarkStart w:id="7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 1267–76.</w:t>
      </w:r>
      <w:r>
        <w:t xml:space="preserve"> </w:t>
      </w:r>
      <w:hyperlink r:id="rId71">
        <w:r>
          <w:rPr>
            <w:rStyle w:val="Hyperlink"/>
          </w:rPr>
          <w:t xml:space="preserve">https://doi.org/10.1890/1051-0761(2006)016[1267:SEFTEC]2.0.CO;2</w:t>
        </w:r>
      </w:hyperlink>
      <w:r>
        <w:t xml:space="preserve">.</w:t>
      </w:r>
    </w:p>
    <w:bookmarkEnd w:id="72"/>
    <w:bookmarkStart w:id="73"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73"/>
    <w:bookmarkStart w:id="74" w:name="ref-USEPA16"/>
    <w:p>
      <w:pPr>
        <w:pStyle w:val="Bibliography"/>
      </w:pPr>
      <w:r>
        <w:t xml:space="preserve">USEPA (US Environmental Protection Agency). 2016. “National Rivers and Streams Assessment 2008-2009: A Collaborative Survey.” EPA-841-R-16-007. Washington, DC.</w:t>
      </w:r>
    </w:p>
    <w:bookmarkEnd w:id="74"/>
    <w:bookmarkStart w:id="76" w:name="ref-Wang07"/>
    <w:p>
      <w:pPr>
        <w:pStyle w:val="Bibliography"/>
      </w:pPr>
      <w:r>
        <w:t xml:space="preserve">Wang, L. Z., D. M. Robertson, and P. J. Garrison. 2007. “Linkages Between Nutrients and Assemblages of Macroinvertebrates and Fish in Wadeable Streams: Implication to Nutrient Criteria Development.”</w:t>
      </w:r>
      <w:r>
        <w:t xml:space="preserve"> </w:t>
      </w:r>
      <w:r>
        <w:rPr>
          <w:i/>
        </w:rPr>
        <w:t xml:space="preserve">Environmental Management</w:t>
      </w:r>
      <w:r>
        <w:t xml:space="preserve"> </w:t>
      </w:r>
      <w:r>
        <w:t xml:space="preserve">39 (2): 194–212.</w:t>
      </w:r>
      <w:r>
        <w:t xml:space="preserve"> </w:t>
      </w:r>
      <w:hyperlink r:id="rId75">
        <w:r>
          <w:rPr>
            <w:rStyle w:val="Hyperlink"/>
          </w:rPr>
          <w:t xml:space="preserve">https://doi.org/10.1007/s00267-006-0135-8</w:t>
        </w:r>
      </w:hyperlink>
      <w:r>
        <w:t xml:space="preserve">.</w:t>
      </w:r>
    </w:p>
    <w:bookmarkEnd w:id="76"/>
    <w:bookmarkEnd w:id="77"/>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4" Target="\url{http://www.cramwetlands.org/documents/}" TargetMode="External" /><Relationship Type="http://schemas.openxmlformats.org/officeDocument/2006/relationships/hyperlink" Id="rId47" Target="http://doi.org/10.5281/zenodo.2587212" TargetMode="External" /><Relationship Type="http://schemas.openxmlformats.org/officeDocument/2006/relationships/hyperlink" Id="rId52" Target="https://CRAN.R-project.org/package=shiny" TargetMode="External" /><Relationship Type="http://schemas.openxmlformats.org/officeDocument/2006/relationships/hyperlink" Id="rId75" Target="https://doi.org/10.1007/s00267-006-0135-8" TargetMode="External" /><Relationship Type="http://schemas.openxmlformats.org/officeDocument/2006/relationships/hyperlink" Id="rId69" Target="https://doi.org/10.1007/s11273-011-9230-6" TargetMode="External" /><Relationship Type="http://schemas.openxmlformats.org/officeDocument/2006/relationships/hyperlink" Id="rId67" Target="https://doi.org/10.1046/j.1365-2427.1997.d01-540.x" TargetMode="External" /><Relationship Type="http://schemas.openxmlformats.org/officeDocument/2006/relationships/hyperlink" Id="rId62" Target="https://doi.org/10.1046/j.1529-8817.1999.3530460.x" TargetMode="External" /><Relationship Type="http://schemas.openxmlformats.org/officeDocument/2006/relationships/hyperlink" Id="rId59" Target="https://doi.org/10.1111/j.1365-2427.1987.tb01027.x" TargetMode="External" /><Relationship Type="http://schemas.openxmlformats.org/officeDocument/2006/relationships/hyperlink" Id="rId71" Target="https://doi.org/10.1890/1051-0761(2006)016[1267:SEFTEC]2.0.CO;2" TargetMode="External" /><Relationship Type="http://schemas.openxmlformats.org/officeDocument/2006/relationships/hyperlink" Id="rId49" Target="https://doi.org/10.1899/06-078.1" TargetMode="External" /><Relationship Type="http://schemas.openxmlformats.org/officeDocument/2006/relationships/hyperlink" Id="rId37" Target="https://sccwrp.shinyapps.io/sqi_shiny" TargetMode="External" /><Relationship Type="http://schemas.openxmlformats.org/officeDocument/2006/relationships/hyperlink" Id="rId65"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54" Target="\url{http://www.cramwetlands.org/documents/}" TargetMode="External" /><Relationship Type="http://schemas.openxmlformats.org/officeDocument/2006/relationships/hyperlink" Id="rId47" Target="http://doi.org/10.5281/zenodo.2587212" TargetMode="External" /><Relationship Type="http://schemas.openxmlformats.org/officeDocument/2006/relationships/hyperlink" Id="rId52" Target="https://CRAN.R-project.org/package=shiny" TargetMode="External" /><Relationship Type="http://schemas.openxmlformats.org/officeDocument/2006/relationships/hyperlink" Id="rId75" Target="https://doi.org/10.1007/s00267-006-0135-8" TargetMode="External" /><Relationship Type="http://schemas.openxmlformats.org/officeDocument/2006/relationships/hyperlink" Id="rId69" Target="https://doi.org/10.1007/s11273-011-9230-6" TargetMode="External" /><Relationship Type="http://schemas.openxmlformats.org/officeDocument/2006/relationships/hyperlink" Id="rId67" Target="https://doi.org/10.1046/j.1365-2427.1997.d01-540.x" TargetMode="External" /><Relationship Type="http://schemas.openxmlformats.org/officeDocument/2006/relationships/hyperlink" Id="rId62" Target="https://doi.org/10.1046/j.1529-8817.1999.3530460.x" TargetMode="External" /><Relationship Type="http://schemas.openxmlformats.org/officeDocument/2006/relationships/hyperlink" Id="rId59" Target="https://doi.org/10.1111/j.1365-2427.1987.tb01027.x" TargetMode="External" /><Relationship Type="http://schemas.openxmlformats.org/officeDocument/2006/relationships/hyperlink" Id="rId71" Target="https://doi.org/10.1890/1051-0761(2006)016[1267:SEFTEC]2.0.CO;2" TargetMode="External" /><Relationship Type="http://schemas.openxmlformats.org/officeDocument/2006/relationships/hyperlink" Id="rId49" Target="https://doi.org/10.1899/06-078.1" TargetMode="External" /><Relationship Type="http://schemas.openxmlformats.org/officeDocument/2006/relationships/hyperlink" Id="rId37" Target="https://sccwrp.shinyapps.io/sqi_shiny" TargetMode="External" /><Relationship Type="http://schemas.openxmlformats.org/officeDocument/2006/relationships/hyperlink" Id="rId65"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Kenneth C. Schiff (kens@sccwrp.org</dc:creator>
  <cp:keywords/>
  <dcterms:created xsi:type="dcterms:W3CDTF">2019-03-08T02:00:46Z</dcterms:created>
  <dcterms:modified xsi:type="dcterms:W3CDTF">2019-03-08T02:00:46Z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