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8.png" ContentType="image/png"/>
  <Override PartName="/word/media/rId44.png" ContentType="image/png"/>
  <Override PartName="/word/media/rId43.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abstract"/>
      <w:r>
        <w:t xml:space="preserve">Abstract</w:t>
      </w:r>
      <w:bookmarkEnd w:id="23"/>
    </w:p>
    <w:p>
      <w:pPr>
        <w:pStyle w:val="FirstParagraph"/>
      </w:pPr>
      <w:r>
        <w:t xml:space="preserve">Monitoring and assessing stream health is a function of the physical, chemical, and biological integrity. While monitoring all three indicators of stream integrity often occurs, combining all three indicators into a unified assessment of stream health rarely occurs, challenging non-technical environmental managers attempting to interpret complex environmental health information. The goal of this study was to develop the Stream Quality Index (SQI), a single index that combines physical, chemical, and biological indicators into a scientifically rigorous, yet easy to understand tool for management decision making. The SQI is based upon a stressor-response conceptual model. Stress includes commonly measured chemical parameters indicative of anthropogenic inputs (conductivity, nitrogen, phosphorus) and two physical habitat indices that decribe both instream (i.e., substrate) and stream corridor (i.e., riparian) condition. Biological response includes benthic invertebrates and algae. Although the individual stressor and response components are quantitative and have similar meaning across a variety of environmental settings, the final outcome of the SQI is categorical with management connotations including: 1) healthy = unstressed and unimpacted biology, so protection is recommended; 2) resilient = stressed, but biological communities are healthy, so reducing stress is recommended; 3) impacted due to chemistry and/or physical habitat = stressed and impacted biology, so restoration is recommended, or; 4) impacted, causes unknown = unstressed, but biology is impacted, so causal assessment is recommended. For clear transparency, an internet application was developed to allow quick dissection of the SQI from it’s categorical narrative for managers to the individual quantitative assessment of stressors or biological response metrics for scientists.</w:t>
      </w:r>
    </w:p>
    <w:p>
      <w:pPr>
        <w:pStyle w:val="Heading1"/>
      </w:pPr>
      <w:bookmarkStart w:id="24" w:name="introduction"/>
      <w:r>
        <w:t xml:space="preserve">Introduction</w:t>
      </w:r>
      <w:bookmarkEnd w:id="24"/>
    </w:p>
    <w:p>
      <w:pPr>
        <w:pStyle w:val="FirstParagraph"/>
      </w:pPr>
      <w:r>
        <w:t xml:space="preserve">Monitoring and assessing stream health is a function of the physical, chemical, and biological integrity (33 USC §§ 1151, 1972). Monitoring physical habitat integrity ensures all of the necessary environmental niches are present to support a diverse aquatic community</w:t>
      </w:r>
      <w:r>
        <w:t xml:space="preserve"> </w:t>
      </w:r>
      <w:r>
        <w:t xml:space="preserve">(Maddock,</w:t>
      </w:r>
      <w:r>
        <w:t xml:space="preserve"> </w:t>
      </w:r>
      <w:hyperlink w:anchor="ref-Maddock99">
        <w:r>
          <w:rPr>
            <w:rStyle w:val="Hyperlink"/>
          </w:rPr>
          <w:t xml:space="preserve">1999</w:t>
        </w:r>
      </w:hyperlink>
      <w:r>
        <w:t xml:space="preserve">)</w:t>
      </w:r>
      <w:r>
        <w:t xml:space="preserve">. Monitoring chemical integrity ensures the absence of toxic compounds, but also the balanced minerals necessary to support aquatic life (ref). Monitoring biological integrity, closest to the actual assessment of stream health, is necessary because unmeasured habitat or chemical water quality can impact otherwise balanced ecosystems</w:t>
      </w:r>
      <w:r>
        <w:t xml:space="preserve"> </w:t>
      </w:r>
      <w:r>
        <w:t xml:space="preserve">(Ode et al.,</w:t>
      </w:r>
      <w:r>
        <w:t xml:space="preserve"> </w:t>
      </w:r>
      <w:hyperlink w:anchor="ref-Ode16">
        <w:r>
          <w:rPr>
            <w:rStyle w:val="Hyperlink"/>
          </w:rPr>
          <w:t xml:space="preserve">2016</w:t>
        </w:r>
      </w:hyperlink>
      <w:r>
        <w:t xml:space="preserve">; Stoddard et al.,</w:t>
      </w:r>
      <w:r>
        <w:t xml:space="preserve"> </w:t>
      </w:r>
      <w:hyperlink w:anchor="ref-Stoddard06">
        <w:r>
          <w:rPr>
            <w:rStyle w:val="Hyperlink"/>
          </w:rPr>
          <w:t xml:space="preserve">2006</w:t>
        </w:r>
      </w:hyperlink>
      <w:r>
        <w:t xml:space="preserve">)</w:t>
      </w:r>
      <w:r>
        <w:t xml:space="preserve">.</w:t>
      </w:r>
    </w:p>
    <w:p>
      <w:pPr>
        <w:pStyle w:val="BodyText"/>
      </w:pPr>
      <w:r>
        <w:t xml:space="preserve">A tremendous amount of effort is spent monitoring all three types of stream integrity indicators. These monitoring programs can be large and complex or small and straightforward, but all share the same challenge; how to communicate the complex physical, chemical, and biological results in a scientifically rigorous, repeatable, yet readily understandable way to non-scientists</w:t>
      </w:r>
      <w:r>
        <w:t xml:space="preserve"> </w:t>
      </w:r>
      <w:r>
        <w:t xml:space="preserve">(National Research Council,</w:t>
      </w:r>
      <w:r>
        <w:t xml:space="preserve"> </w:t>
      </w:r>
      <w:hyperlink w:anchor="ref-NRC90">
        <w:r>
          <w:rPr>
            <w:rStyle w:val="Hyperlink"/>
          </w:rPr>
          <w:t xml:space="preserve">1990</w:t>
        </w:r>
      </w:hyperlink>
      <w:r>
        <w:t xml:space="preserve">)</w:t>
      </w:r>
      <w:r>
        <w:t xml:space="preserve">. Most environmental managers and decision makers are not scientists and don’t understand the intricate, nuanced details of ecological data. An additional challenge is that ecological data are rarely black and white, so many of decisions asked of managers are made in the</w:t>
      </w:r>
      <w:r>
        <w:t xml:space="preserve"> </w:t>
      </w:r>
      <w:r>
        <w:t xml:space="preserve">“</w:t>
      </w:r>
      <w:r>
        <w:t xml:space="preserve">grey zone</w:t>
      </w:r>
      <w:r>
        <w:t xml:space="preserve">”</w:t>
      </w:r>
      <w:r>
        <w:t xml:space="preserve"> </w:t>
      </w:r>
      <w:r>
        <w:t xml:space="preserve">(Paulsen et al.,</w:t>
      </w:r>
      <w:r>
        <w:t xml:space="preserve"> </w:t>
      </w:r>
      <w:hyperlink w:anchor="ref-Paulsen08">
        <w:r>
          <w:rPr>
            <w:rStyle w:val="Hyperlink"/>
          </w:rPr>
          <w:t xml:space="preserve">2008</w:t>
        </w:r>
      </w:hyperlink>
      <w:r>
        <w:t xml:space="preserve">)</w:t>
      </w:r>
      <w:r>
        <w:t xml:space="preserve">. This is particularly true when the different lines of evidence are not in complete agreement.</w:t>
      </w:r>
    </w:p>
    <w:p>
      <w:pPr>
        <w:pStyle w:val="BodyText"/>
      </w:pPr>
      <w:r>
        <w:t xml:space="preserve">Currently, there are many examples of how to effectively communicate single indicators. Well known examples including biological assessment tools such as the Index of Biological Integrity</w:t>
      </w:r>
      <w:r>
        <w:t xml:space="preserve"> </w:t>
      </w:r>
      <w:r>
        <w:t xml:space="preserve">(Karr,</w:t>
      </w:r>
      <w:r>
        <w:t xml:space="preserve"> </w:t>
      </w:r>
      <w:hyperlink w:anchor="ref-Karr81">
        <w:r>
          <w:rPr>
            <w:rStyle w:val="Hyperlink"/>
          </w:rPr>
          <w:t xml:space="preserve">1981</w:t>
        </w:r>
      </w:hyperlink>
      <w:r>
        <w:t xml:space="preserve">)</w:t>
      </w:r>
      <w:r>
        <w:t xml:space="preserve">, Observed to Expected ratios</w:t>
      </w:r>
      <w:r>
        <w:t xml:space="preserve"> </w:t>
      </w:r>
      <w:r>
        <w:t xml:space="preserve">(Hawkins et al.,</w:t>
      </w:r>
      <w:r>
        <w:t xml:space="preserve"> </w:t>
      </w:r>
      <w:hyperlink w:anchor="ref-Hawkins00b">
        <w:r>
          <w:rPr>
            <w:rStyle w:val="Hyperlink"/>
          </w:rPr>
          <w:t xml:space="preserve">2000</w:t>
        </w:r>
      </w:hyperlink>
      <w:r>
        <w:t xml:space="preserve">)</w:t>
      </w:r>
      <w:r>
        <w:t xml:space="preserve">, or hybrids of the IBI and O/E</w:t>
      </w:r>
      <w:r>
        <w:t xml:space="preserve"> </w:t>
      </w:r>
      <w:r>
        <w:t xml:space="preserve">(Mazor et al.,</w:t>
      </w:r>
      <w:r>
        <w:t xml:space="preserve"> </w:t>
      </w:r>
      <w:hyperlink w:anchor="ref-Mazor16">
        <w:r>
          <w:rPr>
            <w:rStyle w:val="Hyperlink"/>
          </w:rPr>
          <w:t xml:space="preserve">2016</w:t>
        </w:r>
      </w:hyperlink>
      <w:r>
        <w:t xml:space="preserve">)</w:t>
      </w:r>
      <w:r>
        <w:t xml:space="preserve">. Similarly, assessment tools also exist for chemical indicators such as the CCME Water Quality Index produced by the Canadian Council of Ministers of the Environment</w:t>
      </w:r>
      <w:r>
        <w:t xml:space="preserve"> </w:t>
      </w:r>
      <w:r>
        <w:t xml:space="preserve">(CCME (Canadian Council of Ministers of the Environment),</w:t>
      </w:r>
      <w:r>
        <w:t xml:space="preserve"> </w:t>
      </w:r>
      <w:hyperlink w:anchor="ref-CCME01">
        <w:r>
          <w:rPr>
            <w:rStyle w:val="Hyperlink"/>
          </w:rPr>
          <w:t xml:space="preserve">2001</w:t>
        </w:r>
      </w:hyperlink>
      <w:r>
        <w:t xml:space="preserve">; Hurley et al.,</w:t>
      </w:r>
      <w:r>
        <w:t xml:space="preserve"> </w:t>
      </w:r>
      <w:hyperlink w:anchor="ref-Hurley12">
        <w:r>
          <w:rPr>
            <w:rStyle w:val="Hyperlink"/>
          </w:rPr>
          <w:t xml:space="preserve">2012</w:t>
        </w:r>
      </w:hyperlink>
      <w:r>
        <w:t xml:space="preserve">)</w:t>
      </w:r>
      <w:r>
        <w:t xml:space="preserve">. Physical habitat assessment tools are less common, such as ____ (maybe CRAM?)</w:t>
      </w:r>
    </w:p>
    <w:p>
      <w:pPr>
        <w:pStyle w:val="BodyText"/>
      </w:pPr>
      <w:r>
        <w:t xml:space="preserve">Creating an assessment tool that combines physical, chemical, and biological indicators into a single unified assessment are exceedingly rare</w:t>
      </w:r>
      <w:r>
        <w:t xml:space="preserve"> </w:t>
      </w:r>
      <w:r>
        <w:t xml:space="preserve">(Bay and Weisberg,</w:t>
      </w:r>
      <w:r>
        <w:t xml:space="preserve"> </w:t>
      </w:r>
      <w:hyperlink w:anchor="ref-Bay12">
        <w:r>
          <w:rPr>
            <w:rStyle w:val="Hyperlink"/>
          </w:rPr>
          <w:t xml:space="preserve">2012</w:t>
        </w:r>
      </w:hyperlink>
      <w:r>
        <w:t xml:space="preserve">)</w:t>
      </w:r>
      <w:r>
        <w:t xml:space="preserve">. Most frequently, the three indicators are individually simplified and presented in groups, leaving managers to decide which is most important</w:t>
      </w:r>
      <w:r>
        <w:t xml:space="preserve"> </w:t>
      </w:r>
      <w:r>
        <w:t xml:space="preserve">(Paulsen et al.,</w:t>
      </w:r>
      <w:r>
        <w:t xml:space="preserve"> </w:t>
      </w:r>
      <w:hyperlink w:anchor="ref-Paulsen08">
        <w:r>
          <w:rPr>
            <w:rStyle w:val="Hyperlink"/>
          </w:rPr>
          <w:t xml:space="preserve">2008</w:t>
        </w:r>
      </w:hyperlink>
      <w:r>
        <w:t xml:space="preserve">)</w:t>
      </w:r>
      <w:r>
        <w:t xml:space="preserve">. If the goal is to communicate all three indicators of stream health to non-technical managers, then combining them into a single assessment score would be preferentially useful. A single scale provides straightforward context for comparing one site to another to rank priorities for future efforts, or to track the improvement of single sites where management actions have already been implemented (or degradation where improvements are not implemented). The challenge, as scientists, is creating a technically robust tool that is repeatable, where scores have similar meanings in different environmental settings, and provides clues as to what indicator is impacted and needs to be remediated.</w:t>
      </w:r>
    </w:p>
    <w:p>
      <w:pPr>
        <w:pStyle w:val="BodyText"/>
      </w:pPr>
      <w:r>
        <w:t xml:space="preserve">The goal of this study was to develop the Stream Quality Index (SQI), a single index that combines physical, chemical, and biological indicators into a scientifically rigorous, yet easy to understand tool for management decision making. The SCI is calibrated and validated specifically for southern California, USA, but the approach could be taken anywhere sufficient data is available. Southern California makes for an excellent test case because of the extensive and varied levels of stress and biological impacts. Moreover, there are a multitude of environmental managers with a wide variety of backgrounds and experience in technical and policy issues.</w:t>
      </w:r>
    </w:p>
    <w:p>
      <w:pPr>
        <w:pStyle w:val="Heading1"/>
      </w:pPr>
      <w:bookmarkStart w:id="25" w:name="methods"/>
      <w:r>
        <w:t xml:space="preserve">Methods</w:t>
      </w:r>
      <w:bookmarkEnd w:id="25"/>
    </w:p>
    <w:p>
      <w:pPr>
        <w:pStyle w:val="Heading2"/>
      </w:pPr>
      <w:bookmarkStart w:id="26" w:name="general-approach"/>
      <w:r>
        <w:t xml:space="preserve">General Approach</w:t>
      </w:r>
      <w:bookmarkEnd w:id="26"/>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7" w:name="biological-response-components-of-the-sqi"/>
      <w:r>
        <w:t xml:space="preserve">Biological response components of the SQI</w:t>
      </w:r>
      <w:bookmarkEnd w:id="27"/>
    </w:p>
    <w:p>
      <w:pPr>
        <w:pStyle w:val="Heading3"/>
      </w:pPr>
      <w:bookmarkStart w:id="28" w:name="characterizing-biological-condition"/>
      <w:r>
        <w:t xml:space="preserve">Characterizing biological condition</w:t>
      </w:r>
      <w:bookmarkEnd w:id="28"/>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(Cao et al.,</w:t>
      </w:r>
      <w:r>
        <w:t xml:space="preserve"> </w:t>
      </w:r>
      <w:hyperlink w:anchor="ref-Cao07">
        <w:r>
          <w:rPr>
            <w:rStyle w:val="Hyperlink"/>
          </w:rPr>
          <w:t xml:space="preserve">2007</w:t>
        </w:r>
      </w:hyperlink>
      <w:r>
        <w:t xml:space="preserve">; Moss et al.,</w:t>
      </w:r>
      <w:r>
        <w:t xml:space="preserve"> </w:t>
      </w:r>
      <w:hyperlink w:anchor="ref-Moss87">
        <w:r>
          <w:rPr>
            <w:rStyle w:val="Hyperlink"/>
          </w:rPr>
          <w:t xml:space="preserve">1987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9" w:name="integrating-multiple-measures-of-biological-condition"/>
      <w:r>
        <w:t xml:space="preserve">Integrating multiple measures of biological condition</w:t>
      </w:r>
      <w:bookmarkEnd w:id="29"/>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30" w:name="stressor-components"/>
      <w:r>
        <w:t xml:space="preserve">Stressor components</w:t>
      </w:r>
      <w:bookmarkEnd w:id="30"/>
    </w:p>
    <w:p>
      <w:pPr>
        <w:pStyle w:val="Heading3"/>
      </w:pPr>
      <w:bookmarkStart w:id="31" w:name="characterizing-stress"/>
      <w:r>
        <w:t xml:space="preserve">Characterizing stress</w:t>
      </w:r>
      <w:bookmarkEnd w:id="31"/>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(Pan et al.,</w:t>
      </w:r>
      <w:r>
        <w:t xml:space="preserve"> </w:t>
      </w:r>
      <w:hyperlink w:anchor="ref-Pan02">
        <w:r>
          <w:rPr>
            <w:rStyle w:val="Hyperlink"/>
          </w:rPr>
          <w:t xml:space="preserve">2002</w:t>
        </w:r>
      </w:hyperlink>
      <w:r>
        <w:t xml:space="preserve">; Richards et al.,</w:t>
      </w:r>
      <w:r>
        <w:t xml:space="preserve"> </w:t>
      </w:r>
      <w:hyperlink w:anchor="ref-Richards97">
        <w:r>
          <w:rPr>
            <w:rStyle w:val="Hyperlink"/>
          </w:rPr>
          <w:t xml:space="preserve">1997</w:t>
        </w:r>
      </w:hyperlink>
      <w:r>
        <w:t xml:space="preserve">; Wang et al.,</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et al.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et al.,</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et al.,</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2" w:name="integrating-multiple-measures-of-stress"/>
      <w:r>
        <w:t xml:space="preserve">Integrating multiple measures of stress</w:t>
      </w:r>
      <w:bookmarkEnd w:id="32"/>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3" w:name="combining-stress-and-response-measures-into-an-overall-stream-quality-index-sqi"/>
      <w:r>
        <w:t xml:space="preserve">Combining stress and response measures into an overall Stream Quality Index (SQI)</w:t>
      </w:r>
      <w:bookmarkEnd w:id="33"/>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 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4" w:name="application"/>
      <w:r>
        <w:t xml:space="preserve">Application</w:t>
      </w:r>
      <w:bookmarkEnd w:id="34"/>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5" w:name="results"/>
      <w:r>
        <w:t xml:space="preserve">Results</w:t>
      </w:r>
      <w:bookmarkEnd w:id="35"/>
    </w:p>
    <w:p>
      <w:pPr>
        <w:pStyle w:val="Heading2"/>
      </w:pPr>
      <w:bookmarkStart w:id="36" w:name="sqi-patterns"/>
      <w:r>
        <w:t xml:space="preserve">SQI patterns</w:t>
      </w:r>
      <w:bookmarkEnd w:id="36"/>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Heading2"/>
      </w:pPr>
      <w:bookmarkStart w:id="37" w:name="model-precision"/>
      <w:r>
        <w:t xml:space="preserve">Model precision</w:t>
      </w:r>
      <w:bookmarkEnd w:id="37"/>
    </w:p>
    <w:p>
      <w:pPr>
        <w:pStyle w:val="FirstParagraph"/>
      </w:pPr>
      <w:r>
        <w:t xml:space="preserve">The distinction between healthy and impacted biological communities was well described by the estimated likelihood of biological alteration provided by the empirical models (Figure</w:t>
      </w:r>
      <w:r>
        <w:t xml:space="preserve"> </w:t>
      </w:r>
      <w:r>
        <w:t xml:space="preserve">4</w:t>
      </w:r>
      <w:r>
        <w:t xml:space="preserve">). Slightly larger differences between the likelihood of alteration for healthy and impacted communities was observed for the chemistry model compared to the physical habitat model, suggesting an improved fit for the former. For the overall likelihood of biological alteration (</w:t>
      </w:r>
      <w:r>
        <w:rPr>
          <w:i/>
        </w:rPr>
        <w:t xml:space="preserve">pOverall</w:t>
      </w:r>
      <w:r>
        <w:t xml:space="preserve">), more sites were greater than 90% likely to altered in the impacted category as compared to the separate</w:t>
      </w:r>
      <w:r>
        <w:t xml:space="preserve"> </w:t>
      </w:r>
      <w:r>
        <w:rPr>
          <w:i/>
        </w:rPr>
        <w:t xml:space="preserve">pChem</w:t>
      </w:r>
      <w:r>
        <w:t xml:space="preserve"> </w:t>
      </w:r>
      <w:r>
        <w:t xml:space="preserve">and</w:t>
      </w:r>
      <w:r>
        <w:t xml:space="preserve"> </w:t>
      </w:r>
      <w:r>
        <w:rPr>
          <w:i/>
        </w:rPr>
        <w:t xml:space="preserve">pHab</w:t>
      </w:r>
      <w:r>
        <w:t xml:space="preserve"> </w:t>
      </w:r>
      <w:r>
        <w:t xml:space="preserve">models. For all cases, (</w:t>
      </w:r>
      <w:r>
        <w:rPr>
          <w:i/>
        </w:rPr>
        <w:t xml:space="preserve">pChem</w:t>
      </w:r>
      <w:r>
        <w:t xml:space="preserve">,</w:t>
      </w:r>
      <w:r>
        <w:t xml:space="preserve"> </w:t>
      </w:r>
      <w:r>
        <w:rPr>
          <w:i/>
        </w:rPr>
        <w:t xml:space="preserve">pHab</w:t>
      </w:r>
      <w:r>
        <w:t xml:space="preserve">,</w:t>
      </w:r>
      <w:r>
        <w:t xml:space="preserve"> </w:t>
      </w:r>
      <w:r>
        <w:rPr>
          <w:i/>
        </w:rPr>
        <w:t xml:space="preserve">pOverall</w:t>
      </w:r>
      <w:r>
        <w:t xml:space="preserve">), there were no systematic differences in model results between calibration and validation datasets (</w:t>
      </w:r>
      <m:oMath>
        <m:r>
          <m:t>p</m:t>
        </m:r>
        <m:r>
          <m:t>&gt;</m:t>
        </m:r>
      </m:oMath>
      <w:r>
        <w:t xml:space="preserve"> </w:t>
      </w:r>
      <w:r>
        <w:t xml:space="preserve">0.05 for the interaction and fixed effect of site type in linear models describing likelihood of alteration between impact categories and site type).</w:t>
      </w:r>
    </w:p>
    <w:p>
      <w:pPr>
        <w:pStyle w:val="BodyText"/>
      </w:pPr>
      <w:r>
        <w:t xml:space="preserve">The underlying empirical models provided insight into instream characteristics that were related to the likelihood of biological alteration (Figures</w:t>
      </w:r>
      <w:r>
        <w:t xml:space="preserve"> </w:t>
      </w:r>
      <w:r>
        <w:t xml:space="preserve">5</w:t>
      </w:r>
      <w:r>
        <w:t xml:space="preserve">,</w:t>
      </w:r>
      <w:r>
        <w:t xml:space="preserve"> </w:t>
      </w:r>
      <w:r>
        <w:t xml:space="preserve">6</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5</w:t>
      </w:r>
      <w:r>
        <w:t xml:space="preserve">). Collectively, 89% (n = 237) of sites had greater than 50% likelihood of biological alteration from the overall stress of both chemistry and physical habitat stressors.</w:t>
      </w:r>
    </w:p>
    <w:p>
      <w:pPr>
        <w:pStyle w:val="BodyText"/>
      </w:pPr>
      <w:r>
        <w:t xml:space="preserve">Water chemistry and physical habitat predictors included in the empirical response models for</w:t>
      </w:r>
      <w:r>
        <w:t xml:space="preserve"> </w:t>
      </w:r>
      <w:r>
        <w:rPr>
          <w:i/>
        </w:rPr>
        <w:t xml:space="preserve">pChem</w:t>
      </w:r>
      <w:r>
        <w:t xml:space="preserve"> </w:t>
      </w:r>
      <w:r>
        <w:t xml:space="preserve">and</w:t>
      </w:r>
      <w:r>
        <w:t xml:space="preserve"> </w:t>
      </w:r>
      <w:r>
        <w:rPr>
          <w:i/>
        </w:rPr>
        <w:t xml:space="preserve">pHab</w:t>
      </w:r>
      <w:r>
        <w:t xml:space="preserve"> </w:t>
      </w:r>
      <w:r>
        <w:t xml:space="preserve">(equations (1), (2)) explained a substantial portion of variability among sites related to the occurrence of biological alteration (Table</w:t>
      </w:r>
      <w:r>
        <w:t xml:space="preserve"> </w:t>
      </w:r>
      <w:r>
        <w:t xml:space="preserve">3</w:t>
      </w:r>
      <w:r>
        <w:t xml:space="preserve">). The</w:t>
      </w:r>
      <w:r>
        <w:t xml:space="preserve"> </w:t>
      </w:r>
      <w:r>
        <w:rPr>
          <w:i/>
        </w:rPr>
        <w:t xml:space="preserve">pChem</w:t>
      </w:r>
      <w:r>
        <w:t xml:space="preserve"> </w:t>
      </w:r>
      <w:r>
        <w:t xml:space="preserve">explained 64% of the variation among sites, whereas the</w:t>
      </w:r>
      <w:r>
        <w:t xml:space="preserve"> </w:t>
      </w:r>
      <w:r>
        <w:rPr>
          <w:i/>
        </w:rPr>
        <w:t xml:space="preserve">pHab</w:t>
      </w:r>
      <w:r>
        <w:t xml:space="preserve"> </w:t>
      </w:r>
      <w:r>
        <w:t xml:space="preserve">model explained 42%. All predictors in the</w:t>
      </w:r>
      <w:r>
        <w:t xml:space="preserve"> </w:t>
      </w:r>
      <w:r>
        <w:rPr>
          <w:i/>
        </w:rPr>
        <w:t xml:space="preserve">pChem</w:t>
      </w:r>
      <w:r>
        <w:t xml:space="preserve"> </w:t>
      </w:r>
      <w:r>
        <w:t xml:space="preserve">were significantly and positively associated (</w:t>
      </w:r>
      <m:oMath>
        <m:r>
          <m:t>p</m:t>
        </m:r>
        <m:r>
          <m:t>&lt;</m:t>
        </m:r>
        <m:r>
          <m:t>0.05</m:t>
        </m:r>
      </m:oMath>
      <w:r>
        <w:t xml:space="preserve">) with the occurrence of biological alteration. Only the CRAM predictor in the</w:t>
      </w:r>
      <w:r>
        <w:t xml:space="preserve"> </w:t>
      </w:r>
      <w:r>
        <w:rPr>
          <w:i/>
        </w:rPr>
        <w:t xml:space="preserve">pHab</w:t>
      </w:r>
      <w:r>
        <w:t xml:space="preserve"> </w:t>
      </w:r>
      <w:r>
        <w:t xml:space="preserve">model was significantly associated th occurrence of biological alteration. Both CRAM and IPI are significantly correlated in the calibration dataset (</w:t>
      </w:r>
      <m:oMath>
        <m:r>
          <m:t>r</m:t>
        </m:r>
        <m:r>
          <m:t>=</m:t>
        </m:r>
      </m:oMath>
      <w:r>
        <w:t xml:space="preserve"> </w:t>
      </w:r>
      <w:r>
        <w:rPr>
          <w:rStyle w:val="VerbatimChar"/>
        </w:rPr>
        <w:t xml:space="preserve">crhab</w:t>
      </w:r>
      <w:r>
        <w:t xml:space="preserve">), which masked the effect of IPI on biological alteration in the</w:t>
      </w:r>
      <w:r>
        <w:t xml:space="preserve"> </w:t>
      </w:r>
      <w:r>
        <w:rPr>
          <w:i/>
        </w:rPr>
        <w:t xml:space="preserve">pHab</w:t>
      </w:r>
      <w:r>
        <w:t xml:space="preserve"> </w:t>
      </w:r>
      <w:r>
        <w:t xml:space="preserve">model. However, exclusion of CRAM from the</w:t>
      </w:r>
      <w:r>
        <w:t xml:space="preserve"> </w:t>
      </w:r>
      <w:r>
        <w:rPr>
          <w:i/>
        </w:rPr>
        <w:t xml:space="preserve">pHab</w:t>
      </w:r>
      <w:r>
        <w:t xml:space="preserve"> </w:t>
      </w:r>
      <w:r>
        <w:t xml:space="preserve">model reduced the explanatory power by approximately 14% and both were retained for the SQI.</w:t>
      </w:r>
    </w:p>
    <w:p>
      <w:pPr>
        <w:pStyle w:val="BodyText"/>
      </w:pPr>
      <w:r>
        <w:t xml:space="preserve">Figure</w:t>
      </w:r>
      <w:r>
        <w:t xml:space="preserve"> </w:t>
      </w:r>
      <w:r>
        <w:t xml:space="preserve">6</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8" w:name="discussion"/>
      <w:r>
        <w:t xml:space="preserve">Discussion</w:t>
      </w:r>
      <w:bookmarkEnd w:id="38"/>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w:t>
      </w:r>
      <w:r>
        <w:t xml:space="preserve"> </w:t>
      </w:r>
      <w:r>
        <w:t xml:space="preserve">Hurley et al. (</w:t>
      </w:r>
      <w:hyperlink w:anchor="ref-Hurley12">
        <w:r>
          <w:rPr>
            <w:rStyle w:val="Hyperlink"/>
          </w:rPr>
          <w:t xml:space="preserve">2012</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9" w:name="the-sqi-web-application"/>
      <w:r>
        <w:t xml:space="preserve">The SQI web application</w:t>
      </w:r>
      <w:bookmarkEnd w:id="39"/>
    </w:p>
    <w:p>
      <w:pPr>
        <w:pStyle w:val="FirstParagraph"/>
      </w:pPr>
      <w:r>
        <w:t xml:space="preserve">A web application was developed to make the SQI accessible to managers and other stakeholders (</w:t>
      </w:r>
      <w:hyperlink r:id="rId40">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41" w:name="conclusions"/>
      <w:r>
        <w:t xml:space="preserve">Conclusions</w:t>
      </w:r>
      <w:bookmarkEnd w:id="41"/>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42" w:name="figures"/>
      <w:r>
        <w:t xml:space="preserve">Figures</w:t>
      </w:r>
      <w:bookmarkEnd w:id="42"/>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3"/>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4"/>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5943600" cy="2971800"/>
            <wp:effectExtent b="0" l="0" r="0" t="0"/>
            <wp:docPr descr="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 title="" id="1" name="Picture"/>
            <a:graphic>
              <a:graphicData uri="http://schemas.openxmlformats.org/drawingml/2006/picture">
                <pic:pic>
                  <pic:nvPicPr>
                    <pic:cNvPr descr="figs/box_lik.png" id="0"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Boxplot distributions of the modelled likelihood of biological alteration relative to water chemistry (</w:t>
      </w:r>
      <w:r>
        <w:rPr>
          <w:i/>
        </w:rPr>
        <w:t xml:space="preserve">pChem</w:t>
      </w:r>
      <w:r>
        <w:t xml:space="preserve">, eqn. (1)) and physical habitat variables (</w:t>
      </w:r>
      <w:r>
        <w:rPr>
          <w:i/>
        </w:rPr>
        <w:t xml:space="preserve">pHab</w:t>
      </w:r>
      <w:r>
        <w:t xml:space="preserve">, eqn. (2)) and the additive overall stress as the product between the two (</w:t>
      </w:r>
      <w:r>
        <w:rPr>
          <w:i/>
        </w:rPr>
        <w:t xml:space="preserve">pOverall</w:t>
      </w:r>
      <w:r>
        <w:t xml:space="preserve">, eqn. (3)). Groups are separated into healthy or impacted biological condition at each site (Table &lt;a href=</w:t>
      </w:r>
      <w:r>
        <w:t xml:space="preserve">“</w:t>
      </w:r>
      <w:r>
        <w:t xml:space="preserve">#tab:biocmb</w:t>
      </w:r>
      <w:r>
        <w:t xml:space="preserve">”</w:t>
      </w:r>
      <w:r>
        <w:t xml:space="preserve">&gt;1</w:t>
      </w:r>
      <w:r>
        <w:t xml:space="preserve">) as the response measure for each model and by calibration/validation datasets (3:1 split). Points show the four possible categorical outcomes from the overall SQI. CSCI: California Stream Condition Index, ASCI: Algal Stream Condition Index</w:t>
      </w:r>
    </w:p>
    <w:p>
      <w:pPr>
        <w:pStyle w:val="CaptionedFigure"/>
      </w:pPr>
      <w:r>
        <w:drawing>
          <wp:inline>
            <wp:extent cx="4125112" cy="4583458"/>
            <wp:effectExtent b="0" l="0" r="0" t="0"/>
            <wp:docPr descr="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47"/>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5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4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9" w:name="tables"/>
      <w:r>
        <w:t xml:space="preserve">Tables</w:t>
      </w:r>
      <w:bookmarkEnd w:id="49"/>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pPr>
              <w:pStyle w:val="Compact"/>
            </w:pPr>
          </w:p>
        </w:tc>
        <w:tc>
          <w:p>
            <w:pPr>
              <w:pStyle w:val="Compact"/>
              <w:jc w:val="left"/>
            </w:pPr>
            <w:r>
              <w:t xml:space="preserve">Healthy and resilient</w:t>
            </w:r>
          </w:p>
        </w:tc>
        <w:tc>
          <w:p>
            <w:pPr>
              <w:pStyle w:val="Compact"/>
              <w:jc w:val="left"/>
            </w:pPr>
            <w:r>
              <w:t xml:space="preserve">6 (2.3)</w:t>
            </w:r>
          </w:p>
        </w:tc>
      </w:tr>
      <w:tr>
        <w:tc>
          <w:p>
            <w:pPr>
              <w:pStyle w:val="Compact"/>
            </w:pPr>
          </w:p>
        </w:tc>
        <w:tc>
          <w:p>
            <w:pPr>
              <w:pStyle w:val="Compact"/>
              <w:jc w:val="left"/>
            </w:pPr>
            <w:r>
              <w:t xml:space="preserve">Impacted and stressed</w:t>
            </w:r>
          </w:p>
        </w:tc>
        <w:tc>
          <w:p>
            <w:pPr>
              <w:pStyle w:val="Compact"/>
              <w:jc w:val="left"/>
            </w:pPr>
            <w:r>
              <w:t xml:space="preserve">171 (64.3)</w:t>
            </w:r>
          </w:p>
        </w:tc>
      </w:tr>
      <w:tr>
        <w:tc>
          <w:p>
            <w:pPr>
              <w:pStyle w:val="Compact"/>
            </w:pPr>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pPr>
              <w:pStyle w:val="Compact"/>
            </w:pPr>
          </w:p>
        </w:tc>
        <w:tc>
          <w:p>
            <w:pPr>
              <w:pStyle w:val="Compact"/>
              <w:jc w:val="left"/>
            </w:pPr>
            <w:r>
              <w:t xml:space="preserve">Impacted for ASCI</w:t>
            </w:r>
          </w:p>
        </w:tc>
        <w:tc>
          <w:p>
            <w:pPr>
              <w:pStyle w:val="Compact"/>
              <w:jc w:val="left"/>
            </w:pPr>
            <w:r>
              <w:t xml:space="preserve">43 (16.2)</w:t>
            </w:r>
          </w:p>
        </w:tc>
      </w:tr>
      <w:tr>
        <w:tc>
          <w:p>
            <w:pPr>
              <w:pStyle w:val="Compact"/>
            </w:pPr>
          </w:p>
        </w:tc>
        <w:tc>
          <w:p>
            <w:pPr>
              <w:pStyle w:val="Compact"/>
              <w:jc w:val="left"/>
            </w:pPr>
            <w:r>
              <w:t xml:space="preserve">Impacted for CSCI</w:t>
            </w:r>
          </w:p>
        </w:tc>
        <w:tc>
          <w:p>
            <w:pPr>
              <w:pStyle w:val="Compact"/>
              <w:jc w:val="left"/>
            </w:pPr>
            <w:r>
              <w:t xml:space="preserve">29 (10.9)</w:t>
            </w:r>
          </w:p>
        </w:tc>
      </w:tr>
      <w:tr>
        <w:tc>
          <w:p>
            <w:pPr>
              <w:pStyle w:val="Compact"/>
            </w:pPr>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pPr>
              <w:pStyle w:val="Compact"/>
            </w:pPr>
          </w:p>
        </w:tc>
        <w:tc>
          <w:p>
            <w:pPr>
              <w:pStyle w:val="Compact"/>
              <w:jc w:val="left"/>
            </w:pPr>
            <w:r>
              <w:t xml:space="preserve">Stressed by chemistry and habitat degradation</w:t>
            </w:r>
          </w:p>
        </w:tc>
        <w:tc>
          <w:p>
            <w:pPr>
              <w:pStyle w:val="Compact"/>
              <w:jc w:val="left"/>
            </w:pPr>
            <w:r>
              <w:t xml:space="preserve">93 (35)</w:t>
            </w:r>
          </w:p>
        </w:tc>
      </w:tr>
      <w:tr>
        <w:tc>
          <w:p>
            <w:pPr>
              <w:pStyle w:val="Compact"/>
            </w:pPr>
          </w:p>
        </w:tc>
        <w:tc>
          <w:p>
            <w:pPr>
              <w:pStyle w:val="Compact"/>
              <w:jc w:val="left"/>
            </w:pPr>
            <w:r>
              <w:t xml:space="preserve">Stressed by chemistry degradation</w:t>
            </w:r>
          </w:p>
        </w:tc>
        <w:tc>
          <w:p>
            <w:pPr>
              <w:pStyle w:val="Compact"/>
              <w:jc w:val="left"/>
            </w:pPr>
            <w:r>
              <w:t xml:space="preserve">32 (12)</w:t>
            </w:r>
          </w:p>
        </w:tc>
      </w:tr>
      <w:tr>
        <w:tc>
          <w:p>
            <w:pPr>
              <w:pStyle w:val="Compact"/>
            </w:pPr>
          </w:p>
        </w:tc>
        <w:tc>
          <w:p>
            <w:pPr>
              <w:pStyle w:val="Compact"/>
              <w:jc w:val="left"/>
            </w:pPr>
            <w:r>
              <w:t xml:space="preserve">Stressed by habitat degradation</w:t>
            </w:r>
          </w:p>
        </w:tc>
        <w:tc>
          <w:p>
            <w:pPr>
              <w:pStyle w:val="Compact"/>
              <w:jc w:val="left"/>
            </w:pPr>
            <w:r>
              <w:t xml:space="preserve">19 (7.1)</w:t>
            </w:r>
          </w:p>
        </w:tc>
      </w:tr>
    </w:tbl>
    <w:p>
      <w:pPr>
        <w:pStyle w:val="BodyText"/>
      </w:pPr>
      <w:r>
        <w:rPr>
          <w:i/>
        </w:rPr>
        <w:t xml:space="preserve">Table</w:t>
      </w:r>
      <w:r>
        <w:rPr>
          <w:i/>
        </w:rPr>
        <w:t xml:space="preserve"> </w:t>
      </w:r>
      <w:r>
        <w:rPr>
          <w:i/>
        </w:rPr>
        <w:t xml:space="preserve">3</w:t>
      </w:r>
      <w:r>
        <w:rPr>
          <w:i/>
        </w:rPr>
        <w:t xml:space="preserve">: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n = 266 sites). The sub models pHab, IPI only and pHab, CRAM only are shown to demonstrate improved precision of the combined pHab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59"/>
        <w:gridCol w:w="1359"/>
      </w:tblGrid>
      <w:tr>
        <w:trPr>
          <w:cantSplit/>
          <w:trHeight w:val="437"/>
        </w:trPr>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pChem</w:t>
            </w:r>
          </w:p>
        </w:tc>
        <w:tc>
          <w:tcPr>
            <w:tcBorders>
              <w:bottom w:val="single" w:sz="8" w:space="0" w:color="000000"/>
              <w:top w:val="single" w:sz="8" w:space="0" w:color="000000"/>
            </w:tcBorders>
            <w:tcMar>
              <w:top w:w="0" w:type="dxa"/>
              <w:bottom w:w="0" w:type="dxa"/>
              <w:left w:w="0" w:type="dxa"/>
              <w:right w:w="0" w:type="dxa"/>
            </w:tcMar>
            <w:vAlign w:val="top"/>
          </w:tcPr>
          <w:p>
            <w:pPr>
              <w:jc w:val="center"/>
              <w:spacing w:after="80" w:before="80"/>
              <w:ind w:firstLine="0" w:left="80" w:right="80"/>
            </w:pPr>
            <w:r>
              <w:rPr>
                <w:rFonts w:ascii="Times" w:hAnsi="Times" w:cs="Times"/>
                <w:sz w:val="24"/>
                <w:szCs w:val="24"/>
                <w:color w:val="000000"/>
              </w:rPr>
              <w:t xml:space="preserve">pHab</w:t>
            </w:r>
          </w:p>
        </w:tc>
      </w:tr>
      <w:tr>
        <w:trPr>
          <w:cantSplit/>
          <w:trHeight w:val="397"/>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Constant</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-2.94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7.95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(0.51)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(1.30)   </w:t>
            </w:r>
          </w:p>
        </w:tc>
      </w:tr>
      <w:tr>
        <w:trPr>
          <w:cantSplit/>
          <w:trHeight w:val="461"/>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log(TN)</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2.96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61"/>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log(TP)</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20.59 *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(8.52)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3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Conductivity</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(0.00)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CRAM</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-0.09 ***</w:t>
            </w:r>
          </w:p>
        </w:tc>
      </w:tr>
      <w:tr>
        <w:trPr>
          <w:cantSplit/>
          <w:trHeight w:val="44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(0.02)   </w:t>
            </w:r>
          </w:p>
        </w:tc>
      </w:tr>
      <w:tr>
        <w:trPr>
          <w:cantSplit/>
          <w:trHeight w:val="393"/>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IPI</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-0.86    </w:t>
            </w:r>
          </w:p>
        </w:tc>
      </w:tr>
      <w:tr>
        <w:trPr>
          <w:cantSplit/>
          <w:trHeight w:val="447"/>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(1.33)   </w:t>
            </w:r>
          </w:p>
        </w:tc>
      </w:tr>
      <w:tr>
        <w:trPr>
          <w:cantSplit/>
          <w:trHeight w:val="393"/>
        </w:trPr>
        <w:tc>
          <w:tcPr>
            <w:tcBorders>
              <w:top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N</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200       </w:t>
            </w:r>
          </w:p>
        </w:tc>
        <w:tc>
          <w:tcPr>
            <w:tcBorders>
              <w:top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200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AIC</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134.53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181.40    </w:t>
            </w:r>
          </w:p>
        </w:tc>
      </w:tr>
      <w:tr>
        <w:trPr>
          <w:cantSplit/>
          <w:trHeight w:val="397"/>
        </w:trPr>
        <w:tc>
          <w:tcPr>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BIC</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147.73    </w:t>
            </w:r>
          </w:p>
        </w:tc>
        <w:tc>
          <w:tcPr>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191.29    </w:t>
            </w:r>
          </w:p>
        </w:tc>
      </w:tr>
      <w:tr>
        <w:trPr>
          <w:cantSplit/>
          <w:trHeight w:val="396"/>
        </w:trPr>
        <w:tc>
          <w:tcPr>
            <w:tcBorders>
              <w:bottom w:val="single" w:sz="8" w:space="0" w:color="000000"/>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Pseudo R2</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0.64    </w:t>
            </w:r>
          </w:p>
        </w:tc>
        <w:tc>
          <w:tcPr>
            <w:tcBorders>
              <w:bottom w:val="single" w:sz="8" w:space="0" w:color="000000"/>
            </w:tcBorders>
            <w:tcMar>
              <w:top w:w="0" w:type="dxa"/>
              <w:bottom w:w="0" w:type="dxa"/>
              <w:left w:w="0" w:type="dxa"/>
              <w:right w:w="0" w:type="dxa"/>
            </w:tcMar>
            <w:vAlign w:val="top"/>
          </w:tcPr>
          <w:p>
            <w:pPr>
              <w:jc w:val="right"/>
              <w:spacing w:after="80" w:before="80"/>
              <w:ind w:firstLine="0" w:left="80" w:right="80"/>
            </w:pPr>
            <w:r>
              <w:rPr>
                <w:rFonts w:ascii="Times" w:hAnsi="Times" w:cs="Times"/>
                <w:sz w:val="24"/>
                <w:szCs w:val="24"/>
                <w:color w:val="000000"/>
              </w:rPr>
              <w:t xml:space="preserve">0.42    </w:t>
            </w:r>
          </w:p>
        </w:tc>
      </w:tr>
      <w:tr>
        <w:trPr>
          <w:cantSplit/>
          <w:trHeight w:val="434"/>
        </w:trPr>
        <w:tc>
          <w:tcPr>
            <w:gridSpan w:val="3"/>
            <w:tcBorders/>
            <w:tcMar>
              <w:top w:w="0" w:type="dxa"/>
              <w:bottom w:w="0" w:type="dxa"/>
              <w:left w:w="0" w:type="dxa"/>
              <w:right w:w="0" w:type="dxa"/>
            </w:tcMar>
            <w:vAlign w:val="top"/>
          </w:tcPr>
          <w:p>
            <w:pPr>
              <w:jc w:val="left"/>
              <w:spacing w:after="80" w:before="80"/>
              <w:ind w:firstLine="0" w:left="80" w:right="80"/>
            </w:pPr>
            <w:r>
              <w:rPr>
                <w:rFonts w:ascii="Times" w:hAnsi="Times" w:cs="Times"/>
                <w:sz w:val="24"/>
                <w:szCs w:val="24"/>
                <w:color w:val="000000"/>
              </w:rPr>
              <w:t xml:space="preserve"> *** p &lt; 0.001;  ** p &lt; 0.01;  * p &lt; 0.05.</w:t>
            </w:r>
          </w:p>
        </w:tc>
      </w:tr>
    </w:tbl>
    <w:p>
      <w:pPr>
        <w:pStyle w:val="Heading1"/>
      </w:pPr>
      <w:bookmarkStart w:id="50" w:name="references"/>
      <w:r>
        <w:t xml:space="preserve">References</w:t>
      </w:r>
      <w:bookmarkEnd w:id="50"/>
    </w:p>
    <w:bookmarkStart w:id="91" w:name="refs"/>
    <w:bookmarkStart w:id="52" w:name="ref-Bay12"/>
    <w:p>
      <w:pPr>
        <w:pStyle w:val="Bibliography"/>
      </w:pPr>
      <w:r>
        <w:t xml:space="preserve">Bay, S.M., Weisberg, S.B., 2012. Framework for interpreting sediment quality triad data. Integrated Environmental Assessment and Management 8, 589–596.</w:t>
      </w:r>
      <w:r>
        <w:t xml:space="preserve"> </w:t>
      </w:r>
      <w:hyperlink r:id="rId51">
        <w:r>
          <w:rPr>
            <w:rStyle w:val="Hyperlink"/>
          </w:rPr>
          <w:t xml:space="preserve">https://doi.org/10.1002/ieam.118</w:t>
        </w:r>
      </w:hyperlink>
    </w:p>
    <w:bookmarkEnd w:id="52"/>
    <w:bookmarkStart w:id="54" w:name="ref-Beck18f"/>
    <w:p>
      <w:pPr>
        <w:pStyle w:val="Bibliography"/>
      </w:pPr>
      <w:r>
        <w:t xml:space="preserve">Beck, M.W., Mazor, R.D., 2018. SCCWRP/SQI: v1.2.0 (Version 1.2.0). Zenodo,</w:t>
      </w:r>
      <w:r>
        <w:t xml:space="preserve"> </w:t>
      </w:r>
      <w:hyperlink r:id="rId53">
        <w:r>
          <w:rPr>
            <w:rStyle w:val="Hyperlink"/>
          </w:rPr>
          <w:t xml:space="preserve">http://doi.org/10.5281/zenodo.2587212</w:t>
        </w:r>
      </w:hyperlink>
      <w:r>
        <w:t xml:space="preserve">.</w:t>
      </w:r>
    </w:p>
    <w:bookmarkEnd w:id="54"/>
    <w:bookmarkStart w:id="56" w:name="ref-Cao07"/>
    <w:p>
      <w:pPr>
        <w:pStyle w:val="Bibliography"/>
      </w:pPr>
      <w:r>
        <w:t xml:space="preserve">Cao, Y., Hawkins, C.P., Olson, J., Kosterman, M.A., 2007. Modeling natural environmental gradients improves the accuracy and precision of diatom-based indicators. Journal of the North American Benthological Society 26, 566–585.</w:t>
      </w:r>
      <w:r>
        <w:t xml:space="preserve"> </w:t>
      </w:r>
      <w:hyperlink r:id="rId55">
        <w:r>
          <w:rPr>
            <w:rStyle w:val="Hyperlink"/>
          </w:rPr>
          <w:t xml:space="preserve">https://doi.org/10.1899/06-078.1</w:t>
        </w:r>
      </w:hyperlink>
    </w:p>
    <w:bookmarkEnd w:id="56"/>
    <w:bookmarkStart w:id="57"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Canadian Council of Ministers of the Environment, Winnipeg, Manitoba.</w:t>
      </w:r>
    </w:p>
    <w:bookmarkEnd w:id="57"/>
    <w:bookmarkStart w:id="58" w:name="ref-Chang18"/>
    <w:p>
      <w:pPr>
        <w:pStyle w:val="Bibliography"/>
      </w:pPr>
      <w:r>
        <w:t xml:space="preserve">Chang, W., Cheng, J., Allaire, J., Xie, Y., McPherson, J., 2018. Shiny: Web application framework for r.</w:t>
      </w:r>
    </w:p>
    <w:bookmarkEnd w:id="58"/>
    <w:bookmarkStart w:id="59" w:name="ref-Collins07"/>
    <w:p>
      <w:pPr>
        <w:pStyle w:val="Bibliography"/>
      </w:pPr>
      <w:r>
        <w:t xml:space="preserve">Collins, J.N., Stein, E.D., Sutula, M., Clark, R., Fetscher, A.E., Grenier, L., Grosso, C., Wiskind, A., 2007. California Rapid Assessment Method (CRAM) for wetlands, ver.5.0.</w:t>
      </w:r>
    </w:p>
    <w:bookmarkEnd w:id="59"/>
    <w:bookmarkStart w:id="60" w:name="ref-Fox11"/>
    <w:p>
      <w:pPr>
        <w:pStyle w:val="Bibliography"/>
      </w:pPr>
      <w:r>
        <w:t xml:space="preserve">Fox, J., Weisberg, S., 2011. An R companion to applied regression. SAGE Publications Inc., Thousand Oaks, California.</w:t>
      </w:r>
    </w:p>
    <w:bookmarkEnd w:id="60"/>
    <w:bookmarkStart w:id="62" w:name="ref-Hawkins00b"/>
    <w:p>
      <w:pPr>
        <w:pStyle w:val="Bibliography"/>
      </w:pPr>
      <w:r>
        <w:t xml:space="preserve">Hawkins, C.P., Norris, R.H., Hogue, J.N., Feminella, J.W., 2000. Development and evaluation of predictive models for measuring the biological integrity of streams. Ecological Applications 10, 1456–1477.</w:t>
      </w:r>
      <w:r>
        <w:t xml:space="preserve"> </w:t>
      </w:r>
      <w:hyperlink r:id="rId61">
        <w:r>
          <w:rPr>
            <w:rStyle w:val="Hyperlink"/>
          </w:rPr>
          <w:t xml:space="preserve">https://doi.org/10.1890/1051-0761(2000)010[1456:DAEOPM]2.0.CO;2</w:t>
        </w:r>
      </w:hyperlink>
    </w:p>
    <w:bookmarkEnd w:id="62"/>
    <w:bookmarkStart w:id="64" w:name="ref-Hurley12"/>
    <w:p>
      <w:pPr>
        <w:pStyle w:val="Bibliography"/>
      </w:pPr>
      <w:r>
        <w:t xml:space="preserve">Hurley, T., Sadiq, R., Mazumder, A., 2012. Adaptation and evaluation of the Canadian Council of Ministers of the Environment Water Quality Index (CCME WQI) for use as an effective tool to characterize drinking source water quality. Water Research 46, 3544–3552.</w:t>
      </w:r>
      <w:r>
        <w:t xml:space="preserve"> </w:t>
      </w:r>
      <w:hyperlink r:id="rId63">
        <w:r>
          <w:rPr>
            <w:rStyle w:val="Hyperlink"/>
          </w:rPr>
          <w:t xml:space="preserve">https://doi.org/10.1016/j.watres.2012.03.061</w:t>
        </w:r>
      </w:hyperlink>
    </w:p>
    <w:bookmarkEnd w:id="64"/>
    <w:bookmarkStart w:id="65" w:name="ref-Karr81"/>
    <w:p>
      <w:pPr>
        <w:pStyle w:val="Bibliography"/>
      </w:pPr>
      <w:r>
        <w:t xml:space="preserve">Karr, J.R., 1981. Assessment of biotic integrity using fish communities. Fisheries 6, 21–27.</w:t>
      </w:r>
    </w:p>
    <w:bookmarkEnd w:id="65"/>
    <w:bookmarkStart w:id="67" w:name="ref-Maddock99"/>
    <w:p>
      <w:pPr>
        <w:pStyle w:val="Bibliography"/>
      </w:pPr>
      <w:r>
        <w:t xml:space="preserve">Maddock, I., 1999. The importance of physical habitat assessment for evaluating river health. Freshwater Biology 41, 373–391.</w:t>
      </w:r>
      <w:r>
        <w:t xml:space="preserve"> </w:t>
      </w:r>
      <w:hyperlink r:id="rId66">
        <w:r>
          <w:rPr>
            <w:rStyle w:val="Hyperlink"/>
          </w:rPr>
          <w:t xml:space="preserve">https://doi.org/10.1046/j.1365-2427.1999.00437.x</w:t>
        </w:r>
      </w:hyperlink>
    </w:p>
    <w:bookmarkEnd w:id="67"/>
    <w:bookmarkStart w:id="68" w:name="ref-Mazor15"/>
    <w:p>
      <w:pPr>
        <w:pStyle w:val="Bibliography"/>
      </w:pPr>
      <w:r>
        <w:t xml:space="preserve">Mazor, R.D., 2015. Bioassessment of perennial streams in Southern California: A report on the first five years of the Stormwater Monitoring Coalition’s regional stream survey (No. 844). Southern California Coastal Water Research Project, Costa Mesa, California.</w:t>
      </w:r>
    </w:p>
    <w:bookmarkEnd w:id="68"/>
    <w:bookmarkStart w:id="69" w:name="ref-Mazor16"/>
    <w:p>
      <w:pPr>
        <w:pStyle w:val="Bibliography"/>
      </w:pPr>
      <w:r>
        <w:t xml:space="preserve">Mazor, R.D., Rehn, A.C., Ode, P.R., Engeln, M., Schiff, K.C., Stein, E.D., Gillett, D.J., Herbst, D.B., Hawkins, C.P., 2016. Bioassessment in complex environments: Designing an index for consistent meaning in different settings. Freshwater Science 35, 249–271.</w:t>
      </w:r>
    </w:p>
    <w:bookmarkEnd w:id="69"/>
    <w:bookmarkStart w:id="71" w:name="ref-Moss87"/>
    <w:p>
      <w:pPr>
        <w:pStyle w:val="Bibliography"/>
      </w:pPr>
      <w:r>
        <w:t xml:space="preserve">Moss, D., Furse, M.T., Wright, J.F., Armitage, P.D., 1987. The prediction of the macro-invertebrate fauna of unpolluted running-water sites in Great Britain using environmental data. Freshwater Biology 17, 41–52.</w:t>
      </w:r>
      <w:r>
        <w:t xml:space="preserve"> </w:t>
      </w:r>
      <w:hyperlink r:id="rId70">
        <w:r>
          <w:rPr>
            <w:rStyle w:val="Hyperlink"/>
          </w:rPr>
          <w:t xml:space="preserve">https://doi.org/10.1111/j.1365-2427.1987.tb01027.x</w:t>
        </w:r>
      </w:hyperlink>
    </w:p>
    <w:bookmarkEnd w:id="71"/>
    <w:bookmarkStart w:id="72" w:name="ref-NRC90"/>
    <w:p>
      <w:pPr>
        <w:pStyle w:val="Bibliography"/>
      </w:pPr>
      <w:r>
        <w:t xml:space="preserve">National Research Council, 1990. Managing troubled waters: The role of marine environmental monitoring. National Academy Press, Washington, DC.</w:t>
      </w:r>
    </w:p>
    <w:bookmarkEnd w:id="72"/>
    <w:bookmarkStart w:id="73" w:name="ref-Ode07"/>
    <w:p>
      <w:pPr>
        <w:pStyle w:val="Bibliography"/>
      </w:pPr>
      <w:r>
        <w:t xml:space="preserve">Ode, P.R., 2007. Standard operating procedures for collecting benthic macroinvertebrate samples and associated physical and chemical data for ambient bioassessment in California.</w:t>
      </w:r>
    </w:p>
    <w:bookmarkEnd w:id="73"/>
    <w:bookmarkStart w:id="74" w:name="ref-Ode16"/>
    <w:p>
      <w:pPr>
        <w:pStyle w:val="Bibliography"/>
      </w:pPr>
      <w:r>
        <w:t xml:space="preserve">Ode, P.R., Rehn, A.C., Mazor, R.D., Schiff, K.C., Stein, E.D., May, J.T., Brown, L.R., Herbst, D.B., Gillett, D., Lunde, K., Hawkins, C.P., 2016. Evaluating the adequacy of a reference-site pool for ecological assessments in environmentally complex regions. Freshwater Science 35, 237–248.</w:t>
      </w:r>
    </w:p>
    <w:bookmarkEnd w:id="74"/>
    <w:bookmarkStart w:id="76" w:name="ref-Pan02"/>
    <w:p>
      <w:pPr>
        <w:pStyle w:val="Bibliography"/>
      </w:pPr>
      <w:r>
        <w:t xml:space="preserve">Pan, Y., Stevenson, R.J., Hill, B.H., Kaufmann, P.R., Herlihy, A.T., 2002. Spatial patterns and ecological determinants of benthic algal assemblages in mid-Atlantic streams, USA. Journal of Phycology 35, 460–468.</w:t>
      </w:r>
      <w:r>
        <w:t xml:space="preserve"> </w:t>
      </w:r>
      <w:hyperlink r:id="rId75">
        <w:r>
          <w:rPr>
            <w:rStyle w:val="Hyperlink"/>
          </w:rPr>
          <w:t xml:space="preserve">https://doi.org/10.1046/j.1529-8817.1999.3530460.x</w:t>
        </w:r>
      </w:hyperlink>
    </w:p>
    <w:bookmarkEnd w:id="76"/>
    <w:bookmarkStart w:id="78" w:name="ref-Paulsen08"/>
    <w:p>
      <w:pPr>
        <w:pStyle w:val="Bibliography"/>
      </w:pPr>
      <w:r>
        <w:t xml:space="preserve">Paulsen, S.G., Mayio, A., Peck, D.V., Stoddard, J.L., Tarquinio, E., Holdsworth, S.M., Sickle, J.V., Yuan, L.L., Hawkins, C.P., Herlihy, A.T., Kaufmann, P.R., Barbour, M.T., Larsen, D.P., Olsen, A.R., 2008. Condition of stream ecosystems in the US: An overview of the first national assessment. Journal of the North American Benthological Society 27, 812–821.</w:t>
      </w:r>
      <w:r>
        <w:t xml:space="preserve"> </w:t>
      </w:r>
      <w:hyperlink r:id="rId77">
        <w:r>
          <w:rPr>
            <w:rStyle w:val="Hyperlink"/>
          </w:rPr>
          <w:t xml:space="preserve">https://doi.org/10.1899/08-098.1</w:t>
        </w:r>
      </w:hyperlink>
    </w:p>
    <w:bookmarkEnd w:id="78"/>
    <w:bookmarkStart w:id="79" w:name="ref-RDCT18"/>
    <w:p>
      <w:pPr>
        <w:pStyle w:val="Bibliography"/>
      </w:pPr>
      <w:r>
        <w:t xml:space="preserve">RDCT (R Development Core Team), 2018. R: A language and environment for statistical computing, v3.5.1. R Foundation for Statistical Computing, Vienna, Austria.</w:t>
      </w:r>
    </w:p>
    <w:bookmarkEnd w:id="79"/>
    <w:bookmarkStart w:id="80" w:name="ref-Rehn18"/>
    <w:p>
      <w:pPr>
        <w:pStyle w:val="Bibliography"/>
      </w:pPr>
      <w:r>
        <w:t xml:space="preserve">Rehn, A.C., Mazor, R.D., Ode, P.R., 2018. An index to measure the quality of physical habitat in California wadeable streams (No. SWAMP Technical Memorandum, SWAMP-TM-2018-0005). California Water Boards, Surface Water Ambient Monitoring Program, California Department of Fish; Wildlife, Southern California Coastal Water Research Project, Sacramento, California.</w:t>
      </w:r>
    </w:p>
    <w:bookmarkEnd w:id="80"/>
    <w:bookmarkStart w:id="82" w:name="ref-Richards97"/>
    <w:p>
      <w:pPr>
        <w:pStyle w:val="Bibliography"/>
      </w:pPr>
      <w:r>
        <w:t xml:space="preserve">Richards, C., Haro, R., Johnson, L., Host, G., 1997. Catchment and reach-scale properties as indicators of macroinvertebrate species traits. Freshwater Biology 37, 219–230.</w:t>
      </w:r>
      <w:r>
        <w:t xml:space="preserve"> </w:t>
      </w:r>
      <w:hyperlink r:id="rId81">
        <w:r>
          <w:rPr>
            <w:rStyle w:val="Hyperlink"/>
          </w:rPr>
          <w:t xml:space="preserve">https://doi.org/10.1046/j.1365-2427.1997.d01-540.x</w:t>
        </w:r>
      </w:hyperlink>
    </w:p>
    <w:bookmarkEnd w:id="82"/>
    <w:bookmarkStart w:id="84" w:name="ref-Solek11"/>
    <w:p>
      <w:pPr>
        <w:pStyle w:val="Bibliography"/>
      </w:pPr>
      <w:r>
        <w:t xml:space="preserve">Solek, C.W., Stein, E.D., Sutula, M., 2011. Demonstration of an integrated watershed assessment using a three-tiered assessment framework. Wetlands Ecology and Management 19, 459–474.</w:t>
      </w:r>
      <w:r>
        <w:t xml:space="preserve"> </w:t>
      </w:r>
      <w:hyperlink r:id="rId83">
        <w:r>
          <w:rPr>
            <w:rStyle w:val="Hyperlink"/>
          </w:rPr>
          <w:t xml:space="preserve">https://doi.org/10.1007/s11273-011-9230-6</w:t>
        </w:r>
      </w:hyperlink>
    </w:p>
    <w:bookmarkEnd w:id="84"/>
    <w:bookmarkStart w:id="86" w:name="ref-Stoddard06"/>
    <w:p>
      <w:pPr>
        <w:pStyle w:val="Bibliography"/>
      </w:pPr>
      <w:r>
        <w:t xml:space="preserve">Stoddard, J.L., Larsen, D.P., Hawkins, C.P., Johnson, R.K., Norris, R.H., 2006. Setting expectations for the ecological condition of streams: The concept of reference condition. Ecological Applications 16, 1267–1276.</w:t>
      </w:r>
      <w:r>
        <w:t xml:space="preserve"> </w:t>
      </w:r>
      <w:hyperlink r:id="rId85">
        <w:r>
          <w:rPr>
            <w:rStyle w:val="Hyperlink"/>
          </w:rPr>
          <w:t xml:space="preserve">https://doi.org/10.1890/1051-0761(2006)016[1267:SEFTEC]2.0.CO;2</w:t>
        </w:r>
      </w:hyperlink>
    </w:p>
    <w:bookmarkEnd w:id="86"/>
    <w:bookmarkStart w:id="87" w:name="ref-Therouxip"/>
    <w:p>
      <w:pPr>
        <w:pStyle w:val="Bibliography"/>
      </w:pPr>
      <w:r>
        <w:t xml:space="preserve">Theroux, S., Mazor, R.D., Beck, M.W., Ode, P., Sutula, M., Stein, E.D., n.d. A non-predictive algal index for complex environments. Ecological Indicators.</w:t>
      </w:r>
    </w:p>
    <w:bookmarkEnd w:id="87"/>
    <w:bookmarkStart w:id="88" w:name="ref-USEPA16"/>
    <w:p>
      <w:pPr>
        <w:pStyle w:val="Bibliography"/>
      </w:pPr>
      <w:r>
        <w:t xml:space="preserve">USEPA (US Environmental Protection Agency), 2016. National rivers and streams assessment 2008-2009: A collaborative survey (No. EPA-841-R-16-007). Washington, DC.</w:t>
      </w:r>
    </w:p>
    <w:bookmarkEnd w:id="88"/>
    <w:bookmarkStart w:id="90" w:name="ref-Wang07"/>
    <w:p>
      <w:pPr>
        <w:pStyle w:val="Bibliography"/>
      </w:pPr>
      <w:r>
        <w:t xml:space="preserve">Wang, L.Z., Robertson, D.M., Garrison, P.J., 2007. Linkages between nutrients and assemblages of macroinvertebrates and fish in wadeable streams: Implication to nutrient criteria development. Environmental Management 39, 194–212.</w:t>
      </w:r>
      <w:r>
        <w:t xml:space="preserve"> </w:t>
      </w:r>
      <w:hyperlink r:id="rId89">
        <w:r>
          <w:rPr>
            <w:rStyle w:val="Hyperlink"/>
          </w:rPr>
          <w:t xml:space="preserve">https://doi.org/10.1007/s00267-006-0135-8</w:t>
        </w:r>
      </w:hyperlink>
    </w:p>
    <w:bookmarkEnd w:id="90"/>
    <w:bookmarkEnd w:id="9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3" Target="http://doi.org/10.5281/zenodo.2587212" TargetMode="External" /><Relationship Type="http://schemas.openxmlformats.org/officeDocument/2006/relationships/hyperlink" Id="rId51" Target="https://doi.org/10.1002/ieam.118" TargetMode="External" /><Relationship Type="http://schemas.openxmlformats.org/officeDocument/2006/relationships/hyperlink" Id="rId89" Target="https://doi.org/10.1007/s00267-006-0135-8" TargetMode="External" /><Relationship Type="http://schemas.openxmlformats.org/officeDocument/2006/relationships/hyperlink" Id="rId83" Target="https://doi.org/10.1007/s11273-011-9230-6" TargetMode="External" /><Relationship Type="http://schemas.openxmlformats.org/officeDocument/2006/relationships/hyperlink" Id="rId63" Target="https://doi.org/10.1016/j.watres.2012.03.061" TargetMode="External" /><Relationship Type="http://schemas.openxmlformats.org/officeDocument/2006/relationships/hyperlink" Id="rId81" Target="https://doi.org/10.1046/j.1365-2427.1997.d01-540.x" TargetMode="External" /><Relationship Type="http://schemas.openxmlformats.org/officeDocument/2006/relationships/hyperlink" Id="rId66" Target="https://doi.org/10.1046/j.1365-2427.1999.00437.x" TargetMode="External" /><Relationship Type="http://schemas.openxmlformats.org/officeDocument/2006/relationships/hyperlink" Id="rId75" Target="https://doi.org/10.1046/j.1529-8817.1999.3530460.x" TargetMode="External" /><Relationship Type="http://schemas.openxmlformats.org/officeDocument/2006/relationships/hyperlink" Id="rId70" Target="https://doi.org/10.1111/j.1365-2427.1987.tb01027.x" TargetMode="External" /><Relationship Type="http://schemas.openxmlformats.org/officeDocument/2006/relationships/hyperlink" Id="rId61" Target="https://doi.org/10.1890/1051-0761(2000)010[1456:DAEOPM]2.0.CO;2" TargetMode="External" /><Relationship Type="http://schemas.openxmlformats.org/officeDocument/2006/relationships/hyperlink" Id="rId85" Target="https://doi.org/10.1890/1051-0761(2006)016[1267:SEFTEC]2.0.CO;2" TargetMode="External" /><Relationship Type="http://schemas.openxmlformats.org/officeDocument/2006/relationships/hyperlink" Id="rId55" Target="https://doi.org/10.1899/06-078.1" TargetMode="External" /><Relationship Type="http://schemas.openxmlformats.org/officeDocument/2006/relationships/hyperlink" Id="rId77" Target="https://doi.org/10.1899/08-098.1" TargetMode="External" /><Relationship Type="http://schemas.openxmlformats.org/officeDocument/2006/relationships/hyperlink" Id="rId40" Target="https://sccwrp.shinyapps.io/sqi_shiny"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53" Target="http://doi.org/10.5281/zenodo.2587212" TargetMode="External" /><Relationship Type="http://schemas.openxmlformats.org/officeDocument/2006/relationships/hyperlink" Id="rId51" Target="https://doi.org/10.1002/ieam.118" TargetMode="External" /><Relationship Type="http://schemas.openxmlformats.org/officeDocument/2006/relationships/hyperlink" Id="rId89" Target="https://doi.org/10.1007/s00267-006-0135-8" TargetMode="External" /><Relationship Type="http://schemas.openxmlformats.org/officeDocument/2006/relationships/hyperlink" Id="rId83" Target="https://doi.org/10.1007/s11273-011-9230-6" TargetMode="External" /><Relationship Type="http://schemas.openxmlformats.org/officeDocument/2006/relationships/hyperlink" Id="rId63" Target="https://doi.org/10.1016/j.watres.2012.03.061" TargetMode="External" /><Relationship Type="http://schemas.openxmlformats.org/officeDocument/2006/relationships/hyperlink" Id="rId81" Target="https://doi.org/10.1046/j.1365-2427.1997.d01-540.x" TargetMode="External" /><Relationship Type="http://schemas.openxmlformats.org/officeDocument/2006/relationships/hyperlink" Id="rId66" Target="https://doi.org/10.1046/j.1365-2427.1999.00437.x" TargetMode="External" /><Relationship Type="http://schemas.openxmlformats.org/officeDocument/2006/relationships/hyperlink" Id="rId75" Target="https://doi.org/10.1046/j.1529-8817.1999.3530460.x" TargetMode="External" /><Relationship Type="http://schemas.openxmlformats.org/officeDocument/2006/relationships/hyperlink" Id="rId70" Target="https://doi.org/10.1111/j.1365-2427.1987.tb01027.x" TargetMode="External" /><Relationship Type="http://schemas.openxmlformats.org/officeDocument/2006/relationships/hyperlink" Id="rId61" Target="https://doi.org/10.1890/1051-0761(2000)010[1456:DAEOPM]2.0.CO;2" TargetMode="External" /><Relationship Type="http://schemas.openxmlformats.org/officeDocument/2006/relationships/hyperlink" Id="rId85" Target="https://doi.org/10.1890/1051-0761(2006)016[1267:SEFTEC]2.0.CO;2" TargetMode="External" /><Relationship Type="http://schemas.openxmlformats.org/officeDocument/2006/relationships/hyperlink" Id="rId55" Target="https://doi.org/10.1899/06-078.1" TargetMode="External" /><Relationship Type="http://schemas.openxmlformats.org/officeDocument/2006/relationships/hyperlink" Id="rId77" Target="https://doi.org/10.1899/08-098.1" TargetMode="External" /><Relationship Type="http://schemas.openxmlformats.org/officeDocument/2006/relationships/hyperlink" Id="rId40" Target="https://sccwrp.shinyapps.io/sqi_shiny"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2019-03-19T20:28:58Z</dcterms:created>
  <dcterms:modified xsi:type="dcterms:W3CDTF">2019-03-19T20:28:58Z</dcterms:modified>
</cp:coreProperties>
</file>