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0.png" ContentType="image/png"/>
  <Override PartName="/word/media/rId51.png" ContentType="image/png"/>
  <Override PartName="/word/media/rId46.png" ContentType="image/png"/>
  <Override PartName="/word/media/rId45.png" ContentType="image/png"/>
  <Override PartName="/word/media/rId47.png" ContentType="image/png"/>
  <Override PartName="/word/media/rId4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2">
        <w:r>
          <w:rPr>
            <w:rStyle w:val="Hyperlink"/>
          </w:rPr>
          <w:t xml:space="preserve">kens@sccwrp.org</w:t>
        </w:r>
      </w:hyperlink>
      <w:r>
        <w:t xml:space="preserve">),</w:t>
      </w:r>
      <w:r>
        <w:t xml:space="preserve"> </w:t>
      </w:r>
      <w:r>
        <w:t xml:space="preserve">Susanna</w:t>
      </w:r>
      <w:r>
        <w:t xml:space="preserve"> </w:t>
      </w:r>
      <w:r>
        <w:t xml:space="preserve">Theroux</w:t>
      </w:r>
      <w:r>
        <w:t xml:space="preserve"> </w:t>
      </w:r>
      <w:r>
        <w:t xml:space="preserve">(</w:t>
      </w:r>
      <w:hyperlink r:id="rId23">
        <w:r>
          <w:rPr>
            <w:rStyle w:val="Hyperlink"/>
          </w:rPr>
          <w:t xml:space="preserve">susannat@sccwrp.org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audidences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tehcnical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a critical decision point in the SQI is the definition of healthy or impacted biological condition based on the combined information for the CSCI and ASCI. In Table</w:t>
      </w:r>
      <w:r>
        <w:t xml:space="preserve"> </w:t>
      </w:r>
      <w:r>
        <w:t xml:space="preserve">1</w:t>
      </w:r>
      <w:r>
        <w:t xml:space="preserve">, all sites with combined values greater than or equal to zero were considered healthy and those less than zero were considered impacted. Changes in the cutoff point influence the SQI output since the empirical models in equations (1), (2), and (3) are based on the likelihood of observing healthy or impacted biology and the SQI categories are based on the model results. The effect of varying the cutoff point for healthy and impacted biology was analyzed by comparing changes in the SQI assessment categories at different levels from -5 (all healthy) to 4 (all unhealthy).</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of the SQI for the stress condition and overall condition based on different biological thresholds for healthy/impacted.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A distinction between the stress condition categories and overall SQI was also observed between the cutpoints, where the transition of sites between categories could occur were somewhat unbalanced the stress condition (left plot) and completely monotonic for the overall SQI (right plot). That is, changing the cutpoint caused sites under the same category (e.g.,</w:t>
      </w:r>
      <w:r>
        <w:t xml:space="preserve"> </w:t>
      </w:r>
      <w:r>
        <w:t xml:space="preserve">“</w:t>
      </w:r>
      <w:r>
        <w:t xml:space="preserve">low stress</w:t>
      </w:r>
      <w:r>
        <w:t xml:space="preserve">”</w:t>
      </w:r>
      <w:r>
        <w:t xml:space="preserve">) to be categoreized as one to many of the alternative categories in the next cutpoint (e.g.,</w:t>
      </w:r>
      <w:r>
        <w:t xml:space="preserve"> </w:t>
      </w:r>
      <w:r>
        <w:t xml:space="preserve">“</w:t>
      </w:r>
      <w:r>
        <w:t xml:space="preserve">stressed by chemistry</w:t>
      </w:r>
      <w:r>
        <w:t xml:space="preserve">”</w:t>
      </w:r>
      <w:r>
        <w:t xml:space="preserve">,</w:t>
      </w:r>
      <w:r>
        <w:t xml:space="preserve"> </w:t>
      </w:r>
      <w:r>
        <w:t xml:space="preserve">“</w:t>
      </w:r>
      <w:r>
        <w:t xml:space="preserve">stressed by habitat</w:t>
      </w:r>
      <w:r>
        <w:t xml:space="preserve">”</w:t>
      </w:r>
      <w:r>
        <w:t xml:space="preserve">, etc.). For the overall SQI, successional changes in categories between cutpoints occurred only one level at a time and were unidirectional (e.g.,</w:t>
      </w:r>
      <w:r>
        <w:t xml:space="preserve"> </w:t>
      </w:r>
      <w:r>
        <w:t xml:space="preserve">“</w:t>
      </w:r>
      <w:r>
        <w:t xml:space="preserve">healthy and unstressed</w:t>
      </w:r>
      <w:r>
        <w:t xml:space="preserve">”</w:t>
      </w:r>
      <w:r>
        <w:t xml:space="preserve"> </w:t>
      </w:r>
      <w:r>
        <w:t xml:space="preserve">to</w:t>
      </w:r>
      <w:r>
        <w:t xml:space="preserve"> </w:t>
      </w:r>
      <w:r>
        <w:t xml:space="preserve">“</w:t>
      </w:r>
      <w:r>
        <w:t xml:space="preserve">healthy and resilient</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to</w:t>
      </w:r>
      <w:r>
        <w:t xml:space="preserve"> </w:t>
      </w:r>
      <w:r>
        <w:t xml:space="preserve">“</w:t>
      </w:r>
      <w:r>
        <w:t xml:space="preserve">impacted and stressed</w:t>
      </w:r>
      <w:r>
        <w:t xml:space="preserve">”</w:t>
      </w:r>
      <w:r>
        <w:t xml:space="preserve">).</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macroninvertebrate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figures"/>
      <w:r>
        <w:t xml:space="preserve">Figures</w:t>
      </w:r>
      <w:bookmarkEnd w:id="44"/>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5"/>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46"/>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47"/>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0"/>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3566159"/>
            <wp:effectExtent b="0" l="0" r="0" t="0"/>
            <wp:docPr descr="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 1. Flow lines connecting columns are individual sites. Results for cut points 3 and 4 were identical to cut point 2 and are not shown." title="" id="1" name="Picture"/>
            <a:graphic>
              <a:graphicData uri="http://schemas.openxmlformats.org/drawingml/2006/picture">
                <pic:pic>
                  <pic:nvPicPr>
                    <pic:cNvPr descr="figs/sns_fig.png" id="0" name="Picture"/>
                    <pic:cNvPicPr>
                      <a:picLocks noChangeArrowheads="1" noChangeAspect="1"/>
                    </pic:cNvPicPr>
                  </pic:nvPicPr>
                  <pic:blipFill>
                    <a:blip r:embed="rId51"/>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w:t>
      </w:r>
      <w:r>
        <w:t xml:space="preserve"> </w:t>
      </w:r>
      <w:r>
        <w:t xml:space="preserve">1</w:t>
      </w:r>
      <w:r>
        <w:t xml:space="preserve">. Flow lines connecting columns are individual sites. Results for cut points 3 and 4 were identical to cut point 2 and are not shown.</w:t>
      </w:r>
    </w:p>
    <w:p>
      <w:pPr>
        <w:pStyle w:val="Heading1"/>
      </w:pPr>
      <w:bookmarkStart w:id="52" w:name="tables"/>
      <w:r>
        <w:t xml:space="preserve">Tables</w:t>
      </w:r>
      <w:bookmarkEnd w:id="52"/>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possibly altered: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likely altered: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very likely altered: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 The sub models pHab, IPI only and pHab, CRAM only are shown to demonstrate improved precision of the combined pHab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3" w:name="references"/>
      <w:r>
        <w:t xml:space="preserve">References</w:t>
      </w:r>
      <w:bookmarkEnd w:id="53"/>
    </w:p>
    <w:bookmarkStart w:id="96" w:name="refs"/>
    <w:bookmarkStart w:id="55" w:name="ref-Bay12"/>
    <w:p>
      <w:pPr>
        <w:pStyle w:val="Bibliography"/>
      </w:pPr>
      <w:r>
        <w:t xml:space="preserve">Bay, S.M., Weisberg, S.B., 2012. Framework for interpreting sediment quality triad data. Integrated Environmental Assessment and Management 8, 589–596.</w:t>
      </w:r>
      <w:r>
        <w:t xml:space="preserve"> </w:t>
      </w:r>
      <w:hyperlink r:id="rId54">
        <w:r>
          <w:rPr>
            <w:rStyle w:val="Hyperlink"/>
          </w:rPr>
          <w:t xml:space="preserve">https://doi.org/10.1002/ieam.118</w:t>
        </w:r>
      </w:hyperlink>
    </w:p>
    <w:bookmarkEnd w:id="55"/>
    <w:bookmarkStart w:id="57" w:name="ref-Beck18f"/>
    <w:p>
      <w:pPr>
        <w:pStyle w:val="Bibliography"/>
      </w:pPr>
      <w:r>
        <w:t xml:space="preserve">Beck, M.W., Mazor, R.D., 2018. SCCWRP/SQI: v1.2.0 (Version 1.2.0). Zenodo,</w:t>
      </w:r>
      <w:r>
        <w:t xml:space="preserve"> </w:t>
      </w:r>
      <w:hyperlink r:id="rId56">
        <w:r>
          <w:rPr>
            <w:rStyle w:val="Hyperlink"/>
          </w:rPr>
          <w:t xml:space="preserve">http://doi.org/10.5281/zenodo.2587212</w:t>
        </w:r>
      </w:hyperlink>
      <w:r>
        <w:t xml:space="preserve">.</w:t>
      </w:r>
    </w:p>
    <w:bookmarkEnd w:id="57"/>
    <w:bookmarkStart w:id="59"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58">
        <w:r>
          <w:rPr>
            <w:rStyle w:val="Hyperlink"/>
          </w:rPr>
          <w:t xml:space="preserve">https://doi.org/10.1899/06-078.1</w:t>
        </w:r>
      </w:hyperlink>
    </w:p>
    <w:bookmarkEnd w:id="59"/>
    <w:bookmarkStart w:id="60"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0"/>
    <w:bookmarkStart w:id="61" w:name="ref-Chang18"/>
    <w:p>
      <w:pPr>
        <w:pStyle w:val="Bibliography"/>
      </w:pPr>
      <w:r>
        <w:t xml:space="preserve">Chang, W., Cheng, J., Allaire, J., Xie, Y., McPherson, J., 2018. Shiny: Web application framework for r.</w:t>
      </w:r>
    </w:p>
    <w:bookmarkEnd w:id="61"/>
    <w:bookmarkStart w:id="62" w:name="ref-Collins07"/>
    <w:p>
      <w:pPr>
        <w:pStyle w:val="Bibliography"/>
      </w:pPr>
      <w:r>
        <w:t xml:space="preserve">Collins, J.N., Stein, E.D., Sutula, M., Clark, R., Fetscher, A.E., Grenier, L., Grosso, C., Wiskind, A., 2007. California Rapid Assessment Method (CRAM) for wetlands, ver.5.0.</w:t>
      </w:r>
    </w:p>
    <w:bookmarkEnd w:id="62"/>
    <w:bookmarkStart w:id="63" w:name="ref-Fox11"/>
    <w:p>
      <w:pPr>
        <w:pStyle w:val="Bibliography"/>
      </w:pPr>
      <w:r>
        <w:t xml:space="preserve">Fox, J., Weisberg, S., 2011. An R companion to applied regression. SAGE Publications Inc., Thousand Oaks, California.</w:t>
      </w:r>
    </w:p>
    <w:bookmarkEnd w:id="63"/>
    <w:bookmarkStart w:id="65"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64">
        <w:r>
          <w:rPr>
            <w:rStyle w:val="Hyperlink"/>
          </w:rPr>
          <w:t xml:space="preserve">https://doi.org/10.1890/1051-0761(2000)010[1456:DAEOPM]2.0.CO;2</w:t>
        </w:r>
      </w:hyperlink>
    </w:p>
    <w:bookmarkEnd w:id="65"/>
    <w:bookmarkStart w:id="67"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66">
        <w:r>
          <w:rPr>
            <w:rStyle w:val="Hyperlink"/>
          </w:rPr>
          <w:t xml:space="preserve">https://doi.org/10.1016/j.watres.2012.03.061</w:t>
        </w:r>
      </w:hyperlink>
    </w:p>
    <w:bookmarkEnd w:id="67"/>
    <w:bookmarkStart w:id="68" w:name="ref-Karr81"/>
    <w:p>
      <w:pPr>
        <w:pStyle w:val="Bibliography"/>
      </w:pPr>
      <w:r>
        <w:t xml:space="preserve">Karr, J.R., 1981. Assessment of biotic integrity using fish communities. Fisheries 6, 21–27.</w:t>
      </w:r>
    </w:p>
    <w:bookmarkEnd w:id="68"/>
    <w:bookmarkStart w:id="70" w:name="ref-Maddock99"/>
    <w:p>
      <w:pPr>
        <w:pStyle w:val="Bibliography"/>
      </w:pPr>
      <w:r>
        <w:t xml:space="preserve">Maddock, I., 1999. The importance of physical habitat assessment for evaluating river health. Freshwater Biology 41, 373–391.</w:t>
      </w:r>
      <w:r>
        <w:t xml:space="preserve"> </w:t>
      </w:r>
      <w:hyperlink r:id="rId69">
        <w:r>
          <w:rPr>
            <w:rStyle w:val="Hyperlink"/>
          </w:rPr>
          <w:t xml:space="preserve">https://doi.org/10.1046/j.1365-2427.1999.00437.x</w:t>
        </w:r>
      </w:hyperlink>
    </w:p>
    <w:bookmarkEnd w:id="70"/>
    <w:bookmarkStart w:id="72"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1">
        <w:r>
          <w:rPr>
            <w:rStyle w:val="Hyperlink"/>
          </w:rPr>
          <w:t xml:space="preserve">https://doi.org/10.1002/ieam.1702</w:t>
        </w:r>
      </w:hyperlink>
    </w:p>
    <w:bookmarkEnd w:id="72"/>
    <w:bookmarkStart w:id="73"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3"/>
    <w:bookmarkStart w:id="74"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74"/>
    <w:bookmarkStart w:id="76"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75">
        <w:r>
          <w:rPr>
            <w:rStyle w:val="Hyperlink"/>
          </w:rPr>
          <w:t xml:space="preserve">https://doi.org/10.1111/j.1365-2427.1987.tb01027.x</w:t>
        </w:r>
      </w:hyperlink>
    </w:p>
    <w:bookmarkEnd w:id="76"/>
    <w:bookmarkStart w:id="77" w:name="ref-NRC90"/>
    <w:p>
      <w:pPr>
        <w:pStyle w:val="Bibliography"/>
      </w:pPr>
      <w:r>
        <w:t xml:space="preserve">National Research Council, 1990. Managing troubled waters: The role of marine environmental monitoring. National Academy Press, Washington, DC.</w:t>
      </w:r>
    </w:p>
    <w:bookmarkEnd w:id="77"/>
    <w:bookmarkStart w:id="78" w:name="ref-Ode07"/>
    <w:p>
      <w:pPr>
        <w:pStyle w:val="Bibliography"/>
      </w:pPr>
      <w:r>
        <w:t xml:space="preserve">Ode, P.R., 2007. Standard operating procedures for collecting benthic macroinvertebrate samples and associated physical and chemical data for ambient bioassessment in California.</w:t>
      </w:r>
    </w:p>
    <w:bookmarkEnd w:id="78"/>
    <w:bookmarkStart w:id="79"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79"/>
    <w:bookmarkStart w:id="81"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0">
        <w:r>
          <w:rPr>
            <w:rStyle w:val="Hyperlink"/>
          </w:rPr>
          <w:t xml:space="preserve">https://doi.org/10.1046/j.1529-8817.1999.3530460.x</w:t>
        </w:r>
      </w:hyperlink>
    </w:p>
    <w:bookmarkEnd w:id="81"/>
    <w:bookmarkStart w:id="83"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2">
        <w:r>
          <w:rPr>
            <w:rStyle w:val="Hyperlink"/>
          </w:rPr>
          <w:t xml:space="preserve">https://doi.org/10.1899/08-098.1</w:t>
        </w:r>
      </w:hyperlink>
    </w:p>
    <w:bookmarkEnd w:id="83"/>
    <w:bookmarkStart w:id="84" w:name="ref-RDCT18"/>
    <w:p>
      <w:pPr>
        <w:pStyle w:val="Bibliography"/>
      </w:pPr>
      <w:r>
        <w:t xml:space="preserve">RDCT (R Development Core Team), 2018. R: A language and environment for statistical computing, v3.5.1. R Foundation for Statistical Computing, Vienna, Austria.</w:t>
      </w:r>
    </w:p>
    <w:bookmarkEnd w:id="84"/>
    <w:bookmarkStart w:id="85"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85"/>
    <w:bookmarkStart w:id="87"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86">
        <w:r>
          <w:rPr>
            <w:rStyle w:val="Hyperlink"/>
          </w:rPr>
          <w:t xml:space="preserve">https://doi.org/10.1046/j.1365-2427.1997.d01-540.x</w:t>
        </w:r>
      </w:hyperlink>
    </w:p>
    <w:bookmarkEnd w:id="87"/>
    <w:bookmarkStart w:id="89"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88">
        <w:r>
          <w:rPr>
            <w:rStyle w:val="Hyperlink"/>
          </w:rPr>
          <w:t xml:space="preserve">https://doi.org/10.1007/s11273-011-9230-6</w:t>
        </w:r>
      </w:hyperlink>
    </w:p>
    <w:bookmarkEnd w:id="89"/>
    <w:bookmarkStart w:id="91"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0">
        <w:r>
          <w:rPr>
            <w:rStyle w:val="Hyperlink"/>
          </w:rPr>
          <w:t xml:space="preserve">https://doi.org/10.1890/1051-0761(2006)016[1267:SEFTEC]2.0.CO;2</w:t>
        </w:r>
      </w:hyperlink>
    </w:p>
    <w:bookmarkEnd w:id="91"/>
    <w:bookmarkStart w:id="92" w:name="ref-Therouxip"/>
    <w:p>
      <w:pPr>
        <w:pStyle w:val="Bibliography"/>
      </w:pPr>
      <w:r>
        <w:t xml:space="preserve">Theroux, S., Mazor, R.D., Beck, M.W., Ode, P., Sutula, M., Stein, E.D., n.d. A non-predictive algal index for complex environments. Ecological Indicators.</w:t>
      </w:r>
    </w:p>
    <w:bookmarkEnd w:id="92"/>
    <w:bookmarkStart w:id="93" w:name="ref-USEPA16"/>
    <w:p>
      <w:pPr>
        <w:pStyle w:val="Bibliography"/>
      </w:pPr>
      <w:r>
        <w:t xml:space="preserve">USEPA (US Environmental Protection Agency), 2016. National rivers and streams assessment 2008-2009: A collaborative survey (No. EPA-841-R-16-007). Washington, DC.</w:t>
      </w:r>
    </w:p>
    <w:bookmarkEnd w:id="93"/>
    <w:bookmarkStart w:id="95"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94">
        <w:r>
          <w:rPr>
            <w:rStyle w:val="Hyperlink"/>
          </w:rPr>
          <w:t xml:space="preserve">https://doi.org/10.1007/s00267-006-0135-8</w:t>
        </w:r>
      </w:hyperlink>
    </w:p>
    <w:bookmarkEnd w:id="95"/>
    <w:bookmarkEnd w:id="9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Kenneth C. Schiff (kens@sccwrp.org), Susanna Theroux (susannat@sccwrp.org)</dc:creator>
  <cp:keywords/>
  <dcterms:created xsi:type="dcterms:W3CDTF">2019-03-22T23:42:40Z</dcterms:created>
  <dcterms:modified xsi:type="dcterms:W3CDTF">2019-03-22T23:42:40Z</dcterms:modified>
</cp:coreProperties>
</file>