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6.01, df = 18.31,</w:t>
      </w:r>
      <w:r>
        <w:t xml:space="preserve"> </w:t>
      </w:r>
      <w:r>
        <w:rPr>
          <w:i/>
        </w:rPr>
        <w:t xml:space="preserve">p</w:t>
      </w:r>
      <w:r>
        <w:t xml:space="preserve"> </w:t>
      </w:r>
      <w:r>
        <w:t xml:space="preserve">&lt; 0.001 for</w:t>
      </w:r>
      <w:r>
        <w:t xml:space="preserve"> </w:t>
      </w:r>
      <w:r>
        <w:rPr>
          <w:i/>
        </w:rPr>
        <w:t xml:space="preserve">pChem</w:t>
      </w:r>
      <w:r>
        <w:t xml:space="preserve">; t = 4.75, df = 34.32,</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78% of sites (n = 207) had greater than 50% likelihood of biological alteration from water chemistry stressors, and 84% (n = 224) had greater than 50% likelihood of biological alteration from physical habitat stressors (Figure</w:t>
      </w:r>
      <w:r>
        <w:t xml:space="preserve"> </w:t>
      </w:r>
      <w:r>
        <w:t xml:space="preserve">5</w:t>
      </w:r>
      <w:r>
        <w:t xml:space="preserve">). Collectively, 96% (n = 255)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51 (19.2)</w:t>
            </w:r>
          </w:p>
        </w:tc>
      </w:tr>
      <w:tr>
        <w:tc>
          <w:p>
            <w:pPr>
              <w:pStyle w:val="Compact"/>
            </w:pPr>
          </w:p>
        </w:tc>
        <w:tc>
          <w:p>
            <w:pPr>
              <w:pStyle w:val="Compact"/>
              <w:jc w:val="left"/>
            </w:pPr>
            <w:r>
              <w:t xml:space="preserve">Healthy and resilient</w:t>
            </w:r>
          </w:p>
        </w:tc>
        <w:tc>
          <w:p>
            <w:pPr>
              <w:pStyle w:val="Compact"/>
              <w:jc w:val="left"/>
            </w:pPr>
            <w:r>
              <w:t xml:space="preserve">9 (3.4)</w:t>
            </w:r>
          </w:p>
        </w:tc>
      </w:tr>
      <w:tr>
        <w:tc>
          <w:p>
            <w:pPr>
              <w:pStyle w:val="Compact"/>
            </w:pPr>
          </w:p>
        </w:tc>
        <w:tc>
          <w:p>
            <w:pPr>
              <w:pStyle w:val="Compact"/>
              <w:jc w:val="left"/>
            </w:pPr>
            <w:r>
              <w:t xml:space="preserve">Impacted and stressed</w:t>
            </w:r>
          </w:p>
        </w:tc>
        <w:tc>
          <w:p>
            <w:pPr>
              <w:pStyle w:val="Compact"/>
              <w:jc w:val="left"/>
            </w:pPr>
            <w:r>
              <w:t xml:space="preserve">189 (71.1)</w:t>
            </w:r>
          </w:p>
        </w:tc>
      </w:tr>
      <w:tr>
        <w:tc>
          <w:p>
            <w:pPr>
              <w:pStyle w:val="Compact"/>
            </w:pPr>
          </w:p>
        </w:tc>
        <w:tc>
          <w:p>
            <w:pPr>
              <w:pStyle w:val="Compact"/>
              <w:jc w:val="left"/>
            </w:pPr>
            <w:r>
              <w:t xml:space="preserve">Impacted by unknown stress</w:t>
            </w:r>
          </w:p>
        </w:tc>
        <w:tc>
          <w:p>
            <w:pPr>
              <w:pStyle w:val="Compact"/>
              <w:jc w:val="left"/>
            </w:pPr>
            <w:r>
              <w:t xml:space="preserve">17 (6.4)</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68 (25.6)</w:t>
            </w:r>
          </w:p>
        </w:tc>
      </w:tr>
      <w:tr>
        <w:tc>
          <w:p>
            <w:pPr>
              <w:pStyle w:val="Compact"/>
            </w:pPr>
          </w:p>
        </w:tc>
        <w:tc>
          <w:p>
            <w:pPr>
              <w:pStyle w:val="Compact"/>
              <w:jc w:val="left"/>
            </w:pPr>
            <w:r>
              <w:t xml:space="preserve">Stressed by chemistry and habitat degradation</w:t>
            </w:r>
          </w:p>
        </w:tc>
        <w:tc>
          <w:p>
            <w:pPr>
              <w:pStyle w:val="Compact"/>
              <w:jc w:val="left"/>
            </w:pPr>
            <w:r>
              <w:t xml:space="preserve">85 (32)</w:t>
            </w:r>
          </w:p>
        </w:tc>
      </w:tr>
      <w:tr>
        <w:tc>
          <w:p>
            <w:pPr>
              <w:pStyle w:val="Compact"/>
            </w:pPr>
          </w:p>
        </w:tc>
        <w:tc>
          <w:p>
            <w:pPr>
              <w:pStyle w:val="Compact"/>
              <w:jc w:val="left"/>
            </w:pPr>
            <w:r>
              <w:t xml:space="preserve">Stressed by chemistry degradation</w:t>
            </w:r>
          </w:p>
        </w:tc>
        <w:tc>
          <w:p>
            <w:pPr>
              <w:pStyle w:val="Compact"/>
              <w:jc w:val="left"/>
            </w:pPr>
            <w:r>
              <w:t xml:space="preserve">80 (30.1)</w:t>
            </w:r>
          </w:p>
        </w:tc>
      </w:tr>
      <w:tr>
        <w:tc>
          <w:p>
            <w:pPr>
              <w:pStyle w:val="Compact"/>
            </w:pPr>
          </w:p>
        </w:tc>
        <w:tc>
          <w:p>
            <w:pPr>
              <w:pStyle w:val="Compact"/>
              <w:jc w:val="left"/>
            </w:pPr>
            <w:r>
              <w:t xml:space="preserve">Stressed by habitat degradation</w:t>
            </w:r>
          </w:p>
        </w:tc>
        <w:tc>
          <w:p>
            <w:pPr>
              <w:pStyle w:val="Compact"/>
              <w:jc w:val="left"/>
            </w:pPr>
            <w:r>
              <w:t xml:space="preserve">9 (3.4)</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24 (9)</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1.90 *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8.37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(0.92)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(1.51)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2.55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-0.10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-0.23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199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199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101.65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163.56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114.82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173.44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0.69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0.37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2" w:name="refs"/>
    <w:bookmarkStart w:id="59" w:name="ref-Bay12"/>
    <w:p>
      <w:pPr>
        <w:pStyle w:val="Bibliography"/>
      </w:pPr>
      <w:r>
        <w:t xml:space="preserve">Bay, S.M., Weisberg, S.B., 2012. Framework for interpreting sediment quality triad data. Integrated Environmental Assessment and Management 8, 589–596.</w:t>
      </w:r>
      <w:r>
        <w:t xml:space="preserve"> </w:t>
      </w:r>
      <w:hyperlink r:id="rId58">
        <w:r>
          <w:rPr>
            <w:rStyle w:val="Hyperlink"/>
          </w:rPr>
          <w:t xml:space="preserve">https://doi.org/10.1002/ieam.118</w:t>
        </w:r>
      </w:hyperlink>
    </w:p>
    <w:bookmarkEnd w:id="59"/>
    <w:bookmarkStart w:id="61" w:name="ref-Beck18f"/>
    <w:p>
      <w:pPr>
        <w:pStyle w:val="Bibliography"/>
      </w:pPr>
      <w:r>
        <w:t xml:space="preserve">Beck, M.W., Mazor, R.D., 2018. SCCWRP/SQI: v1.2.0 (Version 1.2.0). Zenodo,</w:t>
      </w:r>
      <w:r>
        <w:t xml:space="preserve"> </w:t>
      </w:r>
      <w:hyperlink r:id="rId60">
        <w:r>
          <w:rPr>
            <w:rStyle w:val="Hyperlink"/>
          </w:rPr>
          <w:t xml:space="preserve">http://doi.org/10.5281/zenodo.2587212</w:t>
        </w:r>
      </w:hyperlink>
      <w:r>
        <w:t xml:space="preserve">.</w:t>
      </w:r>
    </w:p>
    <w:bookmarkEnd w:id="61"/>
    <w:bookmarkStart w:id="63" w:name="ref-Beck19"/>
    <w:p>
      <w:pPr>
        <w:pStyle w:val="Bibliography"/>
      </w:pPr>
      <w:r>
        <w:t xml:space="preserve">Beck, M.W., Mazor, R.D., Theroux, S., Schiff, K.C., 2019. SCCWRP/SQI_Shiny: v1.0.0 (Version 1.0.0). Zenodo,</w:t>
      </w:r>
      <w:r>
        <w:t xml:space="preserve"> </w:t>
      </w:r>
      <w:hyperlink r:id="rId62">
        <w:r>
          <w:rPr>
            <w:rStyle w:val="Hyperlink"/>
          </w:rPr>
          <w:t xml:space="preserve">http://doi.org/10.5281/zenodo.2605438</w:t>
        </w:r>
      </w:hyperlink>
      <w:r>
        <w:t xml:space="preserve">.</w:t>
      </w:r>
    </w:p>
    <w:bookmarkEnd w:id="63"/>
    <w:bookmarkStart w:id="65"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4">
        <w:r>
          <w:rPr>
            <w:rStyle w:val="Hyperlink"/>
          </w:rPr>
          <w:t xml:space="preserve">https://doi.org/10.1899/06-078.1</w:t>
        </w:r>
      </w:hyperlink>
    </w:p>
    <w:bookmarkEnd w:id="65"/>
    <w:bookmarkStart w:id="66"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6"/>
    <w:bookmarkStart w:id="67" w:name="ref-Chang18"/>
    <w:p>
      <w:pPr>
        <w:pStyle w:val="Bibliography"/>
      </w:pPr>
      <w:r>
        <w:t xml:space="preserve">Chang, W., Cheng, J., Allaire, J., Xie, Y., McPherson, J., 2018. Shiny: Web application framework for r.</w:t>
      </w:r>
    </w:p>
    <w:bookmarkEnd w:id="67"/>
    <w:bookmarkStart w:id="68" w:name="ref-Collins07"/>
    <w:p>
      <w:pPr>
        <w:pStyle w:val="Bibliography"/>
      </w:pPr>
      <w:r>
        <w:t xml:space="preserve">Collins, J.N., Stein, E.D., Sutula, M., Clark, R., Fetscher, A.E., Grenier, L., Grosso, C., Wiskind, A., 2007. California Rapid Assessment Method (CRAM) for wetlands, ver.5.0.</w:t>
      </w:r>
    </w:p>
    <w:bookmarkEnd w:id="68"/>
    <w:bookmarkStart w:id="69" w:name="ref-Fox11"/>
    <w:p>
      <w:pPr>
        <w:pStyle w:val="Bibliography"/>
      </w:pPr>
      <w:r>
        <w:t xml:space="preserve">Fox, J., Weisberg, S., 2011. An R companion to applied regression. SAGE Publications Inc., Thousand Oaks, California.</w:t>
      </w:r>
    </w:p>
    <w:bookmarkEnd w:id="69"/>
    <w:bookmarkStart w:id="71"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0">
        <w:r>
          <w:rPr>
            <w:rStyle w:val="Hyperlink"/>
          </w:rPr>
          <w:t xml:space="preserve">https://doi.org/10.1890/1051-0761(2000)010[1456:DAEOPM]2.0.CO;2</w:t>
        </w:r>
      </w:hyperlink>
    </w:p>
    <w:bookmarkEnd w:id="71"/>
    <w:bookmarkStart w:id="73"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2">
        <w:r>
          <w:rPr>
            <w:rStyle w:val="Hyperlink"/>
          </w:rPr>
          <w:t xml:space="preserve">https://doi.org/10.1016/j.watres.2012.03.061</w:t>
        </w:r>
      </w:hyperlink>
    </w:p>
    <w:bookmarkEnd w:id="73"/>
    <w:bookmarkStart w:id="74" w:name="ref-Karr81"/>
    <w:p>
      <w:pPr>
        <w:pStyle w:val="Bibliography"/>
      </w:pPr>
      <w:r>
        <w:t xml:space="preserve">Karr, J.R., 1981. Assessment of biotic integrity using fish communities. Fisheries 6, 21–27.</w:t>
      </w:r>
    </w:p>
    <w:bookmarkEnd w:id="74"/>
    <w:bookmarkStart w:id="76" w:name="ref-Maddock99"/>
    <w:p>
      <w:pPr>
        <w:pStyle w:val="Bibliography"/>
      </w:pPr>
      <w:r>
        <w:t xml:space="preserve">Maddock, I., 1999. The importance of physical habitat assessment for evaluating river health. Freshwater Biology 41, 373–391.</w:t>
      </w:r>
      <w:r>
        <w:t xml:space="preserve"> </w:t>
      </w:r>
      <w:hyperlink r:id="rId75">
        <w:r>
          <w:rPr>
            <w:rStyle w:val="Hyperlink"/>
          </w:rPr>
          <w:t xml:space="preserve">https://doi.org/10.1046/j.1365-2427.1999.00437.x</w:t>
        </w:r>
      </w:hyperlink>
    </w:p>
    <w:bookmarkEnd w:id="76"/>
    <w:bookmarkStart w:id="78"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7">
        <w:r>
          <w:rPr>
            <w:rStyle w:val="Hyperlink"/>
          </w:rPr>
          <w:t xml:space="preserve">https://doi.org/10.1002/ieam.1702</w:t>
        </w:r>
      </w:hyperlink>
    </w:p>
    <w:bookmarkEnd w:id="78"/>
    <w:bookmarkStart w:id="79"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9"/>
    <w:bookmarkStart w:id="80"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0"/>
    <w:bookmarkStart w:id="82"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1">
        <w:r>
          <w:rPr>
            <w:rStyle w:val="Hyperlink"/>
          </w:rPr>
          <w:t xml:space="preserve">https://doi.org/10.1111/j.1365-2427.1987.tb01027.x</w:t>
        </w:r>
      </w:hyperlink>
    </w:p>
    <w:bookmarkEnd w:id="82"/>
    <w:bookmarkStart w:id="83" w:name="ref-NRC90"/>
    <w:p>
      <w:pPr>
        <w:pStyle w:val="Bibliography"/>
      </w:pPr>
      <w:r>
        <w:t xml:space="preserve">National Research Council, 1990. Managing troubled waters: The role of marine environmental monitoring. National Academy Press, Washington, DC.</w:t>
      </w:r>
    </w:p>
    <w:bookmarkEnd w:id="83"/>
    <w:bookmarkStart w:id="84" w:name="ref-Ode07"/>
    <w:p>
      <w:pPr>
        <w:pStyle w:val="Bibliography"/>
      </w:pPr>
      <w:r>
        <w:t xml:space="preserve">Ode, P.R., 2007. Standard operating procedures for collecting benthic macroinvertebrate samples and associated physical and chemical data for ambient bioassessment in California.</w:t>
      </w:r>
    </w:p>
    <w:bookmarkEnd w:id="84"/>
    <w:bookmarkStart w:id="85"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5"/>
    <w:bookmarkStart w:id="87"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6">
        <w:r>
          <w:rPr>
            <w:rStyle w:val="Hyperlink"/>
          </w:rPr>
          <w:t xml:space="preserve">https://doi.org/10.1046/j.1529-8817.1999.3530460.x</w:t>
        </w:r>
      </w:hyperlink>
    </w:p>
    <w:bookmarkEnd w:id="87"/>
    <w:bookmarkStart w:id="89"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8">
        <w:r>
          <w:rPr>
            <w:rStyle w:val="Hyperlink"/>
          </w:rPr>
          <w:t xml:space="preserve">https://doi.org/10.1899/08-098.1</w:t>
        </w:r>
      </w:hyperlink>
    </w:p>
    <w:bookmarkEnd w:id="89"/>
    <w:bookmarkStart w:id="90" w:name="ref-RDCT18"/>
    <w:p>
      <w:pPr>
        <w:pStyle w:val="Bibliography"/>
      </w:pPr>
      <w:r>
        <w:t xml:space="preserve">RDCT (R Development Core Team), 2018. R: A language and environment for statistical computing, v3.5.1. R Foundation for Statistical Computing, Vienna, Austria.</w:t>
      </w:r>
    </w:p>
    <w:bookmarkEnd w:id="90"/>
    <w:bookmarkStart w:id="91"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1"/>
    <w:bookmarkStart w:id="93"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2">
        <w:r>
          <w:rPr>
            <w:rStyle w:val="Hyperlink"/>
          </w:rPr>
          <w:t xml:space="preserve">https://doi.org/10.1046/j.1365-2427.1997.d01-540.x</w:t>
        </w:r>
      </w:hyperlink>
    </w:p>
    <w:bookmarkEnd w:id="93"/>
    <w:bookmarkStart w:id="95"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4">
        <w:r>
          <w:rPr>
            <w:rStyle w:val="Hyperlink"/>
          </w:rPr>
          <w:t xml:space="preserve">https://doi.org/10.1007/s11273-011-9230-6</w:t>
        </w:r>
      </w:hyperlink>
    </w:p>
    <w:bookmarkEnd w:id="95"/>
    <w:bookmarkStart w:id="97"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6">
        <w:r>
          <w:rPr>
            <w:rStyle w:val="Hyperlink"/>
          </w:rPr>
          <w:t xml:space="preserve">https://doi.org/10.1890/1051-0761(2006)016[1267:SEFTEC]2.0.CO;2</w:t>
        </w:r>
      </w:hyperlink>
    </w:p>
    <w:bookmarkEnd w:id="97"/>
    <w:bookmarkStart w:id="98" w:name="ref-Therouxip"/>
    <w:p>
      <w:pPr>
        <w:pStyle w:val="Bibliography"/>
      </w:pPr>
      <w:r>
        <w:t xml:space="preserve">Theroux, S., Mazor, R.D., Beck, M.W., Ode, P., Sutula, M., Stein, E.D., n.d. A non-predictive algal index for complex environments. Ecological Indicators.</w:t>
      </w:r>
    </w:p>
    <w:bookmarkEnd w:id="98"/>
    <w:bookmarkStart w:id="99" w:name="ref-USEPA16"/>
    <w:p>
      <w:pPr>
        <w:pStyle w:val="Bibliography"/>
      </w:pPr>
      <w:r>
        <w:t xml:space="preserve">USEPA (US Environmental Protection Agency), 2016. National rivers and streams assessment 2008-2009: A collaborative survey (No. EPA-841-R-16-007). Washington, DC.</w:t>
      </w:r>
    </w:p>
    <w:bookmarkEnd w:id="99"/>
    <w:bookmarkStart w:id="101"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0">
        <w:r>
          <w:rPr>
            <w:rStyle w:val="Hyperlink"/>
          </w:rPr>
          <w:t xml:space="preserve">https://doi.org/10.1007/s00267-006-0135-8</w:t>
        </w:r>
      </w:hyperlink>
    </w:p>
    <w:bookmarkEnd w:id="101"/>
    <w:bookmarkEnd w:id="10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2019-04-04T18:43:43Z</dcterms:created>
  <dcterms:modified xsi:type="dcterms:W3CDTF">2019-04-04T18:43:43Z</dcterms:modified>
</cp:coreProperties>
</file>