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C75584" w14:textId="77777777" w:rsidR="005E677C" w:rsidRDefault="009C10D5">
      <w:pPr>
        <w:pStyle w:val="Title"/>
      </w:pPr>
      <w:r>
        <w:t>The Stream Quality Index: A Multi-Indicator Tool For Enhancing Environmental Management Communication</w:t>
      </w:r>
    </w:p>
    <w:p w14:paraId="28285F6E" w14:textId="77777777" w:rsidR="005E677C" w:rsidRDefault="009C10D5">
      <w:pPr>
        <w:pStyle w:val="Author"/>
      </w:pPr>
      <w:r>
        <w:t>Marcus W. Beck (</w:t>
      </w:r>
      <w:hyperlink r:id="rId7">
        <w:r>
          <w:rPr>
            <w:rStyle w:val="Hyperlink"/>
          </w:rPr>
          <w:t>marcusb@sccwrp.org</w:t>
        </w:r>
      </w:hyperlink>
      <w:r>
        <w:t>), Raphael D. Mazor (</w:t>
      </w:r>
      <w:hyperlink r:id="rId8">
        <w:r>
          <w:rPr>
            <w:rStyle w:val="Hyperlink"/>
          </w:rPr>
          <w:t>raphaelm@sccwrp.org</w:t>
        </w:r>
      </w:hyperlink>
      <w:r>
        <w:t>), Susanna Theroux (</w:t>
      </w:r>
      <w:hyperlink r:id="rId9">
        <w:r>
          <w:rPr>
            <w:rStyle w:val="Hyperlink"/>
          </w:rPr>
          <w:t>susannat@sccwrp.org</w:t>
        </w:r>
      </w:hyperlink>
      <w:r>
        <w:t>), Kenneth C. Schiff (</w:t>
      </w:r>
      <w:hyperlink r:id="rId10">
        <w:r>
          <w:rPr>
            <w:rStyle w:val="Hyperlink"/>
          </w:rPr>
          <w:t>kens@sccwrp.org</w:t>
        </w:r>
      </w:hyperlink>
      <w:r>
        <w:t>)</w:t>
      </w:r>
    </w:p>
    <w:p w14:paraId="2FE1B476" w14:textId="77777777" w:rsidR="005E677C" w:rsidRDefault="009C10D5">
      <w:pPr>
        <w:pStyle w:val="Heading1"/>
      </w:pPr>
      <w:bookmarkStart w:id="0" w:name="abstract"/>
      <w:r>
        <w:t>Abstract</w:t>
      </w:r>
      <w:bookmarkEnd w:id="0"/>
    </w:p>
    <w:p w14:paraId="00D4E0DF" w14:textId="77777777" w:rsidR="005E677C" w:rsidRDefault="009C10D5">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w:t>
      </w:r>
      <w:commentRangeStart w:id="1"/>
      <w:r>
        <w:t>stressor-response empirical model that quantifies the expected likelihood that chemical and physical stressors will impact multiple individual components of biological condition</w:t>
      </w:r>
      <w:r w:rsidR="00123A91">
        <w:t>, as well as the actual measured biological response of those indicators</w:t>
      </w:r>
      <w:commentRangeEnd w:id="1"/>
      <w:r w:rsidR="007F633F">
        <w:rPr>
          <w:rStyle w:val="CommentReference"/>
        </w:rPr>
        <w:commentReference w:id="1"/>
      </w:r>
      <w:r>
        <w:t>. The index’s chemical parameters, which are indicative of anthropogenic inputs, include nutrients and conductivity</w:t>
      </w:r>
      <w:r w:rsidR="00123A91">
        <w:t>. T</w:t>
      </w:r>
      <w:r>
        <w:t>he physical parameters include two physical habitat indices that describe instream (i.e., substrate) condition and stream corridor (i.e., riparian) condition, respectively</w:t>
      </w:r>
      <w:r w:rsidR="00123A91">
        <w:t>. T</w:t>
      </w:r>
      <w:r>
        <w:t xml:space="preserve">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 “healthy and unstressed” (i.e., unimpacted biology, so protection is recommended); (2) “healthy and resilient” (i.e., stressed, but biological communities are healthy, so reducing stress is recommended); (3) “impacted and stressed” (i.e., impacted biology due to known chemistry and/or physical habitat stressor(s), so remediation or restoration is recommended); and (4) “impacted by unknown stress” (i.e., biology is impacted, so causal assessment is recommended to identify stressors). To facilitate adoption by managers, a web-based application was developed </w:t>
      </w:r>
      <w:r w:rsidR="00915221">
        <w:t xml:space="preserve">to easily communicate </w:t>
      </w:r>
      <w:r>
        <w:t xml:space="preserve">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w:t>
      </w:r>
      <w:r w:rsidR="00915221">
        <w:t xml:space="preserve">the technical underpinnings </w:t>
      </w:r>
      <w:r>
        <w:t>are not sacrificed for accessibility.</w:t>
      </w:r>
    </w:p>
    <w:p w14:paraId="01C381DD" w14:textId="77777777" w:rsidR="005E677C" w:rsidRDefault="009C10D5">
      <w:pPr>
        <w:pStyle w:val="Heading1"/>
      </w:pPr>
      <w:bookmarkStart w:id="2" w:name="introduction"/>
      <w:r>
        <w:t>Introduction</w:t>
      </w:r>
      <w:bookmarkEnd w:id="2"/>
    </w:p>
    <w:p w14:paraId="4459AD43" w14:textId="57A76ACE" w:rsidR="005E677C" w:rsidRDefault="009C10D5">
      <w:pPr>
        <w:pStyle w:val="FirstParagraph"/>
      </w:pPr>
      <w:r>
        <w:t xml:space="preserve">Assessments of stream health are a function of monitoring the water body’s physical, chemical, and biological integrity (33 USC §§ 1151, 1972). Monitoring </w:t>
      </w:r>
      <w:commentRangeStart w:id="3"/>
      <w:r>
        <w:t xml:space="preserve">physical habitat </w:t>
      </w:r>
      <w:commentRangeEnd w:id="3"/>
      <w:r w:rsidR="00423D42">
        <w:rPr>
          <w:rStyle w:val="CommentReference"/>
        </w:rPr>
        <w:commentReference w:id="3"/>
      </w:r>
      <w:r>
        <w:t xml:space="preserve">integrity facilitates determination of whether all necessary environmental niches are present to support a diverse </w:t>
      </w:r>
      <w:r>
        <w:lastRenderedPageBreak/>
        <w:t xml:space="preserve">aquatic community (Maddock, </w:t>
      </w:r>
      <w:hyperlink w:anchor="ref-Maddock99">
        <w:r>
          <w:rPr>
            <w:rStyle w:val="Hyperlink"/>
          </w:rPr>
          <w:t>1999</w:t>
        </w:r>
      </w:hyperlink>
      <w:r>
        <w:t xml:space="preserve">). Monitoring chemical integrity facilitates determination of whether toxic compounds are present, as well as whether minerals are sufficiently balanced to support aquatic life (Maruya et al., </w:t>
      </w:r>
      <w:hyperlink w:anchor="ref-Maruya16">
        <w:r>
          <w:rPr>
            <w:rStyle w:val="Hyperlink"/>
          </w:rPr>
          <w:t>2016</w:t>
        </w:r>
      </w:hyperlink>
      <w:r>
        <w:t xml:space="preserve">; Wang et al., </w:t>
      </w:r>
      <w:hyperlink w:anchor="ref-Wang07">
        <w:r>
          <w:rPr>
            <w:rStyle w:val="Hyperlink"/>
          </w:rPr>
          <w:t>2007</w:t>
        </w:r>
      </w:hyperlink>
      <w:r>
        <w:t xml:space="preserve">). Monitoring biological integrity, which is closest to the actual assessment of stream health, facilitates determination of whether unmeasured physical or chemical parameters are impacting otherwise balanced ecosystems (Ode et al., </w:t>
      </w:r>
      <w:hyperlink w:anchor="ref-Ode16">
        <w:r>
          <w:rPr>
            <w:rStyle w:val="Hyperlink"/>
          </w:rPr>
          <w:t>2016</w:t>
        </w:r>
      </w:hyperlink>
      <w:r>
        <w:t xml:space="preserve">; Stoddard et al., </w:t>
      </w:r>
      <w:hyperlink w:anchor="ref-Stoddard06">
        <w:r>
          <w:rPr>
            <w:rStyle w:val="Hyperlink"/>
          </w:rPr>
          <w:t>2006</w:t>
        </w:r>
      </w:hyperlink>
      <w:r>
        <w:t>)</w:t>
      </w:r>
      <w:ins w:id="4" w:author="Katherine Pease" w:date="2019-04-12T09:45:00Z">
        <w:r w:rsidR="00C04CF5">
          <w:t xml:space="preserve"> </w:t>
        </w:r>
        <w:r w:rsidR="006C60FC">
          <w:t>as well as any synergistic effects of measured and unmeasured parameters</w:t>
        </w:r>
      </w:ins>
      <w:r>
        <w:t>.</w:t>
      </w:r>
    </w:p>
    <w:p w14:paraId="3F58CE99" w14:textId="77777777" w:rsidR="005E677C" w:rsidRDefault="009C10D5">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 (National Research Council, </w:t>
      </w:r>
      <w:hyperlink w:anchor="ref-NRC90">
        <w:r>
          <w:rPr>
            <w:rStyle w:val="Hyperlink"/>
          </w:rPr>
          <w:t>1990</w:t>
        </w:r>
      </w:hyperlink>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 “grey zone” (Paulsen et al., </w:t>
      </w:r>
      <w:hyperlink w:anchor="ref-Paulsen08">
        <w:r>
          <w:rPr>
            <w:rStyle w:val="Hyperlink"/>
          </w:rPr>
          <w:t>2008</w:t>
        </w:r>
      </w:hyperlink>
      <w:r>
        <w:t>). This is particularly true when physical, chemical, and biological lines of evidence are not in complete agreement with one another.</w:t>
      </w:r>
    </w:p>
    <w:p w14:paraId="4CFA9A59" w14:textId="77777777" w:rsidR="005E677C" w:rsidRDefault="009C10D5">
      <w:pPr>
        <w:pStyle w:val="BodyText"/>
      </w:pPr>
      <w:r>
        <w:t xml:space="preserve">Multiple well-known tools exist for effectively communicating information for a single line of evidence. Bioassessment tools include the Index of Biological Integrity (IBI; Karr </w:t>
      </w:r>
      <w:hyperlink w:anchor="ref-Karr81">
        <w:r>
          <w:rPr>
            <w:rStyle w:val="Hyperlink"/>
          </w:rPr>
          <w:t>1981</w:t>
        </w:r>
      </w:hyperlink>
      <w:r>
        <w:t xml:space="preserve">), Observed to Expected ratios (O/E; Hawkins et al. </w:t>
      </w:r>
      <w:hyperlink w:anchor="ref-Hawkins00b">
        <w:r>
          <w:rPr>
            <w:rStyle w:val="Hyperlink"/>
          </w:rPr>
          <w:t>2000</w:t>
        </w:r>
      </w:hyperlink>
      <w:r>
        <w:t xml:space="preserve">), and hybrids of the IBI and O/E (Mazor et al., </w:t>
      </w:r>
      <w:hyperlink w:anchor="ref-Mazor16">
        <w:r>
          <w:rPr>
            <w:rStyle w:val="Hyperlink"/>
          </w:rPr>
          <w:t>2016</w:t>
        </w:r>
      </w:hyperlink>
      <w:r>
        <w:t xml:space="preserve">). Chemical assessment tools include the Canadian Council of Ministers of the Environment (CCME) Water Quality Index (CCME, </w:t>
      </w:r>
      <w:hyperlink w:anchor="ref-CCME01">
        <w:r>
          <w:rPr>
            <w:rStyle w:val="Hyperlink"/>
          </w:rPr>
          <w:t>2001</w:t>
        </w:r>
      </w:hyperlink>
      <w:r>
        <w:t xml:space="preserve">; Hurley et al., </w:t>
      </w:r>
      <w:hyperlink w:anchor="ref-Hurley12">
        <w:r>
          <w:rPr>
            <w:rStyle w:val="Hyperlink"/>
          </w:rPr>
          <w:t>2012</w:t>
        </w:r>
      </w:hyperlink>
      <w:r>
        <w:t xml:space="preserve">). Physical habitat assessment tools, which are less common, include the California Rapid Assessment Method (Collins et al., </w:t>
      </w:r>
      <w:hyperlink w:anchor="ref-Collins07">
        <w:r>
          <w:rPr>
            <w:rStyle w:val="Hyperlink"/>
          </w:rPr>
          <w:t>2007</w:t>
        </w:r>
      </w:hyperlink>
      <w:r>
        <w:t xml:space="preserve">; Solek et al., </w:t>
      </w:r>
      <w:hyperlink w:anchor="ref-Solek11">
        <w:r>
          <w:rPr>
            <w:rStyle w:val="Hyperlink"/>
          </w:rPr>
          <w:t>2011</w:t>
        </w:r>
      </w:hyperlink>
      <w:r>
        <w:t xml:space="preserve">) and the more recently developed Index of Physical Integrity (Rehn et al., </w:t>
      </w:r>
      <w:hyperlink w:anchor="ref-Rehn18">
        <w:r>
          <w:rPr>
            <w:rStyle w:val="Hyperlink"/>
          </w:rPr>
          <w:t>2018</w:t>
        </w:r>
      </w:hyperlink>
      <w:r>
        <w:t>). These established tools have been used as single lines of evidence to separately address chemical, physical, and biological components of the United States CWA.</w:t>
      </w:r>
    </w:p>
    <w:p w14:paraId="45002F35" w14:textId="77777777" w:rsidR="005E677C" w:rsidRDefault="009C10D5">
      <w:pPr>
        <w:pStyle w:val="BodyText"/>
      </w:pPr>
      <w:commentRangeStart w:id="5"/>
      <w:r>
        <w:t xml:space="preserve">An assessment tool that combines physical, chemical, and biological indicators into a single unified assessment is exceedingly rare </w:t>
      </w:r>
      <w:commentRangeEnd w:id="5"/>
      <w:r w:rsidR="00C76BCC">
        <w:rPr>
          <w:rStyle w:val="CommentReference"/>
        </w:rPr>
        <w:commentReference w:id="5"/>
      </w:r>
      <w:r>
        <w:t xml:space="preserve">(Bay and Weisberg, </w:t>
      </w:r>
      <w:hyperlink w:anchor="ref-Bay12">
        <w:r>
          <w:rPr>
            <w:rStyle w:val="Hyperlink"/>
          </w:rPr>
          <w:t>2012</w:t>
        </w:r>
      </w:hyperlink>
      <w:r>
        <w:t xml:space="preserve">). Much more commonplace are instances where multiple indicators are individually simplified and presented as a group, leaving managers to decide which is most important (Paulsen et al., </w:t>
      </w:r>
      <w:hyperlink w:anchor="ref-Paulsen08">
        <w:r>
          <w:rPr>
            <w:rStyle w:val="Hyperlink"/>
          </w:rPr>
          <w:t>2008</w:t>
        </w:r>
      </w:hyperlink>
      <w:r>
        <w:t>).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14:paraId="331FED28" w14:textId="77777777" w:rsidR="005E677C" w:rsidRDefault="009C10D5">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w:t>
      </w:r>
      <w:r>
        <w:lastRenderedPageBreak/>
        <w:t>information provided by each line of evidence. This is fundamentally different than treating indicators as equivalent lines of evidence and simply “averaging” results to assess overall condition.</w:t>
      </w:r>
    </w:p>
    <w:p w14:paraId="6AD9D665" w14:textId="77777777" w:rsidR="005E677C" w:rsidRDefault="009C10D5">
      <w:pPr>
        <w:pStyle w:val="Heading1"/>
      </w:pPr>
      <w:bookmarkStart w:id="6" w:name="methods"/>
      <w:r>
        <w:t>Methods</w:t>
      </w:r>
      <w:bookmarkEnd w:id="6"/>
    </w:p>
    <w:p w14:paraId="4202C9BE" w14:textId="77777777" w:rsidR="005E677C" w:rsidRDefault="009C10D5">
      <w:pPr>
        <w:pStyle w:val="Heading2"/>
      </w:pPr>
      <w:bookmarkStart w:id="7" w:name="general-approach"/>
      <w:r>
        <w:t>General Approach</w:t>
      </w:r>
      <w:bookmarkEnd w:id="7"/>
    </w:p>
    <w:p w14:paraId="00024AFB" w14:textId="77777777" w:rsidR="005E677C" w:rsidRDefault="009C10D5">
      <w:pPr>
        <w:pStyle w:val="FirstParagraph"/>
      </w:pPr>
      <w:r>
        <w:t>The conceptual approach used in this study is based on a stressor-response relationship between biology and in-stream stressors (Figure 1).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14:paraId="73032133" w14:textId="77777777" w:rsidR="005E677C" w:rsidRDefault="009C10D5">
      <w:pPr>
        <w:pStyle w:val="BodyText"/>
      </w:pPr>
      <w:r>
        <w:t xml:space="preserve">Biological response components were selected based on bioassessment indices developed for California wadeable streams (i.e., benthic macroinvertebrates, algae). </w:t>
      </w:r>
      <w:commentRangeStart w:id="8"/>
      <w:r>
        <w:t>Water chemistry stressors were selected that are strongly associated with biological condition in perennial streams (i.e., nutrients, conductivity).</w:t>
      </w:r>
      <w:commentRangeEnd w:id="8"/>
      <w:r w:rsidR="00F87D92">
        <w:rPr>
          <w:rStyle w:val="CommentReference"/>
        </w:rPr>
        <w:commentReference w:id="8"/>
      </w:r>
      <w:r>
        <w:t xml:space="preserve"> </w:t>
      </w:r>
      <w:commentRangeStart w:id="9"/>
      <w:r>
        <w:t>Physical habitat metrics were selected that quantify flow, channel, and riparian condition observed at a site.</w:t>
      </w:r>
      <w:commentRangeEnd w:id="9"/>
      <w:r w:rsidR="0064745F">
        <w:rPr>
          <w:rStyle w:val="CommentReference"/>
        </w:rPr>
        <w:commentReference w:id="9"/>
      </w:r>
    </w:p>
    <w:p w14:paraId="5A1D8D33" w14:textId="77777777" w:rsidR="005E677C" w:rsidRDefault="009C10D5">
      <w:pPr>
        <w:pStyle w:val="BodyText"/>
      </w:pPr>
      <w:r>
        <w:t>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14:paraId="3ABEC5E7" w14:textId="77777777" w:rsidR="005E677C" w:rsidRDefault="009C10D5">
      <w:pPr>
        <w:pStyle w:val="Heading2"/>
      </w:pPr>
      <w:bookmarkStart w:id="10" w:name="biological-response-components-of-the-sq"/>
      <w:r>
        <w:t>Biological response components of the SQI</w:t>
      </w:r>
      <w:bookmarkEnd w:id="10"/>
    </w:p>
    <w:p w14:paraId="43BB09BB" w14:textId="77777777" w:rsidR="005E677C" w:rsidRDefault="009C10D5">
      <w:pPr>
        <w:pStyle w:val="Heading3"/>
      </w:pPr>
      <w:bookmarkStart w:id="11" w:name="characterizing-biological-condition"/>
      <w:r>
        <w:t>Characterizing biological condition</w:t>
      </w:r>
      <w:bookmarkEnd w:id="11"/>
    </w:p>
    <w:p w14:paraId="79712A77" w14:textId="77777777" w:rsidR="005E677C" w:rsidRDefault="009C10D5">
      <w:pPr>
        <w:pStyle w:val="FirstParagraph"/>
      </w:pPr>
      <w:r>
        <w:t xml:space="preserve">To characterize biological condition, a pair of quantitative bioassessment indices – for benthic macroinvertebrates (BMI) and algal communities, respectively – were used that have been developed for California streams (Mazor et al., </w:t>
      </w:r>
      <w:hyperlink w:anchor="ref-Mazor16">
        <w:r>
          <w:rPr>
            <w:rStyle w:val="Hyperlink"/>
          </w:rPr>
          <w:t>2016</w:t>
        </w:r>
      </w:hyperlink>
      <w:r>
        <w:t xml:space="preserve">; Theroux et al., </w:t>
      </w:r>
      <w:hyperlink w:anchor="ref-Therouxip">
        <w:r w:rsidR="0072410F">
          <w:rPr>
            <w:rStyle w:val="Hyperlink"/>
          </w:rPr>
          <w:t>in prep</w:t>
        </w:r>
      </w:hyperlink>
      <w:r>
        <w:t>); the indices were treated as complementary lines of evidence in the SQI.</w:t>
      </w:r>
    </w:p>
    <w:p w14:paraId="057707C7" w14:textId="77777777" w:rsidR="005E677C" w:rsidRDefault="009C10D5">
      <w:pPr>
        <w:pStyle w:val="BodyText"/>
      </w:pPr>
      <w:r>
        <w:t xml:space="preserve">The California Stream Condition Index (CSCI, Mazor et al. </w:t>
      </w:r>
      <w:hyperlink w:anchor="ref-Mazor16">
        <w:r>
          <w:rPr>
            <w:rStyle w:val="Hyperlink"/>
          </w:rPr>
          <w:t>2016</w:t>
        </w:r>
      </w:hyperlink>
      <w:r>
        <w:t>) is a predictive index that compares observed benthic macroinvertebrate taxa and metrics at a site to those expected under least disturbed reference conditions (sensu Stoddard et al. (</w:t>
      </w:r>
      <w:hyperlink w:anchor="ref-Stoddard06">
        <w:r>
          <w:rPr>
            <w:rStyle w:val="Hyperlink"/>
          </w:rPr>
          <w:t>2006</w:t>
        </w:r>
      </w:hyperlink>
      <w:r>
        <w:t xml:space="preserve">)). Expected values at a site are based on models that estimate the likely macroinvertebrate community relative to factors that naturally influence biology (Cao et al., </w:t>
      </w:r>
      <w:hyperlink w:anchor="ref-Cao07">
        <w:r>
          <w:rPr>
            <w:rStyle w:val="Hyperlink"/>
          </w:rPr>
          <w:t>2007</w:t>
        </w:r>
      </w:hyperlink>
      <w:r>
        <w:t xml:space="preserve">; Moss et al., </w:t>
      </w:r>
      <w:hyperlink w:anchor="ref-Moss87">
        <w:r>
          <w:rPr>
            <w:rStyle w:val="Hyperlink"/>
          </w:rPr>
          <w:t>1987</w:t>
        </w:r>
      </w:hyperlink>
      <w:r>
        <w:t>).</w:t>
      </w:r>
    </w:p>
    <w:p w14:paraId="42720A2D" w14:textId="77777777" w:rsidR="005E677C" w:rsidRDefault="009C10D5">
      <w:pPr>
        <w:pStyle w:val="BodyText"/>
      </w:pPr>
      <w:r>
        <w:t xml:space="preserve">The Algal Stream Condition Index (ASCI, Theroux et al. </w:t>
      </w:r>
      <w:hyperlink w:anchor="ref-Therouxip">
        <w:r w:rsidR="0072410F">
          <w:rPr>
            <w:rStyle w:val="Hyperlink"/>
          </w:rPr>
          <w:t>in prep</w:t>
        </w:r>
      </w:hyperlink>
      <w:r>
        <w:t>) was similarly developed as a response endpoint for lower trophic levels; the ASCI is a non-predictive multi-metric index (i.e., it uses a uniform, statewide reference expectation) that incorporates both diatoms and soft-</w:t>
      </w:r>
      <w:r>
        <w:lastRenderedPageBreak/>
        <w:t>bodied algae. Scores for both indices can range from 0 to ~ 1.4, with a score of 1 at sites in reference condition and lower values indicating biological degradation. Both indices are used as standard assessment measures for perennial wadeable streams in California.</w:t>
      </w:r>
    </w:p>
    <w:p w14:paraId="2BFD329F" w14:textId="77777777" w:rsidR="005E677C" w:rsidRDefault="009C10D5">
      <w:pPr>
        <w:pStyle w:val="BodyText"/>
      </w:pPr>
      <w:r>
        <w:t xml:space="preserve">Index scores were compared to the distribution of scores at </w:t>
      </w:r>
      <w:commentRangeStart w:id="12"/>
      <w:r>
        <w:t xml:space="preserve">reference sites </w:t>
      </w:r>
      <w:commentRangeEnd w:id="12"/>
      <w:r w:rsidR="00723C08">
        <w:rPr>
          <w:rStyle w:val="CommentReference"/>
        </w:rPr>
        <w:commentReference w:id="12"/>
      </w:r>
      <w:r>
        <w:t>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 ??).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14:paraId="2B8BC22C" w14:textId="77777777" w:rsidR="005E677C" w:rsidRDefault="009C10D5">
      <w:pPr>
        <w:pStyle w:val="Heading3"/>
      </w:pPr>
      <w:bookmarkStart w:id="13" w:name="integrating-multiple-measures-of-biologi"/>
      <w:r>
        <w:t>Integrating multiple measures of biological condition</w:t>
      </w:r>
      <w:bookmarkEnd w:id="13"/>
    </w:p>
    <w:p w14:paraId="2BA4E59B" w14:textId="77777777" w:rsidR="005E677C" w:rsidRDefault="009C10D5">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w:t>
      </w:r>
      <w:commentRangeStart w:id="14"/>
      <w:r>
        <w:t>stakeholders</w:t>
      </w:r>
      <w:commentRangeEnd w:id="14"/>
      <w:r w:rsidR="005223C0">
        <w:rPr>
          <w:rStyle w:val="CommentReference"/>
        </w:rPr>
        <w:commentReference w:id="14"/>
      </w:r>
      <w:r>
        <w:t>,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 1). All negative values indicate impacted conditions.</w:t>
      </w:r>
    </w:p>
    <w:p w14:paraId="70093A0E" w14:textId="77777777" w:rsidR="005E677C" w:rsidRDefault="009C10D5">
      <w:pPr>
        <w:pStyle w:val="Heading2"/>
      </w:pPr>
      <w:bookmarkStart w:id="15" w:name="stressor-components"/>
      <w:r>
        <w:t>Stressor components</w:t>
      </w:r>
      <w:bookmarkEnd w:id="15"/>
    </w:p>
    <w:p w14:paraId="2D05279E" w14:textId="77777777" w:rsidR="005E677C" w:rsidRDefault="009C10D5">
      <w:pPr>
        <w:pStyle w:val="Heading3"/>
      </w:pPr>
      <w:bookmarkStart w:id="16" w:name="characterizing-stress"/>
      <w:r>
        <w:t>Characterizing stress</w:t>
      </w:r>
      <w:bookmarkEnd w:id="16"/>
    </w:p>
    <w:p w14:paraId="39CDAE0B" w14:textId="77777777" w:rsidR="005E677C" w:rsidRDefault="009C10D5">
      <w:pPr>
        <w:pStyle w:val="FirstParagraph"/>
      </w:pPr>
      <w:r>
        <w:t xml:space="preserve">Water chemistry and physical habitat measurements, which were used to describe stressors associated with low CSCI and ASCI scores (Mazor, </w:t>
      </w:r>
      <w:hyperlink w:anchor="ref-Mazor15">
        <w:r>
          <w:rPr>
            <w:rStyle w:val="Hyperlink"/>
          </w:rPr>
          <w:t>2015</w:t>
        </w:r>
      </w:hyperlink>
      <w:r>
        <w:t xml:space="preserve">; Theroux et al., </w:t>
      </w:r>
      <w:hyperlink w:anchor="ref-Therouxip">
        <w:r w:rsidR="0072410F">
          <w:rPr>
            <w:rStyle w:val="Hyperlink"/>
          </w:rPr>
          <w:t>in prep</w:t>
        </w:r>
      </w:hyperlink>
      <w:r>
        <w:t xml:space="preserve">), have a </w:t>
      </w:r>
      <w:commentRangeStart w:id="17"/>
      <w:r>
        <w:t xml:space="preserve">conceptual </w:t>
      </w:r>
      <w:commentRangeEnd w:id="17"/>
      <w:r w:rsidR="00117507">
        <w:rPr>
          <w:rStyle w:val="CommentReference"/>
        </w:rPr>
        <w:commentReference w:id="17"/>
      </w:r>
      <w:r>
        <w:t xml:space="preserve">relationship with both invertebrate and algal assemblages (Pan et al., </w:t>
      </w:r>
      <w:hyperlink w:anchor="ref-Pan02">
        <w:r>
          <w:rPr>
            <w:rStyle w:val="Hyperlink"/>
          </w:rPr>
          <w:t>2002</w:t>
        </w:r>
      </w:hyperlink>
      <w:r>
        <w:t xml:space="preserve">; Richards et al., </w:t>
      </w:r>
      <w:hyperlink w:anchor="ref-Richards97">
        <w:r>
          <w:rPr>
            <w:rStyle w:val="Hyperlink"/>
          </w:rPr>
          <w:t>1997</w:t>
        </w:r>
      </w:hyperlink>
      <w:r>
        <w:t xml:space="preserve">; Wang et al., </w:t>
      </w:r>
      <w:hyperlink w:anchor="ref-Wang07">
        <w:r>
          <w:rPr>
            <w:rStyle w:val="Hyperlink"/>
          </w:rPr>
          <w:t>2007</w:t>
        </w:r>
      </w:hyperlink>
      <w:r>
        <w:t>). Depending on the context, physical habitat can be considered a response metric of stream health. However, physical habitat herein is considered a stressor that can affect biological condition at different taxonomic levels within the stressor-response model.</w:t>
      </w:r>
    </w:p>
    <w:p w14:paraId="229AA714" w14:textId="77777777" w:rsidR="005E677C" w:rsidRDefault="009C10D5">
      <w:pPr>
        <w:pStyle w:val="BodyText"/>
      </w:pPr>
      <w:r>
        <w:t>The water chemistry indicators consisted of nutrients - specifically, total nitrogen (mg/L) and total phosphorus (mg/L) - and specific conductivity (</w:t>
      </w:r>
      <m:oMath>
        <m:r>
          <w:rPr>
            <w:rFonts w:ascii="Cambria Math" w:hAnsi="Cambria Math"/>
          </w:rPr>
          <m:t>μ</m:t>
        </m:r>
      </m:oMath>
      <w:r>
        <w:t xml:space="preserve">S/cm). Nitrogen, phosphorus, and conductivity are widely measured in many regional and statewide monitoring programs, and collectively act as </w:t>
      </w:r>
      <w:commentRangeStart w:id="18"/>
      <w:r>
        <w:t xml:space="preserve">surrogates for unmeasured or alternative water quality problems at a site </w:t>
      </w:r>
      <w:commentRangeEnd w:id="18"/>
      <w:r w:rsidR="00117507">
        <w:rPr>
          <w:rStyle w:val="CommentReference"/>
        </w:rPr>
        <w:commentReference w:id="18"/>
      </w:r>
      <w:r>
        <w:t xml:space="preserve">(e.g., temperature, light penetration). Although other contaminants that can affect aquatic organisms </w:t>
      </w:r>
      <w:r>
        <w:lastRenderedPageBreak/>
        <w:t xml:space="preserve">are sometimes measured (e.g., metals, pesticides, pharmaceuticals), observations can be sparsely distributed in the study region (Mazor, </w:t>
      </w:r>
      <w:hyperlink w:anchor="ref-Mazor15">
        <w:r>
          <w:rPr>
            <w:rStyle w:val="Hyperlink"/>
          </w:rPr>
          <w:t>2015</w:t>
        </w:r>
      </w:hyperlink>
      <w:r>
        <w:t xml:space="preserve">) and </w:t>
      </w:r>
      <w:commentRangeStart w:id="19"/>
      <w:r>
        <w:t>contaminants often co-occur with elevated nutrients or specific conductivity. As such, the selected indicators are an effective proxy for stressors that are in the minority of water quality data available for southern California streams.</w:t>
      </w:r>
      <w:commentRangeEnd w:id="19"/>
      <w:r w:rsidR="00117507">
        <w:rPr>
          <w:rStyle w:val="CommentReference"/>
        </w:rPr>
        <w:commentReference w:id="19"/>
      </w:r>
    </w:p>
    <w:p w14:paraId="22085DE5" w14:textId="77777777" w:rsidR="005E677C" w:rsidRDefault="009C10D5">
      <w:pPr>
        <w:pStyle w:val="BodyText"/>
      </w:pPr>
      <w:r>
        <w:t xml:space="preserve">Physical habitat conditions at a site were quantified using two indices of habitat condition developed for California water bodies: the Index of Physical-Habitat Integrity (IPI; Rehn et al. </w:t>
      </w:r>
      <w:hyperlink w:anchor="ref-Rehn18">
        <w:r>
          <w:rPr>
            <w:rStyle w:val="Hyperlink"/>
          </w:rPr>
          <w:t>2018</w:t>
        </w:r>
      </w:hyperlink>
      <w:r>
        <w:t xml:space="preserve">) and the California Rapid Assessment Method (CRAM) for riverine wetlands (Collins et al., </w:t>
      </w:r>
      <w:hyperlink w:anchor="ref-Collins07">
        <w:r>
          <w:rPr>
            <w:rStyle w:val="Hyperlink"/>
          </w:rPr>
          <w:t>2007</w:t>
        </w:r>
      </w:hyperlink>
      <w:r>
        <w:t xml:space="preserve">; Solek et al., </w:t>
      </w:r>
      <w:hyperlink w:anchor="ref-Solek11">
        <w:r>
          <w:rPr>
            <w:rStyle w:val="Hyperlink"/>
          </w:rPr>
          <w:t>2011</w:t>
        </w:r>
      </w:hyperlink>
      <w:r>
        <w:t xml:space="preserve">). </w:t>
      </w:r>
      <w:commentRangeStart w:id="20"/>
      <w:r>
        <w:t>Although IPI and CRAM scores can be correlated</w:t>
      </w:r>
      <w:commentRangeEnd w:id="20"/>
      <w:r w:rsidR="003959D7">
        <w:rPr>
          <w:rStyle w:val="CommentReference"/>
        </w:rPr>
        <w:commentReference w:id="20"/>
      </w:r>
      <w:r>
        <w:t>, both were included in the SQI because they provide unique information about physical habitat; IPI scores better describe instream condition and CRAM scores better describe riparian condition.</w:t>
      </w:r>
    </w:p>
    <w:p w14:paraId="3606D370" w14:textId="77777777" w:rsidR="005E677C" w:rsidRDefault="009C10D5">
      <w:pPr>
        <w:pStyle w:val="BodyText"/>
      </w:pPr>
      <w:r>
        <w:t xml:space="preserve">The IPI is an O/E index (Hawkins et al., </w:t>
      </w:r>
      <w:hyperlink w:anchor="ref-Hawkins00b">
        <w:r>
          <w:rPr>
            <w:rStyle w:val="Hyperlink"/>
          </w:rPr>
          <w:t>2000</w:t>
        </w:r>
      </w:hyperlink>
      <w:r>
        <w:t>)based on physical habitat metrics (PHAB,</w:t>
      </w:r>
      <w:r w:rsidR="0072410F">
        <w:t xml:space="preserve"> </w:t>
      </w:r>
      <w:r>
        <w:t xml:space="preserve">Rehn et al., </w:t>
      </w:r>
      <w:hyperlink w:anchor="ref-Rehn18">
        <w:r>
          <w:rPr>
            <w:rStyle w:val="Hyperlink"/>
          </w:rPr>
          <w:t>2018</w:t>
        </w:r>
      </w:hyperlink>
      <w:r>
        <w:t>)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 Ode (</w:t>
      </w:r>
      <w:hyperlink w:anchor="ref-Ode07">
        <w:r>
          <w:rPr>
            <w:rStyle w:val="Hyperlink"/>
          </w:rPr>
          <w:t>2007</w:t>
        </w:r>
      </w:hyperlink>
      <w:r>
        <w:t xml:space="preserve">), which are derived from protocols used in national assessments (USEPA </w:t>
      </w:r>
      <w:hyperlink w:anchor="ref-USEPA16">
        <w:r>
          <w:rPr>
            <w:rStyle w:val="Hyperlink"/>
          </w:rPr>
          <w:t>2016</w:t>
        </w:r>
      </w:hyperlink>
      <w:r>
        <w:t xml:space="preserve">). As with the CSCI, the IPI is a predictive index, and values for most metrics are compared to site-specific expectations appropriate for the stream’s environmental setting. The IPI ranges from 0 to ~1.4, with values less than 1 indicating departure from </w:t>
      </w:r>
      <w:commentRangeStart w:id="21"/>
      <w:r>
        <w:t>reference conditions</w:t>
      </w:r>
      <w:commentRangeEnd w:id="21"/>
      <w:r w:rsidR="00270FE8">
        <w:rPr>
          <w:rStyle w:val="CommentReference"/>
        </w:rPr>
        <w:commentReference w:id="21"/>
      </w:r>
      <w:r>
        <w:t>.</w:t>
      </w:r>
    </w:p>
    <w:p w14:paraId="3EEA40D6" w14:textId="77777777" w:rsidR="005E677C" w:rsidRDefault="009C10D5">
      <w:pPr>
        <w:pStyle w:val="BodyText"/>
      </w:pPr>
      <w:r>
        <w:t>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14:paraId="3BC620B8" w14:textId="77777777" w:rsidR="005E677C" w:rsidRDefault="009C10D5">
      <w:pPr>
        <w:pStyle w:val="Heading3"/>
      </w:pPr>
      <w:bookmarkStart w:id="22" w:name="integrating-multiple-measures-of-stress"/>
      <w:r>
        <w:t>Integrating multiple measures of stress</w:t>
      </w:r>
      <w:bookmarkEnd w:id="22"/>
    </w:p>
    <w:p w14:paraId="3AE1F78E" w14:textId="77777777" w:rsidR="005E677C" w:rsidRDefault="009C10D5">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w:t>
      </w:r>
      <w:commentRangeStart w:id="23"/>
      <w:r>
        <w:t xml:space="preserve">identify potential thresholds </w:t>
      </w:r>
      <w:commentRangeEnd w:id="23"/>
      <w:r w:rsidR="00FC7023">
        <w:rPr>
          <w:rStyle w:val="CommentReference"/>
        </w:rPr>
        <w:commentReference w:id="23"/>
      </w:r>
      <w:r>
        <w:t>for identifying high levels of stress while also accounting for their combined impacts.</w:t>
      </w:r>
    </w:p>
    <w:p w14:paraId="09E2CBB8" w14:textId="77777777" w:rsidR="005E677C" w:rsidRDefault="009C10D5">
      <w:pPr>
        <w:pStyle w:val="BodyText"/>
      </w:pPr>
      <w:r>
        <w:t xml:space="preserve">For both types of stress, a generalized linear model (Fox and Weisberg, </w:t>
      </w:r>
      <w:hyperlink w:anchor="ref-Fox11">
        <w:r>
          <w:rPr>
            <w:rStyle w:val="Hyperlink"/>
          </w:rPr>
          <w:t>2011</w:t>
        </w:r>
      </w:hyperlink>
      <w:r>
        <w:t xml:space="preserve">) was fit to calibration data to quantify </w:t>
      </w:r>
      <w:commentRangeStart w:id="24"/>
      <w:r>
        <w:t>associations for each separate water quality or physical habitat measure with binomial categories for altered or unaltered biology</w:t>
      </w:r>
      <w:commentRangeEnd w:id="24"/>
      <w:r w:rsidR="009A4249">
        <w:rPr>
          <w:rStyle w:val="CommentReference"/>
        </w:rPr>
        <w:commentReference w:id="24"/>
      </w:r>
      <w:r>
        <w:t>. Two models were developed:</w:t>
      </w:r>
    </w:p>
    <w:p w14:paraId="5CAE101C" w14:textId="77777777" w:rsidR="005E677C" w:rsidRDefault="009C10D5">
      <w:pPr>
        <w:pStyle w:val="BodyText"/>
      </w:pPr>
      <m:oMathPara>
        <m:oMathParaPr>
          <m:jc m:val="center"/>
        </m:oMathParaPr>
        <m:oMath>
          <m:r>
            <w:rPr>
              <w:rFonts w:ascii="Cambria Math" w:hAnsi="Cambria Math"/>
            </w:rPr>
            <m:t>pChem:p</m:t>
          </m:r>
          <m:d>
            <m:dPr>
              <m:ctrlPr>
                <w:rPr>
                  <w:rFonts w:ascii="Cambria Math" w:hAnsi="Cambria Math"/>
                </w:rPr>
              </m:ctrlPr>
            </m:dPr>
            <m:e>
              <m:r>
                <w:rPr>
                  <w:rFonts w:ascii="Cambria Math" w:hAnsi="Cambria Math"/>
                </w:rPr>
                <m:t>bio</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TN+</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TP+</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cond  (1)</m:t>
          </m:r>
        </m:oMath>
      </m:oMathPara>
    </w:p>
    <w:p w14:paraId="1CACD9D7" w14:textId="77777777" w:rsidR="005E677C" w:rsidRDefault="009C10D5">
      <w:pPr>
        <w:pStyle w:val="FirstParagraph"/>
      </w:pPr>
      <m:oMathPara>
        <m:oMathParaPr>
          <m:jc m:val="center"/>
        </m:oMathParaPr>
        <m:oMath>
          <m:r>
            <w:rPr>
              <w:rFonts w:ascii="Cambria Math" w:hAnsi="Cambria Math"/>
            </w:rPr>
            <m:t>pHab:p</m:t>
          </m:r>
          <m:d>
            <m:dPr>
              <m:ctrlPr>
                <w:rPr>
                  <w:rFonts w:ascii="Cambria Math" w:hAnsi="Cambria Math"/>
                </w:rPr>
              </m:ctrlPr>
            </m:dPr>
            <m:e>
              <m:r>
                <w:rPr>
                  <w:rFonts w:ascii="Cambria Math" w:hAnsi="Cambria Math"/>
                </w:rPr>
                <m:t>bio</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IPI+</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CRAM  (2)</m:t>
          </m:r>
        </m:oMath>
      </m:oMathPara>
    </w:p>
    <w:p w14:paraId="2E2DD483" w14:textId="77777777" w:rsidR="005E677C" w:rsidRDefault="009C10D5">
      <w:pPr>
        <w:pStyle w:val="FirstParagraph"/>
      </w:pPr>
      <w:r>
        <w:lastRenderedPageBreak/>
        <w:t xml:space="preserve">where </w:t>
      </w:r>
      <m:oMath>
        <m:r>
          <w:rPr>
            <w:rFonts w:ascii="Cambria Math" w:hAnsi="Cambria Math"/>
          </w:rPr>
          <m:t>p</m:t>
        </m:r>
        <m:d>
          <m:dPr>
            <m:ctrlPr>
              <w:rPr>
                <w:rFonts w:ascii="Cambria Math" w:hAnsi="Cambria Math"/>
              </w:rPr>
            </m:ctrlPr>
          </m:dPr>
          <m:e>
            <m:r>
              <w:rPr>
                <w:rFonts w:ascii="Cambria Math" w:hAnsi="Cambria Math"/>
              </w:rPr>
              <m:t>bio</m:t>
            </m:r>
          </m:e>
        </m:d>
      </m:oMath>
      <w:r>
        <w:t xml:space="preserve"> is the probability of biological alteration in equations (1) and (2) given the indicators for each chemistry or physical habitat variable. The probability of alteration is modelled using a logit link function for binomial variables, as </w:t>
      </w:r>
      <m:oMath>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1-p</m:t>
                </m:r>
              </m:e>
            </m:d>
          </m:e>
        </m:d>
      </m:oMath>
      <w:r>
        <w:t xml:space="preserve">, where </w:t>
      </w:r>
      <m:oMath>
        <m:r>
          <w:rPr>
            <w:rFonts w:ascii="Cambria Math" w:hAnsi="Cambria Math"/>
          </w:rPr>
          <m:t>p</m:t>
        </m:r>
      </m:oMath>
      <w:r>
        <w:t xml:space="preserve"> defines the presence or absence of altered biology described above.</w:t>
      </w:r>
    </w:p>
    <w:p w14:paraId="2F3E8367" w14:textId="77777777" w:rsidR="005E677C" w:rsidRDefault="009C10D5">
      <w:pPr>
        <w:pStyle w:val="BodyText"/>
      </w:pPr>
      <w:r>
        <w:t xml:space="preserve">An overall likelihood of biological alteration from both chemistry and physical habitat stressors was also estimated as a multiplicative function for </w:t>
      </w:r>
      <m:oMath>
        <m:r>
          <w:rPr>
            <w:rFonts w:ascii="Cambria Math" w:hAnsi="Cambria Math"/>
          </w:rPr>
          <m:t>pChem</m:t>
        </m:r>
      </m:oMath>
      <w:r>
        <w:t xml:space="preserve"> and </w:t>
      </w:r>
      <m:oMath>
        <m:r>
          <w:rPr>
            <w:rFonts w:ascii="Cambria Math" w:hAnsi="Cambria Math"/>
          </w:rPr>
          <m:t>pHab</m:t>
        </m:r>
      </m:oMath>
      <w:r>
        <w:t>:</w:t>
      </w:r>
    </w:p>
    <w:p w14:paraId="0C43C9C8" w14:textId="77777777" w:rsidR="005E677C" w:rsidRDefault="009C10D5">
      <w:pPr>
        <w:pStyle w:val="BodyText"/>
      </w:pPr>
      <m:oMathPara>
        <m:oMathParaPr>
          <m:jc m:val="center"/>
        </m:oMathParaPr>
        <m:oMath>
          <m:r>
            <w:rPr>
              <w:rFonts w:ascii="Cambria Math" w:hAnsi="Cambria Math"/>
            </w:rPr>
            <m:t>pOverall:p</m:t>
          </m:r>
          <m:d>
            <m:dPr>
              <m:ctrlPr>
                <w:rPr>
                  <w:rFonts w:ascii="Cambria Math" w:hAnsi="Cambria Math"/>
                </w:rPr>
              </m:ctrlPr>
            </m:dPr>
            <m:e>
              <m:r>
                <w:rPr>
                  <w:rFonts w:ascii="Cambria Math" w:hAnsi="Cambria Math"/>
                </w:rPr>
                <m:t>bio</m:t>
              </m:r>
            </m:e>
          </m:d>
          <m:r>
            <w:rPr>
              <w:rFonts w:ascii="Cambria Math" w:hAnsi="Cambria Math"/>
            </w:rPr>
            <m:t>∼1-</m:t>
          </m:r>
          <m:d>
            <m:dPr>
              <m:ctrlPr>
                <w:rPr>
                  <w:rFonts w:ascii="Cambria Math" w:hAnsi="Cambria Math"/>
                </w:rPr>
              </m:ctrlPr>
            </m:dPr>
            <m:e>
              <m:d>
                <m:dPr>
                  <m:ctrlPr>
                    <w:rPr>
                      <w:rFonts w:ascii="Cambria Math" w:hAnsi="Cambria Math"/>
                    </w:rPr>
                  </m:ctrlPr>
                </m:dPr>
                <m:e>
                  <m:r>
                    <w:rPr>
                      <w:rFonts w:ascii="Cambria Math" w:hAnsi="Cambria Math"/>
                    </w:rPr>
                    <m:t>1-pChem</m:t>
                  </m:r>
                </m:e>
              </m:d>
              <m:r>
                <w:rPr>
                  <w:rFonts w:ascii="Cambria Math" w:hAnsi="Cambria Math"/>
                </w:rPr>
                <m:t>×</m:t>
              </m:r>
              <m:d>
                <m:dPr>
                  <m:ctrlPr>
                    <w:rPr>
                      <w:rFonts w:ascii="Cambria Math" w:hAnsi="Cambria Math"/>
                    </w:rPr>
                  </m:ctrlPr>
                </m:dPr>
                <m:e>
                  <m:r>
                    <w:rPr>
                      <w:rFonts w:ascii="Cambria Math" w:hAnsi="Cambria Math"/>
                    </w:rPr>
                    <m:t>1-pHab</m:t>
                  </m:r>
                </m:e>
              </m:d>
            </m:e>
          </m:d>
          <m:r>
            <w:rPr>
              <w:rFonts w:ascii="Cambria Math" w:hAnsi="Cambria Math"/>
            </w:rPr>
            <m:t>  (3)</m:t>
          </m:r>
        </m:oMath>
      </m:oMathPara>
    </w:p>
    <w:p w14:paraId="1FA0BC73" w14:textId="77777777" w:rsidR="005E677C" w:rsidRDefault="009C10D5">
      <w:pPr>
        <w:pStyle w:val="FirstParagraph"/>
      </w:pPr>
      <w:r>
        <w:t>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14:paraId="746A437E" w14:textId="77777777" w:rsidR="005E677C" w:rsidRDefault="009C10D5">
      <w:pPr>
        <w:pStyle w:val="Heading2"/>
      </w:pPr>
      <w:bookmarkStart w:id="25" w:name="combining-stress-and-response-measures-i"/>
      <w:r>
        <w:t>Combining stress and response measures into the final SQI assessment</w:t>
      </w:r>
      <w:bookmarkEnd w:id="25"/>
    </w:p>
    <w:p w14:paraId="2BAC3010" w14:textId="77777777" w:rsidR="005E677C" w:rsidRDefault="009C10D5">
      <w:pPr>
        <w:pStyle w:val="FirstParagraph"/>
      </w:pPr>
      <w:r>
        <w:t>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 1, categorical outputs are provided by the index for the overall SQI, the biological condition, and the stress condition (Figure 2). The categorical outputs were created from a matrix combination of the respective inputs.</w:t>
      </w:r>
    </w:p>
    <w:p w14:paraId="07BC8FE3" w14:textId="77777777" w:rsidR="005E677C" w:rsidRDefault="009C10D5">
      <w:pPr>
        <w:pStyle w:val="BodyText"/>
      </w:pPr>
      <w:r>
        <w:t>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14:paraId="67E8A22C" w14:textId="2E680347" w:rsidR="005E677C" w:rsidRDefault="009C10D5">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 </w:t>
      </w:r>
      <m:oMath>
        <m:r>
          <w:rPr>
            <w:rFonts w:ascii="Cambria Math" w:hAnsi="Cambria Math"/>
          </w:rPr>
          <m:t>pOverall</m:t>
        </m:r>
      </m:oMath>
      <w:r>
        <w:t xml:space="preserve"> exceeded the threshold even though </w:t>
      </w:r>
      <m:oMath>
        <m:r>
          <w:rPr>
            <w:rFonts w:ascii="Cambria Math" w:hAnsi="Cambria Math"/>
          </w:rPr>
          <m:t>pChem</m:t>
        </m:r>
      </m:oMath>
      <w:r>
        <w:t xml:space="preserve"> and </w:t>
      </w:r>
      <m:oMath>
        <m:r>
          <w:rPr>
            <w:rFonts w:ascii="Cambria Math" w:hAnsi="Cambria Math"/>
          </w:rPr>
          <m:t>pHab</m:t>
        </m:r>
      </m:oMath>
      <w:r>
        <w:t xml:space="preserve"> did not). Thresholds for biological indices that defined high/low condition were based on the tenth percentile distribution of scores at reference sites for each index. </w:t>
      </w:r>
      <w:commentRangeStart w:id="26"/>
      <w:r>
        <w:t>Thresholds for low/moderate/high stress were based on 10% a</w:t>
      </w:r>
      <w:ins w:id="27" w:author="Katherine Pease" w:date="2019-04-12T10:37:00Z">
        <w:r w:rsidR="00930A86">
          <w:t>n</w:t>
        </w:r>
      </w:ins>
      <w:r>
        <w:t>d 90% likelihoods of observing a biological impact.</w:t>
      </w:r>
      <w:commentRangeEnd w:id="26"/>
      <w:r w:rsidR="00930A86">
        <w:rPr>
          <w:rStyle w:val="CommentReference"/>
        </w:rPr>
        <w:commentReference w:id="26"/>
      </w:r>
    </w:p>
    <w:p w14:paraId="62A2605A" w14:textId="77777777" w:rsidR="005E677C" w:rsidRDefault="009C10D5">
      <w:pPr>
        <w:pStyle w:val="Heading2"/>
      </w:pPr>
      <w:bookmarkStart w:id="28" w:name="calibration-and-validation-of-the-sqi"/>
      <w:r>
        <w:t>Calibration and validation of the SQI</w:t>
      </w:r>
      <w:bookmarkEnd w:id="28"/>
    </w:p>
    <w:p w14:paraId="0A574BE4" w14:textId="77777777" w:rsidR="005E677C" w:rsidRDefault="009C10D5">
      <w:pPr>
        <w:pStyle w:val="FirstParagraph"/>
      </w:pPr>
      <w:r>
        <w:t xml:space="preserve">All data used to calibrate and validate the SQI were from the Southern California Stormwater Monitoring Coalition (SMC) regional watershed monitoring program in coastal southern California (Mazor, </w:t>
      </w:r>
      <w:hyperlink w:anchor="ref-Mazor15">
        <w:r>
          <w:rPr>
            <w:rStyle w:val="Hyperlink"/>
          </w:rPr>
          <w:t>2015</w:t>
        </w:r>
      </w:hyperlink>
      <w:r>
        <w:t xml:space="preserve">). The SMC dataset represents the most comprehensive source of </w:t>
      </w:r>
      <w:r>
        <w:lastRenderedPageBreak/>
        <w:t xml:space="preserve">wadeable stream data in southern California. Because the SQI requires synoptic biological, chemistry, and physical habitat data, the final dataset used for </w:t>
      </w:r>
      <w:commentRangeStart w:id="29"/>
      <w:r>
        <w:t xml:space="preserve">model calibration </w:t>
      </w:r>
      <w:commentRangeEnd w:id="29"/>
      <w:r w:rsidR="00E72A94">
        <w:rPr>
          <w:rStyle w:val="CommentReference"/>
        </w:rPr>
        <w:commentReference w:id="29"/>
      </w:r>
      <w:r>
        <w:t xml:space="preserve">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 (Ode, </w:t>
      </w:r>
      <w:hyperlink w:anchor="ref-Ode07">
        <w:r>
          <w:rPr>
            <w:rStyle w:val="Hyperlink"/>
          </w:rPr>
          <w:t>2007</w:t>
        </w:r>
      </w:hyperlink>
      <w:r>
        <w:t>).</w:t>
      </w:r>
    </w:p>
    <w:p w14:paraId="52073295" w14:textId="77777777" w:rsidR="005E677C" w:rsidRDefault="009C10D5">
      <w:pPr>
        <w:pStyle w:val="BodyText"/>
      </w:pPr>
      <w:r>
        <w:t>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w:t>
      </w:r>
      <w:del w:id="30" w:author="Katherine Pease" w:date="2019-04-12T10:55:00Z">
        <w:r w:rsidDel="00E72A94">
          <w:delText>s</w:delText>
        </w:r>
      </w:del>
      <w:r>
        <w:t xml:space="preserve"> points that affected the model output and categorical results of the SQI were varied to evaluate changes on overall site counts in each final SQI category. In Table 1,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14:paraId="792C6647" w14:textId="77777777" w:rsidR="005E677C" w:rsidRDefault="009C10D5">
      <w:pPr>
        <w:pStyle w:val="Heading1"/>
      </w:pPr>
      <w:bookmarkStart w:id="31" w:name="results"/>
      <w:r>
        <w:t>Results</w:t>
      </w:r>
      <w:bookmarkEnd w:id="31"/>
    </w:p>
    <w:p w14:paraId="375C9E11" w14:textId="77777777" w:rsidR="005E677C" w:rsidRDefault="009C10D5">
      <w:pPr>
        <w:pStyle w:val="Heading2"/>
      </w:pPr>
      <w:bookmarkStart w:id="32" w:name="sqi-patterns"/>
      <w:r>
        <w:t>SQI patterns</w:t>
      </w:r>
      <w:bookmarkEnd w:id="32"/>
    </w:p>
    <w:p w14:paraId="7728B7C8" w14:textId="77777777" w:rsidR="005E677C" w:rsidRDefault="009C10D5">
      <w:pPr>
        <w:pStyle w:val="FirstParagraph"/>
      </w:pPr>
      <w:r>
        <w:t>Among all sites, the overall SQI categorized a majority as having altered biology under high stress conditions (impacted and stressed, 61% of sites, Table 2).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14:paraId="701F6A0A" w14:textId="77777777" w:rsidR="005E677C" w:rsidRDefault="009C10D5">
      <w:pPr>
        <w:pStyle w:val="BodyText"/>
      </w:pPr>
      <w:r>
        <w:t>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14:paraId="0034018A" w14:textId="77777777" w:rsidR="005E677C" w:rsidRDefault="009C10D5">
      <w:pPr>
        <w:pStyle w:val="BodyText"/>
      </w:pPr>
      <w:r>
        <w:t>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14:paraId="662BC101" w14:textId="77777777" w:rsidR="005E677C" w:rsidRDefault="009C10D5">
      <w:pPr>
        <w:pStyle w:val="BodyText"/>
      </w:pPr>
      <w:r>
        <w:t xml:space="preserve">Spatial patterns among SQI categories in southern California generally followed </w:t>
      </w:r>
      <w:commentRangeStart w:id="33"/>
      <w:r>
        <w:t>elevation and land use gradients</w:t>
      </w:r>
      <w:commentRangeEnd w:id="33"/>
      <w:r w:rsidR="008953A6">
        <w:rPr>
          <w:rStyle w:val="CommentReference"/>
        </w:rPr>
        <w:commentReference w:id="33"/>
      </w:r>
      <w:r>
        <w:t xml:space="preserve"> (Figure 3).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w:t>
      </w:r>
      <w:r>
        <w:lastRenderedPageBreak/>
        <w:t>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 2).</w:t>
      </w:r>
    </w:p>
    <w:p w14:paraId="37983435" w14:textId="77777777" w:rsidR="005E677C" w:rsidRDefault="009C10D5">
      <w:pPr>
        <w:pStyle w:val="Heading2"/>
      </w:pPr>
      <w:bookmarkStart w:id="34" w:name="model-precision"/>
      <w:r>
        <w:t>Model precision</w:t>
      </w:r>
      <w:bookmarkEnd w:id="34"/>
    </w:p>
    <w:p w14:paraId="6517AC3E" w14:textId="77777777" w:rsidR="005E677C" w:rsidRDefault="009C10D5">
      <w:pPr>
        <w:pStyle w:val="FirstParagraph"/>
      </w:pPr>
      <w:r>
        <w:t xml:space="preserve">The distinction between healthy and impacted biological communities was </w:t>
      </w:r>
      <w:commentRangeStart w:id="35"/>
      <w:r>
        <w:t xml:space="preserve">well-described </w:t>
      </w:r>
      <w:commentRangeEnd w:id="35"/>
      <w:r w:rsidR="000D3D50">
        <w:rPr>
          <w:rStyle w:val="CommentReference"/>
        </w:rPr>
        <w:commentReference w:id="35"/>
      </w:r>
      <w:r>
        <w:t>by the estimated likelihood of biological alteration provided by the empirical models (Figure 4). Slightly larger differences between the likelihood of alteration for healthy and impacted communities were observed for the chemistry model compared to the physical habitat model, suggesting an improved fit for the former. For the overall likelihood of biological alteration (</w:t>
      </w:r>
      <w:r>
        <w:rPr>
          <w:i/>
        </w:rPr>
        <w:t>pOverall</w:t>
      </w:r>
      <w:r>
        <w:t xml:space="preserve">), more sites were greater than 90% likely to be altered in the impacted category as compared to the separate </w:t>
      </w:r>
      <w:r>
        <w:rPr>
          <w:i/>
        </w:rPr>
        <w:t>pChem</w:t>
      </w:r>
      <w:r>
        <w:t xml:space="preserve"> and </w:t>
      </w:r>
      <w:r>
        <w:rPr>
          <w:i/>
        </w:rPr>
        <w:t>pHab</w:t>
      </w:r>
      <w:r>
        <w:t xml:space="preserve"> models. For all cases (</w:t>
      </w:r>
      <w:r>
        <w:rPr>
          <w:i/>
        </w:rPr>
        <w:t>pChem</w:t>
      </w:r>
      <w:r>
        <w:t xml:space="preserve">, </w:t>
      </w:r>
      <w:r>
        <w:rPr>
          <w:i/>
        </w:rPr>
        <w:t>pHab</w:t>
      </w:r>
      <w:r>
        <w:t xml:space="preserve">, </w:t>
      </w:r>
      <w:r>
        <w:rPr>
          <w:i/>
        </w:rPr>
        <w:t>pOverall</w:t>
      </w:r>
      <w:r>
        <w:t>), there were no systematic differences in model results between calibration and validation datasets (</w:t>
      </w:r>
      <m:oMath>
        <m:r>
          <w:rPr>
            <w:rFonts w:ascii="Cambria Math" w:hAnsi="Cambria Math"/>
          </w:rPr>
          <m:t>p&gt;</m:t>
        </m:r>
      </m:oMath>
      <w:r>
        <w:t xml:space="preserve"> 0.05 for the interaction and fixed effect of site type in linear models describing likelihood of alteration between impact categories and site type).</w:t>
      </w:r>
    </w:p>
    <w:p w14:paraId="5837C24E" w14:textId="77777777" w:rsidR="005E677C" w:rsidRDefault="009C10D5">
      <w:pPr>
        <w:pStyle w:val="BodyText"/>
      </w:pPr>
      <w:r>
        <w:t>The underlying empirical models provided insight into instream characteristics that were related to the likelihood of biological alteration (Figures 5, 6). About 69% of sites (n = 183) had greater than 50% likelihood of biological alteration from water chemistry stressors, and 74% (n = 196) had greater than 50% likelihood of biological alteration from physical habitat stressors (Figure 5). Collectively, 89% (n = 237) of sites had greater than 50% likelihood of biological alteration from the overall stress of both chemistry and physical habitat stressors.</w:t>
      </w:r>
    </w:p>
    <w:p w14:paraId="6E2606DF" w14:textId="77777777" w:rsidR="005E677C" w:rsidRDefault="009C10D5">
      <w:pPr>
        <w:pStyle w:val="BodyText"/>
      </w:pPr>
      <w:r>
        <w:t xml:space="preserve">Water chemistry and physical habitat predictors included in the empirical response models for </w:t>
      </w:r>
      <w:r>
        <w:rPr>
          <w:i/>
        </w:rPr>
        <w:t>pChem</w:t>
      </w:r>
      <w:r>
        <w:t xml:space="preserve"> and </w:t>
      </w:r>
      <w:r>
        <w:rPr>
          <w:i/>
        </w:rPr>
        <w:t>pHab</w:t>
      </w:r>
      <w:r>
        <w:t xml:space="preserve"> (equations (1), (2)) explained a substantial portion of variability among sites related to the occurrence of biological alteration (Table 3). The </w:t>
      </w:r>
      <w:r>
        <w:rPr>
          <w:i/>
        </w:rPr>
        <w:t>pChem</w:t>
      </w:r>
      <w:r>
        <w:t xml:space="preserve"> model explained 64% of the variation among sites, whereas the </w:t>
      </w:r>
      <w:r>
        <w:rPr>
          <w:i/>
        </w:rPr>
        <w:t>pHab</w:t>
      </w:r>
      <w:r>
        <w:t xml:space="preserve"> model explained 42%. All predictors in the </w:t>
      </w:r>
      <w:r>
        <w:rPr>
          <w:i/>
        </w:rPr>
        <w:t>pChem</w:t>
      </w:r>
      <w:r>
        <w:t xml:space="preserve"> were significantly and positively associated (</w:t>
      </w:r>
      <m:oMath>
        <m:r>
          <w:rPr>
            <w:rFonts w:ascii="Cambria Math" w:hAnsi="Cambria Math"/>
          </w:rPr>
          <m:t>p&lt;0.05</m:t>
        </m:r>
      </m:oMath>
      <w:r>
        <w:t xml:space="preserve">) with the occurrence of biological alteration. Only the CRAM predictor in the </w:t>
      </w:r>
      <w:r>
        <w:rPr>
          <w:i/>
        </w:rPr>
        <w:t>pHab</w:t>
      </w:r>
      <w:r>
        <w:t xml:space="preserve"> model was significantly associated with occurrence of biological alteration. Both CRAM and IPI are significantly correlated in the calibration dataset (</w:t>
      </w:r>
      <m:oMath>
        <m:r>
          <w:rPr>
            <w:rFonts w:ascii="Cambria Math" w:hAnsi="Cambria Math"/>
          </w:rPr>
          <m:t>r=</m:t>
        </m:r>
      </m:oMath>
      <w:r>
        <w:t xml:space="preserve"> 0.83), which masked the effect of IPI on biological alteration in the </w:t>
      </w:r>
      <w:r>
        <w:rPr>
          <w:i/>
        </w:rPr>
        <w:t>pHab</w:t>
      </w:r>
      <w:r>
        <w:t xml:space="preserve"> model. However, exclusion of CRAM from the </w:t>
      </w:r>
      <w:r>
        <w:rPr>
          <w:i/>
        </w:rPr>
        <w:t>pHab</w:t>
      </w:r>
      <w:r>
        <w:t xml:space="preserve"> model reduced the explanatory power by approximately 14%, and both were retained for the SQI.</w:t>
      </w:r>
    </w:p>
    <w:p w14:paraId="43E27F5D" w14:textId="77777777" w:rsidR="005E677C" w:rsidRDefault="009C10D5">
      <w:pPr>
        <w:pStyle w:val="BodyText"/>
      </w:pPr>
      <w:r>
        <w:t xml:space="preserve">Figure 6 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t>
      </w:r>
      <w:r>
        <w:lastRenderedPageBreak/>
        <w:t>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14:paraId="633CF16B" w14:textId="77777777" w:rsidR="005E677C" w:rsidRDefault="009C10D5">
      <w:pPr>
        <w:pStyle w:val="Heading2"/>
      </w:pPr>
      <w:bookmarkStart w:id="36" w:name="model-sensitivity-to-biological-decision"/>
      <w:r>
        <w:t>Model sensitivity to biological decision points</w:t>
      </w:r>
      <w:bookmarkEnd w:id="36"/>
    </w:p>
    <w:p w14:paraId="34067F85" w14:textId="77777777" w:rsidR="005E677C" w:rsidRDefault="009C10D5">
      <w:pPr>
        <w:pStyle w:val="FirstParagraph"/>
      </w:pPr>
      <w:r>
        <w:t xml:space="preserve">Results in </w:t>
      </w:r>
      <w:commentRangeStart w:id="37"/>
      <w:r>
        <w:t>Figure 7</w:t>
      </w:r>
      <w:commentRangeEnd w:id="37"/>
      <w:r w:rsidR="005D1376">
        <w:rPr>
          <w:rStyle w:val="CommentReference"/>
        </w:rPr>
        <w:commentReference w:id="37"/>
      </w:r>
      <w:r>
        <w:t xml:space="preserve"> show changes in the the categorical results based on different decision points that defined biological condition and stress thresholds. As a general trend, lowering the cutpoint for healthy/impacted to designate more sites as healthy (-4) caused in increase in the amount of sites as “low stress” for the stress condition and sites as “healthy and unstressed” or “impacted by unknown stress” for the overall SQI. Conversely, increasing the cutpoint for healthy/impacted to designate more sites as impacted (-4) caused in increase in the amount of sites as “stressed by chemistry and habitat” for the stress condition and sites as “impacted and stressed” or “health and resilient” for the overall SQI.</w:t>
      </w:r>
    </w:p>
    <w:p w14:paraId="7856EF80" w14:textId="77777777" w:rsidR="005E677C" w:rsidRDefault="009C10D5">
      <w:pPr>
        <w:pStyle w:val="BodyText"/>
      </w:pPr>
      <w:r>
        <w:t>Changing the threshold for the likelihood values that defined stressed biology also affected the categorical results (Figure 7,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14:paraId="3A2EE7B4" w14:textId="77777777" w:rsidR="005E677C" w:rsidRDefault="009C10D5">
      <w:pPr>
        <w:pStyle w:val="Heading1"/>
      </w:pPr>
      <w:bookmarkStart w:id="38" w:name="discussion"/>
      <w:r>
        <w:t>Discussion</w:t>
      </w:r>
      <w:bookmarkEnd w:id="38"/>
    </w:p>
    <w:p w14:paraId="347BB4F1" w14:textId="77777777" w:rsidR="005E677C" w:rsidRDefault="009C10D5">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w:t>
      </w:r>
      <w:commentRangeStart w:id="39"/>
      <w:r>
        <w:t>prioritize sites for restoration, protection, and other management activities on a large scale</w:t>
      </w:r>
      <w:commentRangeEnd w:id="39"/>
      <w:r w:rsidR="000F1559">
        <w:rPr>
          <w:rStyle w:val="CommentReference"/>
        </w:rPr>
        <w:commentReference w:id="39"/>
      </w:r>
      <w:r>
        <w:t>.</w:t>
      </w:r>
    </w:p>
    <w:p w14:paraId="08D93F25" w14:textId="77777777" w:rsidR="005E677C" w:rsidRDefault="009C10D5">
      <w:pPr>
        <w:pStyle w:val="BodyText"/>
      </w:pPr>
      <w:r>
        <w:t xml:space="preserve">While the simplest way to synthesize three lines of evidence would be to treat them equivalently and simply “average” 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w:t>
      </w:r>
      <w:r>
        <w:lastRenderedPageBreak/>
        <w:t>stress. In other words, a finding of good water chemistry should not obscure or distort an indication of poor biology, and vice versa.</w:t>
      </w:r>
    </w:p>
    <w:p w14:paraId="11582DC2" w14:textId="77777777" w:rsidR="005E677C" w:rsidRDefault="009C10D5">
      <w:pPr>
        <w:pStyle w:val="BodyText"/>
      </w:pPr>
      <w:r>
        <w:t>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14:paraId="7EE0319B" w14:textId="77777777" w:rsidR="005E677C" w:rsidRDefault="009C10D5">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w:t>
      </w:r>
      <w:commentRangeStart w:id="40"/>
      <w:r>
        <w:t>absence of physical and/or chemical stressors, and which components in equations (1) and (2) may be linked to their respective stressor categories</w:t>
      </w:r>
      <w:commentRangeEnd w:id="40"/>
      <w:r w:rsidR="008C1873">
        <w:rPr>
          <w:rStyle w:val="CommentReference"/>
        </w:rPr>
        <w:commentReference w:id="40"/>
      </w:r>
      <w:r>
        <w:t>.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14:paraId="79DC081B" w14:textId="77777777" w:rsidR="005E677C" w:rsidRDefault="009C10D5">
      <w:pPr>
        <w:pStyle w:val="BodyText"/>
      </w:pPr>
      <w:r>
        <w:t>Because the SQI approach to characterizing stressors differs from similar past efforts, the SQI is well-suited for use with ambient monitoring programs. For example, the Canadian Water Quality Index (CWQI</w:t>
      </w:r>
      <w:r w:rsidR="0072410F">
        <w:t>;</w:t>
      </w:r>
      <w:r>
        <w:t xml:space="preserve"> CCME </w:t>
      </w:r>
      <w:hyperlink w:anchor="ref-CCME01">
        <w:r>
          <w:rPr>
            <w:rStyle w:val="Hyperlink"/>
          </w:rPr>
          <w:t>2001</w:t>
        </w:r>
      </w:hyperlink>
      <w:r w:rsidR="0072410F">
        <w:t>;</w:t>
      </w:r>
      <w:r>
        <w:t xml:space="preserve"> Hurley et al. </w:t>
      </w:r>
      <w:hyperlink w:anchor="ref-Hurley12">
        <w:r>
          <w:rPr>
            <w:rStyle w:val="Hyperlink"/>
          </w:rPr>
          <w:t>2012</w:t>
        </w:r>
      </w:hyperlink>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In contrast, the SQI is better suited for ambient monitoring programs (e.g., Mazor </w:t>
      </w:r>
      <w:hyperlink w:anchor="ref-Mazor15">
        <w:r>
          <w:rPr>
            <w:rStyle w:val="Hyperlink"/>
          </w:rPr>
          <w:t>2015</w:t>
        </w:r>
      </w:hyperlink>
      <w:r>
        <w:t>; USEPA</w:t>
      </w:r>
      <w:r w:rsidR="0072410F">
        <w:t xml:space="preserve"> </w:t>
      </w:r>
      <w:hyperlink w:anchor="ref-USEPA16">
        <w:r>
          <w:rPr>
            <w:rStyle w:val="Hyperlink"/>
          </w:rPr>
          <w:t>2016</w:t>
        </w:r>
      </w:hyperlink>
      <w:r>
        <w:t>)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14:paraId="092FFD4E" w14:textId="77777777" w:rsidR="005E677C" w:rsidRDefault="009C10D5">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w:t>
      </w:r>
      <w:commentRangeStart w:id="41"/>
      <w:r>
        <w:t xml:space="preserve">Missing data </w:t>
      </w:r>
      <w:commentRangeEnd w:id="41"/>
      <w:r w:rsidR="00A62ACF">
        <w:rPr>
          <w:rStyle w:val="CommentReference"/>
        </w:rPr>
        <w:commentReference w:id="41"/>
      </w:r>
      <w:r>
        <w:t xml:space="preserve">(e.g., lost samples or </w:t>
      </w:r>
      <w:r>
        <w:lastRenderedPageBreak/>
        <w:t xml:space="preserve">incomplete coverage of required data at a site) prevent calculation of the SQI, and the index cannot be estimated without </w:t>
      </w:r>
      <w:commentRangeStart w:id="42"/>
      <w:r>
        <w:t xml:space="preserve">recalibration </w:t>
      </w:r>
      <w:commentRangeEnd w:id="42"/>
      <w:r w:rsidR="00A62ACF">
        <w:rPr>
          <w:rStyle w:val="CommentReference"/>
        </w:rPr>
        <w:commentReference w:id="42"/>
      </w:r>
      <w:r>
        <w:t>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w:t>
      </w:r>
      <w:bookmarkStart w:id="43" w:name="_GoBack"/>
      <w:bookmarkEnd w:id="43"/>
      <w:r>
        <w:t>es. Additional work on the SQI should explore how the categorical descriptions can be provided in the absence of all the necessary components.</w:t>
      </w:r>
    </w:p>
    <w:p w14:paraId="111558CE" w14:textId="77777777" w:rsidR="005E677C" w:rsidRDefault="009C10D5">
      <w:pPr>
        <w:pStyle w:val="Heading2"/>
      </w:pPr>
      <w:bookmarkStart w:id="44" w:name="the-sqi-web-application"/>
      <w:r>
        <w:t>The SQI web application</w:t>
      </w:r>
      <w:bookmarkEnd w:id="44"/>
    </w:p>
    <w:p w14:paraId="7AFC848A" w14:textId="77777777" w:rsidR="005E677C" w:rsidRDefault="009C10D5">
      <w:pPr>
        <w:pStyle w:val="FirstParagraph"/>
      </w:pPr>
      <w:r>
        <w:t>A web application was developed to make the SQI - and all of the foundational data for the overall SQI assessment - accessible to a broad user base, that in turn can readily share findings with high-level, non-technical managers and other stakeholders (</w:t>
      </w:r>
      <w:hyperlink r:id="rId13">
        <w:r>
          <w:rPr>
            <w:rStyle w:val="Hyperlink"/>
          </w:rPr>
          <w:t>https://sccwrp.shinyapps.io/sqi_shiny</w:t>
        </w:r>
      </w:hyperlink>
      <w:r>
        <w:t xml:space="preserve">). The web interface uses an open source software program developed in R (Chang et al., </w:t>
      </w:r>
      <w:hyperlink w:anchor="ref-Chang18">
        <w:r>
          <w:rPr>
            <w:rStyle w:val="Hyperlink"/>
          </w:rPr>
          <w:t>2018</w:t>
        </w:r>
      </w:hyperlink>
      <w:r>
        <w:t xml:space="preserve">; RDCT, </w:t>
      </w:r>
      <w:hyperlink w:anchor="ref-RDCT18">
        <w:r>
          <w:rPr>
            <w:rStyle w:val="Hyperlink"/>
          </w:rPr>
          <w:t>2018</w:t>
        </w:r>
      </w:hyperlink>
      <w:r>
        <w:t xml:space="preserve">) to automate batch calculation of the SQI at large numbers of sites (Beck and Mazor, </w:t>
      </w:r>
      <w:hyperlink w:anchor="ref-Beck18f">
        <w:r>
          <w:rPr>
            <w:rStyle w:val="Hyperlink"/>
          </w:rPr>
          <w:t>2018</w:t>
        </w:r>
      </w:hyperlink>
      <w:r>
        <w:t>). This allows the index and web application to be easily updated as new data become available for sites already in the database.</w:t>
      </w:r>
    </w:p>
    <w:p w14:paraId="44759AB1" w14:textId="77777777" w:rsidR="005E677C" w:rsidRDefault="009C10D5">
      <w:pPr>
        <w:pStyle w:val="BodyText"/>
      </w:pPr>
      <w:r>
        <w:t>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 “healthy and resilient.” 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14:paraId="6EBC5C2D" w14:textId="77777777" w:rsidR="005E677C" w:rsidRDefault="009C10D5">
      <w:pPr>
        <w:pStyle w:val="Heading2"/>
      </w:pPr>
      <w:bookmarkStart w:id="45" w:name="conclusions"/>
      <w:r>
        <w:t>Conclusions</w:t>
      </w:r>
      <w:bookmarkEnd w:id="45"/>
    </w:p>
    <w:p w14:paraId="4B292F6C" w14:textId="77777777" w:rsidR="005E677C" w:rsidRDefault="009C10D5">
      <w:pPr>
        <w:pStyle w:val="FirstParagraph"/>
      </w:pPr>
      <w:r>
        <w:t xml:space="preserve">An integrated stream health index that synthesizes physical, chemical and biological lines of evidence could be a powerful tool to support watershed management. The SQI </w:t>
      </w:r>
      <w:r w:rsidR="00A862C2">
        <w:t xml:space="preserve">described in this study </w:t>
      </w:r>
      <w:r>
        <w:t xml:space="preserve">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w:t>
      </w:r>
      <w:r>
        <w:lastRenderedPageBreak/>
        <w:t>preserves the data underlying the integrated assessment, enabling managers to readily access this information as they work to better understand the reasons behind the overall assessment.</w:t>
      </w:r>
    </w:p>
    <w:p w14:paraId="060D0C7E" w14:textId="77777777" w:rsidR="005E677C" w:rsidRDefault="009C10D5">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w:t>
      </w:r>
      <w:r w:rsidR="00A862C2">
        <w:t xml:space="preserve">regulatory </w:t>
      </w:r>
      <w:r>
        <w:t>permit reporting, and environmental report cards. Although the SQI is calibrated and validated specifically for southern California, USA, the approach could be applied anywhere sufficient data</w:t>
      </w:r>
      <w:r w:rsidR="00A862C2">
        <w:t xml:space="preserve"> exists</w:t>
      </w:r>
      <w:r>
        <w:t>. Many national and international monitoring programs that have collected data for several years could easily apply the SQI framework</w:t>
      </w:r>
      <w:r w:rsidR="00A862C2">
        <w:t xml:space="preserve">, even if they </w:t>
      </w:r>
      <w:r w:rsidR="002E7CD2">
        <w:t xml:space="preserve">monitor </w:t>
      </w:r>
      <w:r>
        <w:t xml:space="preserve">alternative biological endpoints or stressor </w:t>
      </w:r>
      <w:r w:rsidR="002E7CD2">
        <w:t>indicators</w:t>
      </w:r>
      <w:r>
        <w:t>.</w:t>
      </w:r>
    </w:p>
    <w:p w14:paraId="3DA4F179" w14:textId="77777777" w:rsidR="005E677C" w:rsidRDefault="009C10D5">
      <w:pPr>
        <w:pStyle w:val="Heading1"/>
      </w:pPr>
      <w:bookmarkStart w:id="46" w:name="supplement"/>
      <w:r>
        <w:t>Supplement</w:t>
      </w:r>
      <w:bookmarkEnd w:id="46"/>
    </w:p>
    <w:p w14:paraId="7BD09588" w14:textId="77777777" w:rsidR="005E677C" w:rsidRDefault="009C10D5">
      <w:pPr>
        <w:pStyle w:val="FirstParagraph"/>
      </w:pPr>
      <w:r>
        <w:t xml:space="preserve">An interactive website is available for viewing results of the SQI: </w:t>
      </w:r>
      <w:hyperlink r:id="rId14">
        <w:r>
          <w:rPr>
            <w:rStyle w:val="Hyperlink"/>
          </w:rPr>
          <w:t>https://sccwrp.shinyapps.io/SQI_Shiny</w:t>
        </w:r>
      </w:hyperlink>
      <w:r>
        <w:t xml:space="preserve"> (Beck et al., </w:t>
      </w:r>
      <w:hyperlink w:anchor="ref-Beck19">
        <w:r>
          <w:rPr>
            <w:rStyle w:val="Hyperlink"/>
          </w:rPr>
          <w:t>2019</w:t>
        </w:r>
      </w:hyperlink>
      <w:r>
        <w:t xml:space="preserve">). An R package is also available for calculating SQI scores: </w:t>
      </w:r>
      <w:hyperlink r:id="rId15">
        <w:r>
          <w:rPr>
            <w:rStyle w:val="Hyperlink"/>
          </w:rPr>
          <w:t>https://github.com/SCCWRP/SQI</w:t>
        </w:r>
      </w:hyperlink>
      <w:r>
        <w:t xml:space="preserve"> (Beck and Mazor, </w:t>
      </w:r>
      <w:hyperlink w:anchor="ref-Beck18f">
        <w:r>
          <w:rPr>
            <w:rStyle w:val="Hyperlink"/>
          </w:rPr>
          <w:t>2018</w:t>
        </w:r>
      </w:hyperlink>
      <w:r>
        <w:t>).</w:t>
      </w:r>
    </w:p>
    <w:p w14:paraId="0C0575CD" w14:textId="77777777" w:rsidR="005E677C" w:rsidRDefault="009C10D5">
      <w:pPr>
        <w:pStyle w:val="Heading1"/>
      </w:pPr>
      <w:bookmarkStart w:id="47" w:name="acknowledgments"/>
      <w:r>
        <w:t>Acknowledgments</w:t>
      </w:r>
      <w:bookmarkEnd w:id="47"/>
    </w:p>
    <w:p w14:paraId="4884E275" w14:textId="77777777" w:rsidR="005E677C" w:rsidRDefault="009C10D5">
      <w:pPr>
        <w:pStyle w:val="FirstParagraph"/>
      </w:pPr>
      <w:r>
        <w:t>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14:paraId="2CF08A0E" w14:textId="77777777" w:rsidR="005E677C" w:rsidRDefault="009C10D5">
      <w:pPr>
        <w:pStyle w:val="Heading1"/>
      </w:pPr>
      <w:bookmarkStart w:id="48" w:name="figures"/>
      <w:r>
        <w:lastRenderedPageBreak/>
        <w:t>Figures</w:t>
      </w:r>
      <w:bookmarkEnd w:id="48"/>
    </w:p>
    <w:p w14:paraId="22ED15FA" w14:textId="77777777" w:rsidR="005E677C" w:rsidRDefault="009C10D5">
      <w:r>
        <w:rPr>
          <w:noProof/>
        </w:rPr>
        <w:drawing>
          <wp:inline distT="0" distB="0" distL="0" distR="0" wp14:anchorId="767DFC5D" wp14:editId="5A476C67">
            <wp:extent cx="5943600" cy="3184071"/>
            <wp:effectExtent l="0" t="0" r="0" b="0"/>
            <wp:docPr id="1" name="Picture"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wp:cNvGraphicFramePr/>
            <a:graphic xmlns:a="http://schemas.openxmlformats.org/drawingml/2006/main">
              <a:graphicData uri="http://schemas.openxmlformats.org/drawingml/2006/picture">
                <pic:pic xmlns:pic="http://schemas.openxmlformats.org/drawingml/2006/picture">
                  <pic:nvPicPr>
                    <pic:cNvPr id="0" name="Picture" descr="figs/sqi_flo.png"/>
                    <pic:cNvPicPr>
                      <a:picLocks noChangeAspect="1" noChangeArrowheads="1"/>
                    </pic:cNvPicPr>
                  </pic:nvPicPr>
                  <pic:blipFill>
                    <a:blip r:embed="rId16"/>
                    <a:stretch>
                      <a:fillRect/>
                    </a:stretch>
                  </pic:blipFill>
                  <pic:spPr bwMode="auto">
                    <a:xfrm>
                      <a:off x="0" y="0"/>
                      <a:ext cx="5943600" cy="3184071"/>
                    </a:xfrm>
                    <a:prstGeom prst="rect">
                      <a:avLst/>
                    </a:prstGeom>
                    <a:noFill/>
                    <a:ln w="9525">
                      <a:noFill/>
                      <a:headEnd/>
                      <a:tailEnd/>
                    </a:ln>
                  </pic:spPr>
                </pic:pic>
              </a:graphicData>
            </a:graphic>
          </wp:inline>
        </w:drawing>
      </w:r>
    </w:p>
    <w:p w14:paraId="7C70D7F5" w14:textId="77777777" w:rsidR="005E677C" w:rsidRDefault="009C10D5">
      <w:pPr>
        <w:pStyle w:val="ImageCaption"/>
      </w:pPr>
      <w:r>
        <w:t>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14:paraId="1019BE6E" w14:textId="77777777" w:rsidR="005E677C" w:rsidRDefault="009C10D5">
      <w:r>
        <w:rPr>
          <w:noProof/>
        </w:rPr>
        <w:lastRenderedPageBreak/>
        <w:drawing>
          <wp:inline distT="0" distB="0" distL="0" distR="0" wp14:anchorId="01168590" wp14:editId="580E8621">
            <wp:extent cx="5943600" cy="4401375"/>
            <wp:effectExtent l="0" t="0" r="0" b="0"/>
            <wp:docPr id="2" name="Picture"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wp:cNvGraphicFramePr/>
            <a:graphic xmlns:a="http://schemas.openxmlformats.org/drawingml/2006/main">
              <a:graphicData uri="http://schemas.openxmlformats.org/drawingml/2006/picture">
                <pic:pic xmlns:pic="http://schemas.openxmlformats.org/drawingml/2006/picture">
                  <pic:nvPicPr>
                    <pic:cNvPr id="0" name="Picture" descr="figs/sqi_cat.png"/>
                    <pic:cNvPicPr>
                      <a:picLocks noChangeAspect="1" noChangeArrowheads="1"/>
                    </pic:cNvPicPr>
                  </pic:nvPicPr>
                  <pic:blipFill>
                    <a:blip r:embed="rId17"/>
                    <a:stretch>
                      <a:fillRect/>
                    </a:stretch>
                  </pic:blipFill>
                  <pic:spPr bwMode="auto">
                    <a:xfrm>
                      <a:off x="0" y="0"/>
                      <a:ext cx="5943600" cy="4401375"/>
                    </a:xfrm>
                    <a:prstGeom prst="rect">
                      <a:avLst/>
                    </a:prstGeom>
                    <a:noFill/>
                    <a:ln w="9525">
                      <a:noFill/>
                      <a:headEnd/>
                      <a:tailEnd/>
                    </a:ln>
                  </pic:spPr>
                </pic:pic>
              </a:graphicData>
            </a:graphic>
          </wp:inline>
        </w:drawing>
      </w:r>
    </w:p>
    <w:p w14:paraId="46AB2F25" w14:textId="77777777" w:rsidR="005E677C" w:rsidRDefault="009C10D5">
      <w:pPr>
        <w:pStyle w:val="ImageCaption"/>
      </w:pPr>
      <w:r>
        <w:t>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14:paraId="303C6639" w14:textId="77777777" w:rsidR="005E677C" w:rsidRDefault="009C10D5">
      <w:r>
        <w:rPr>
          <w:noProof/>
        </w:rPr>
        <w:lastRenderedPageBreak/>
        <w:drawing>
          <wp:inline distT="0" distB="0" distL="0" distR="0" wp14:anchorId="403C8F42" wp14:editId="6E50B229">
            <wp:extent cx="5943600" cy="6686550"/>
            <wp:effectExtent l="0" t="0" r="0" b="0"/>
            <wp:docPr id="3" name="Picture"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wp:cNvGraphicFramePr/>
            <a:graphic xmlns:a="http://schemas.openxmlformats.org/drawingml/2006/main">
              <a:graphicData uri="http://schemas.openxmlformats.org/drawingml/2006/picture">
                <pic:pic xmlns:pic="http://schemas.openxmlformats.org/drawingml/2006/picture">
                  <pic:nvPicPr>
                    <pic:cNvPr id="0" name="Picture" descr="figs/sqi_map.png"/>
                    <pic:cNvPicPr>
                      <a:picLocks noChangeAspect="1" noChangeArrowheads="1"/>
                    </pic:cNvPicPr>
                  </pic:nvPicPr>
                  <pic:blipFill>
                    <a:blip r:embed="rId18"/>
                    <a:stretch>
                      <a:fillRect/>
                    </a:stretch>
                  </pic:blipFill>
                  <pic:spPr bwMode="auto">
                    <a:xfrm>
                      <a:off x="0" y="0"/>
                      <a:ext cx="5943600" cy="6686550"/>
                    </a:xfrm>
                    <a:prstGeom prst="rect">
                      <a:avLst/>
                    </a:prstGeom>
                    <a:noFill/>
                    <a:ln w="9525">
                      <a:noFill/>
                      <a:headEnd/>
                      <a:tailEnd/>
                    </a:ln>
                  </pic:spPr>
                </pic:pic>
              </a:graphicData>
            </a:graphic>
          </wp:inline>
        </w:drawing>
      </w:r>
    </w:p>
    <w:p w14:paraId="182A7300" w14:textId="77777777" w:rsidR="005E677C" w:rsidRDefault="009C10D5">
      <w:pPr>
        <w:pStyle w:val="ImageCaption"/>
      </w:pPr>
      <w:r>
        <w:t>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14:paraId="2F8A75C2" w14:textId="77777777" w:rsidR="005E677C" w:rsidRDefault="009C10D5">
      <w:r>
        <w:rPr>
          <w:noProof/>
        </w:rPr>
        <w:lastRenderedPageBreak/>
        <w:drawing>
          <wp:inline distT="0" distB="0" distL="0" distR="0" wp14:anchorId="28CFD146" wp14:editId="479C2001">
            <wp:extent cx="5943600" cy="2971800"/>
            <wp:effectExtent l="0" t="0" r="0" b="0"/>
            <wp:docPr id="4" name="Picture"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wp:cNvGraphicFramePr/>
            <a:graphic xmlns:a="http://schemas.openxmlformats.org/drawingml/2006/main">
              <a:graphicData uri="http://schemas.openxmlformats.org/drawingml/2006/picture">
                <pic:pic xmlns:pic="http://schemas.openxmlformats.org/drawingml/2006/picture">
                  <pic:nvPicPr>
                    <pic:cNvPr id="0" name="Picture" descr="figs/box_lik.png"/>
                    <pic:cNvPicPr>
                      <a:picLocks noChangeAspect="1" noChangeArrowheads="1"/>
                    </pic:cNvPicPr>
                  </pic:nvPicPr>
                  <pic:blipFill>
                    <a:blip r:embed="rId19"/>
                    <a:stretch>
                      <a:fillRect/>
                    </a:stretch>
                  </pic:blipFill>
                  <pic:spPr bwMode="auto">
                    <a:xfrm>
                      <a:off x="0" y="0"/>
                      <a:ext cx="5943600" cy="2971800"/>
                    </a:xfrm>
                    <a:prstGeom prst="rect">
                      <a:avLst/>
                    </a:prstGeom>
                    <a:noFill/>
                    <a:ln w="9525">
                      <a:noFill/>
                      <a:headEnd/>
                      <a:tailEnd/>
                    </a:ln>
                  </pic:spPr>
                </pic:pic>
              </a:graphicData>
            </a:graphic>
          </wp:inline>
        </w:drawing>
      </w:r>
    </w:p>
    <w:p w14:paraId="6DD45423" w14:textId="77777777" w:rsidR="0072410F" w:rsidRDefault="009C10D5">
      <w:pPr>
        <w:pStyle w:val="ImageCaption"/>
      </w:pPr>
      <w:r>
        <w:t>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w:t>
      </w:r>
    </w:p>
    <w:p w14:paraId="05ACB98E" w14:textId="77777777" w:rsidR="0072410F" w:rsidRDefault="0072410F" w:rsidP="0072410F">
      <w:pPr>
        <w:pStyle w:val="BodyText"/>
      </w:pPr>
      <w:r>
        <w:br w:type="page"/>
      </w:r>
    </w:p>
    <w:p w14:paraId="4E57335C" w14:textId="77777777" w:rsidR="005E677C" w:rsidRDefault="005E677C">
      <w:pPr>
        <w:pStyle w:val="ImageCaption"/>
      </w:pPr>
    </w:p>
    <w:p w14:paraId="025A21CC" w14:textId="77777777" w:rsidR="005E677C" w:rsidRDefault="009C10D5">
      <w:r>
        <w:rPr>
          <w:noProof/>
        </w:rPr>
        <w:drawing>
          <wp:inline distT="0" distB="0" distL="0" distR="0" wp14:anchorId="4B849B55" wp14:editId="3947E4F8">
            <wp:extent cx="5943600" cy="3343275"/>
            <wp:effectExtent l="0" t="0" r="0" b="0"/>
            <wp:docPr id="5" name="Picture"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wp:cNvGraphicFramePr/>
            <a:graphic xmlns:a="http://schemas.openxmlformats.org/drawingml/2006/main">
              <a:graphicData uri="http://schemas.openxmlformats.org/drawingml/2006/picture">
                <pic:pic xmlns:pic="http://schemas.openxmlformats.org/drawingml/2006/picture">
                  <pic:nvPicPr>
                    <pic:cNvPr id="0" name="Picture" descr="figs/str_lik.png"/>
                    <pic:cNvPicPr>
                      <a:picLocks noChangeAspect="1" noChangeArrowheads="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14:paraId="56CF4CA0" w14:textId="77777777" w:rsidR="005E677C" w:rsidRDefault="009C10D5">
      <w:pPr>
        <w:pStyle w:val="ImageCaption"/>
      </w:pPr>
      <w:r>
        <w:t>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w:t>
      </w:r>
    </w:p>
    <w:p w14:paraId="69BB74D6" w14:textId="77777777" w:rsidR="005E677C" w:rsidRDefault="009C10D5">
      <w:r>
        <w:rPr>
          <w:noProof/>
        </w:rPr>
        <w:lastRenderedPageBreak/>
        <w:drawing>
          <wp:inline distT="0" distB="0" distL="0" distR="0" wp14:anchorId="1627D6D0" wp14:editId="11689F70">
            <wp:extent cx="5943600" cy="4829175"/>
            <wp:effectExtent l="0" t="0" r="0" b="0"/>
            <wp:docPr id="6" name="Picture"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wp:cNvGraphicFramePr/>
            <a:graphic xmlns:a="http://schemas.openxmlformats.org/drawingml/2006/main">
              <a:graphicData uri="http://schemas.openxmlformats.org/drawingml/2006/picture">
                <pic:pic xmlns:pic="http://schemas.openxmlformats.org/drawingml/2006/picture">
                  <pic:nvPicPr>
                    <pic:cNvPr id="0" name="Picture" descr="figs/rsp_crv.png"/>
                    <pic:cNvPicPr>
                      <a:picLocks noChangeAspect="1" noChangeArrowheads="1"/>
                    </pic:cNvPicPr>
                  </pic:nvPicPr>
                  <pic:blipFill>
                    <a:blip r:embed="rId21"/>
                    <a:stretch>
                      <a:fillRect/>
                    </a:stretch>
                  </pic:blipFill>
                  <pic:spPr bwMode="auto">
                    <a:xfrm>
                      <a:off x="0" y="0"/>
                      <a:ext cx="5943600" cy="4829175"/>
                    </a:xfrm>
                    <a:prstGeom prst="rect">
                      <a:avLst/>
                    </a:prstGeom>
                    <a:noFill/>
                    <a:ln w="9525">
                      <a:noFill/>
                      <a:headEnd/>
                      <a:tailEnd/>
                    </a:ln>
                  </pic:spPr>
                </pic:pic>
              </a:graphicData>
            </a:graphic>
          </wp:inline>
        </w:drawing>
      </w:r>
    </w:p>
    <w:p w14:paraId="577E16FF" w14:textId="77777777" w:rsidR="005E677C" w:rsidRDefault="009C10D5">
      <w:pPr>
        <w:pStyle w:val="ImageCaption"/>
      </w:pPr>
      <w:commentRangeStart w:id="49"/>
      <w:r>
        <w:t xml:space="preserve">Figure 6 </w:t>
      </w:r>
      <w:commentRangeEnd w:id="49"/>
      <w:r w:rsidR="00F91C7F">
        <w:rPr>
          <w:rStyle w:val="CommentReference"/>
          <w:i w:val="0"/>
        </w:rPr>
        <w:commentReference w:id="49"/>
      </w:r>
      <w:r>
        <w:t xml:space="preserve">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w:t>
      </w:r>
      <w:commentRangeStart w:id="50"/>
      <w:r>
        <w:t>impacted sites on the bottom and healthy on the top.</w:t>
      </w:r>
      <w:commentRangeEnd w:id="50"/>
      <w:r w:rsidR="00FE0043">
        <w:rPr>
          <w:rStyle w:val="CommentReference"/>
          <w:i w:val="0"/>
        </w:rPr>
        <w:commentReference w:id="50"/>
      </w:r>
    </w:p>
    <w:p w14:paraId="1B452C00" w14:textId="77777777" w:rsidR="005E677C" w:rsidRDefault="009C10D5">
      <w:r>
        <w:rPr>
          <w:noProof/>
        </w:rPr>
        <w:lastRenderedPageBreak/>
        <w:drawing>
          <wp:inline distT="0" distB="0" distL="0" distR="0" wp14:anchorId="75B9562A" wp14:editId="622B783A">
            <wp:extent cx="5943600" cy="4160519"/>
            <wp:effectExtent l="0" t="0" r="0" b="0"/>
            <wp:docPr id="7" name="Picture"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wp:cNvGraphicFramePr/>
            <a:graphic xmlns:a="http://schemas.openxmlformats.org/drawingml/2006/main">
              <a:graphicData uri="http://schemas.openxmlformats.org/drawingml/2006/picture">
                <pic:pic xmlns:pic="http://schemas.openxmlformats.org/drawingml/2006/picture">
                  <pic:nvPicPr>
                    <pic:cNvPr id="0" name="Picture" descr="figs/sns_fig.png"/>
                    <pic:cNvPicPr>
                      <a:picLocks noChangeAspect="1" noChangeArrowheads="1"/>
                    </pic:cNvPicPr>
                  </pic:nvPicPr>
                  <pic:blipFill>
                    <a:blip r:embed="rId22"/>
                    <a:stretch>
                      <a:fillRect/>
                    </a:stretch>
                  </pic:blipFill>
                  <pic:spPr bwMode="auto">
                    <a:xfrm>
                      <a:off x="0" y="0"/>
                      <a:ext cx="5943600" cy="4160519"/>
                    </a:xfrm>
                    <a:prstGeom prst="rect">
                      <a:avLst/>
                    </a:prstGeom>
                    <a:noFill/>
                    <a:ln w="9525">
                      <a:noFill/>
                      <a:headEnd/>
                      <a:tailEnd/>
                    </a:ln>
                  </pic:spPr>
                </pic:pic>
              </a:graphicData>
            </a:graphic>
          </wp:inline>
        </w:drawing>
      </w:r>
    </w:p>
    <w:p w14:paraId="47B5BD0A" w14:textId="77777777" w:rsidR="0072410F" w:rsidRDefault="009C10D5">
      <w:pPr>
        <w:pStyle w:val="ImageCaption"/>
      </w:pPr>
      <w:r>
        <w:t>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w:t>
      </w:r>
    </w:p>
    <w:p w14:paraId="2221F596" w14:textId="77777777" w:rsidR="0072410F" w:rsidRDefault="0072410F" w:rsidP="0072410F">
      <w:pPr>
        <w:pStyle w:val="BodyText"/>
      </w:pPr>
      <w:r>
        <w:br w:type="page"/>
      </w:r>
    </w:p>
    <w:p w14:paraId="0BD743E0" w14:textId="77777777" w:rsidR="005E677C" w:rsidRDefault="009C10D5">
      <w:pPr>
        <w:pStyle w:val="Heading1"/>
      </w:pPr>
      <w:bookmarkStart w:id="51" w:name="tables"/>
      <w:r>
        <w:lastRenderedPageBreak/>
        <w:t>Tables</w:t>
      </w:r>
      <w:bookmarkEnd w:id="51"/>
    </w:p>
    <w:p w14:paraId="5C53ADAF" w14:textId="77777777" w:rsidR="0072410F" w:rsidRDefault="0072410F">
      <w:pPr>
        <w:pStyle w:val="TableCaption"/>
      </w:pPr>
    </w:p>
    <w:p w14:paraId="113AED17" w14:textId="77777777" w:rsidR="005E677C" w:rsidRDefault="009C10D5">
      <w:pPr>
        <w:pStyle w:val="TableCaption"/>
      </w:pPr>
      <w:r>
        <w:t>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W w:w="0" w:type="pct"/>
        <w:tblLook w:val="07E0" w:firstRow="1" w:lastRow="1" w:firstColumn="1" w:lastColumn="1" w:noHBand="1" w:noVBand="1"/>
      </w:tblPr>
      <w:tblGrid>
        <w:gridCol w:w="1962"/>
        <w:gridCol w:w="1640"/>
        <w:gridCol w:w="2002"/>
        <w:gridCol w:w="1869"/>
        <w:gridCol w:w="1887"/>
      </w:tblGrid>
      <w:tr w:rsidR="005E677C" w14:paraId="5976FFFC" w14:textId="77777777">
        <w:tc>
          <w:tcPr>
            <w:tcW w:w="0" w:type="auto"/>
            <w:tcBorders>
              <w:bottom w:val="single" w:sz="0" w:space="0" w:color="auto"/>
            </w:tcBorders>
            <w:vAlign w:val="bottom"/>
          </w:tcPr>
          <w:p w14:paraId="1CA64F05" w14:textId="77777777" w:rsidR="005E677C" w:rsidRDefault="005E677C">
            <w:pPr>
              <w:pStyle w:val="Compact"/>
            </w:pPr>
          </w:p>
        </w:tc>
        <w:tc>
          <w:tcPr>
            <w:tcW w:w="0" w:type="auto"/>
            <w:tcBorders>
              <w:bottom w:val="single" w:sz="0" w:space="0" w:color="auto"/>
            </w:tcBorders>
            <w:vAlign w:val="bottom"/>
          </w:tcPr>
          <w:p w14:paraId="3332271E" w14:textId="77777777" w:rsidR="005E677C" w:rsidRDefault="009C10D5">
            <w:pPr>
              <w:pStyle w:val="Compact"/>
            </w:pPr>
            <w:r>
              <w:t>Algae likely intact: (ASCI &gt; 0.93)</w:t>
            </w:r>
          </w:p>
        </w:tc>
        <w:tc>
          <w:tcPr>
            <w:tcW w:w="0" w:type="auto"/>
            <w:tcBorders>
              <w:bottom w:val="single" w:sz="0" w:space="0" w:color="auto"/>
            </w:tcBorders>
            <w:vAlign w:val="bottom"/>
          </w:tcPr>
          <w:p w14:paraId="26137B7F" w14:textId="77777777" w:rsidR="005E677C" w:rsidRDefault="009C10D5">
            <w:pPr>
              <w:pStyle w:val="Compact"/>
            </w:pPr>
            <w:r>
              <w:t>Algae possibly altered: (ASCI 0.83 - 0.93)</w:t>
            </w:r>
          </w:p>
        </w:tc>
        <w:tc>
          <w:tcPr>
            <w:tcW w:w="0" w:type="auto"/>
            <w:tcBorders>
              <w:bottom w:val="single" w:sz="0" w:space="0" w:color="auto"/>
            </w:tcBorders>
            <w:vAlign w:val="bottom"/>
          </w:tcPr>
          <w:p w14:paraId="5475898F" w14:textId="77777777" w:rsidR="005E677C" w:rsidRDefault="009C10D5">
            <w:pPr>
              <w:pStyle w:val="Compact"/>
            </w:pPr>
            <w:r>
              <w:t>Algae likely altered: (ASCI 0.70 - 0.83)</w:t>
            </w:r>
          </w:p>
        </w:tc>
        <w:tc>
          <w:tcPr>
            <w:tcW w:w="0" w:type="auto"/>
            <w:tcBorders>
              <w:bottom w:val="single" w:sz="0" w:space="0" w:color="auto"/>
            </w:tcBorders>
            <w:vAlign w:val="bottom"/>
          </w:tcPr>
          <w:p w14:paraId="3C2B054C" w14:textId="77777777" w:rsidR="005E677C" w:rsidRDefault="009C10D5">
            <w:pPr>
              <w:pStyle w:val="Compact"/>
            </w:pPr>
            <w:r>
              <w:t>Algae very likely altered: (ASCI &lt; 0.70)</w:t>
            </w:r>
          </w:p>
        </w:tc>
      </w:tr>
      <w:tr w:rsidR="005E677C" w14:paraId="7F4B03AA" w14:textId="77777777">
        <w:tc>
          <w:tcPr>
            <w:tcW w:w="0" w:type="auto"/>
          </w:tcPr>
          <w:p w14:paraId="45475C69" w14:textId="77777777" w:rsidR="005E677C" w:rsidRDefault="009C10D5">
            <w:pPr>
              <w:pStyle w:val="Compact"/>
            </w:pPr>
            <w:r>
              <w:t>BMI likely intact: (CSCI &gt; 0.92)</w:t>
            </w:r>
          </w:p>
        </w:tc>
        <w:tc>
          <w:tcPr>
            <w:tcW w:w="0" w:type="auto"/>
          </w:tcPr>
          <w:p w14:paraId="5DB0F744" w14:textId="77777777" w:rsidR="005E677C" w:rsidRDefault="009C10D5">
            <w:pPr>
              <w:pStyle w:val="Compact"/>
            </w:pPr>
            <w:r>
              <w:t>4</w:t>
            </w:r>
          </w:p>
        </w:tc>
        <w:tc>
          <w:tcPr>
            <w:tcW w:w="0" w:type="auto"/>
          </w:tcPr>
          <w:p w14:paraId="690AE4B6" w14:textId="77777777" w:rsidR="005E677C" w:rsidRDefault="009C10D5">
            <w:pPr>
              <w:pStyle w:val="Compact"/>
            </w:pPr>
            <w:r>
              <w:t>1</w:t>
            </w:r>
          </w:p>
        </w:tc>
        <w:tc>
          <w:tcPr>
            <w:tcW w:w="0" w:type="auto"/>
          </w:tcPr>
          <w:p w14:paraId="61F5015E" w14:textId="77777777" w:rsidR="005E677C" w:rsidRDefault="009C10D5">
            <w:pPr>
              <w:pStyle w:val="Compact"/>
            </w:pPr>
            <w:commentRangeStart w:id="52"/>
            <w:r>
              <w:t>0</w:t>
            </w:r>
            <w:commentRangeEnd w:id="52"/>
            <w:r w:rsidR="00FE0043">
              <w:rPr>
                <w:rStyle w:val="CommentReference"/>
              </w:rPr>
              <w:commentReference w:id="52"/>
            </w:r>
          </w:p>
        </w:tc>
        <w:tc>
          <w:tcPr>
            <w:tcW w:w="0" w:type="auto"/>
          </w:tcPr>
          <w:p w14:paraId="0F425888" w14:textId="77777777" w:rsidR="005E677C" w:rsidRDefault="009C10D5">
            <w:pPr>
              <w:pStyle w:val="Compact"/>
            </w:pPr>
            <w:r>
              <w:rPr>
                <w:b/>
              </w:rPr>
              <w:t>-1</w:t>
            </w:r>
          </w:p>
        </w:tc>
      </w:tr>
      <w:tr w:rsidR="005E677C" w14:paraId="44FDBEE4" w14:textId="77777777">
        <w:tc>
          <w:tcPr>
            <w:tcW w:w="0" w:type="auto"/>
          </w:tcPr>
          <w:p w14:paraId="7BD87BAD" w14:textId="77777777" w:rsidR="005E677C" w:rsidRDefault="009C10D5">
            <w:pPr>
              <w:pStyle w:val="Compact"/>
            </w:pPr>
            <w:r>
              <w:t>BMI possibly altered: (CSCI 0.79 - 0.92)</w:t>
            </w:r>
          </w:p>
        </w:tc>
        <w:tc>
          <w:tcPr>
            <w:tcW w:w="0" w:type="auto"/>
          </w:tcPr>
          <w:p w14:paraId="3B0DA3D8" w14:textId="77777777" w:rsidR="005E677C" w:rsidRDefault="009C10D5">
            <w:pPr>
              <w:pStyle w:val="Compact"/>
            </w:pPr>
            <w:r>
              <w:t>1</w:t>
            </w:r>
          </w:p>
        </w:tc>
        <w:tc>
          <w:tcPr>
            <w:tcW w:w="0" w:type="auto"/>
          </w:tcPr>
          <w:p w14:paraId="15536306" w14:textId="77777777" w:rsidR="005E677C" w:rsidRDefault="009C10D5">
            <w:pPr>
              <w:pStyle w:val="Compact"/>
            </w:pPr>
            <w:r>
              <w:t>1</w:t>
            </w:r>
          </w:p>
        </w:tc>
        <w:tc>
          <w:tcPr>
            <w:tcW w:w="0" w:type="auto"/>
          </w:tcPr>
          <w:p w14:paraId="3B0A9095" w14:textId="77777777" w:rsidR="005E677C" w:rsidRDefault="009C10D5">
            <w:pPr>
              <w:pStyle w:val="Compact"/>
            </w:pPr>
            <w:r>
              <w:rPr>
                <w:b/>
              </w:rPr>
              <w:t>-1</w:t>
            </w:r>
          </w:p>
        </w:tc>
        <w:tc>
          <w:tcPr>
            <w:tcW w:w="0" w:type="auto"/>
          </w:tcPr>
          <w:p w14:paraId="1F596ED6" w14:textId="77777777" w:rsidR="005E677C" w:rsidRDefault="009C10D5">
            <w:pPr>
              <w:pStyle w:val="Compact"/>
            </w:pPr>
            <w:r>
              <w:rPr>
                <w:b/>
              </w:rPr>
              <w:t>-2</w:t>
            </w:r>
          </w:p>
        </w:tc>
      </w:tr>
      <w:tr w:rsidR="005E677C" w14:paraId="03C89849" w14:textId="77777777">
        <w:tc>
          <w:tcPr>
            <w:tcW w:w="0" w:type="auto"/>
          </w:tcPr>
          <w:p w14:paraId="5590FEAD" w14:textId="77777777" w:rsidR="005E677C" w:rsidRDefault="009C10D5">
            <w:pPr>
              <w:pStyle w:val="Compact"/>
            </w:pPr>
            <w:r>
              <w:t>BMI likely altered: (CSCI 0.63 - 0.79)</w:t>
            </w:r>
          </w:p>
        </w:tc>
        <w:tc>
          <w:tcPr>
            <w:tcW w:w="0" w:type="auto"/>
          </w:tcPr>
          <w:p w14:paraId="3687287C" w14:textId="77777777" w:rsidR="005E677C" w:rsidRDefault="009C10D5">
            <w:pPr>
              <w:pStyle w:val="Compact"/>
            </w:pPr>
            <w:commentRangeStart w:id="53"/>
            <w:r>
              <w:t>0</w:t>
            </w:r>
            <w:commentRangeEnd w:id="53"/>
            <w:r w:rsidR="00FE0043">
              <w:rPr>
                <w:rStyle w:val="CommentReference"/>
              </w:rPr>
              <w:commentReference w:id="53"/>
            </w:r>
          </w:p>
        </w:tc>
        <w:tc>
          <w:tcPr>
            <w:tcW w:w="0" w:type="auto"/>
          </w:tcPr>
          <w:p w14:paraId="7A28FDA0" w14:textId="77777777" w:rsidR="005E677C" w:rsidRDefault="009C10D5">
            <w:pPr>
              <w:pStyle w:val="Compact"/>
            </w:pPr>
            <w:r>
              <w:rPr>
                <w:b/>
              </w:rPr>
              <w:t>-1</w:t>
            </w:r>
          </w:p>
        </w:tc>
        <w:tc>
          <w:tcPr>
            <w:tcW w:w="0" w:type="auto"/>
          </w:tcPr>
          <w:p w14:paraId="1196E880" w14:textId="77777777" w:rsidR="005E677C" w:rsidRDefault="009C10D5">
            <w:pPr>
              <w:pStyle w:val="Compact"/>
            </w:pPr>
            <w:r>
              <w:rPr>
                <w:b/>
              </w:rPr>
              <w:t>-2</w:t>
            </w:r>
          </w:p>
        </w:tc>
        <w:tc>
          <w:tcPr>
            <w:tcW w:w="0" w:type="auto"/>
          </w:tcPr>
          <w:p w14:paraId="65623643" w14:textId="77777777" w:rsidR="005E677C" w:rsidRDefault="009C10D5">
            <w:pPr>
              <w:pStyle w:val="Compact"/>
            </w:pPr>
            <w:r>
              <w:rPr>
                <w:b/>
              </w:rPr>
              <w:t>-3</w:t>
            </w:r>
          </w:p>
        </w:tc>
      </w:tr>
      <w:tr w:rsidR="005E677C" w14:paraId="0142F633" w14:textId="77777777">
        <w:tc>
          <w:tcPr>
            <w:tcW w:w="0" w:type="auto"/>
          </w:tcPr>
          <w:p w14:paraId="4186EA3B" w14:textId="77777777" w:rsidR="005E677C" w:rsidRDefault="009C10D5">
            <w:pPr>
              <w:pStyle w:val="Compact"/>
            </w:pPr>
            <w:r>
              <w:t>BMI very likely altered: (CSCI &lt; 0.63)</w:t>
            </w:r>
          </w:p>
        </w:tc>
        <w:tc>
          <w:tcPr>
            <w:tcW w:w="0" w:type="auto"/>
          </w:tcPr>
          <w:p w14:paraId="6FD4BEBC" w14:textId="77777777" w:rsidR="005E677C" w:rsidRDefault="009C10D5">
            <w:pPr>
              <w:pStyle w:val="Compact"/>
            </w:pPr>
            <w:r>
              <w:rPr>
                <w:b/>
              </w:rPr>
              <w:t>-1</w:t>
            </w:r>
          </w:p>
        </w:tc>
        <w:tc>
          <w:tcPr>
            <w:tcW w:w="0" w:type="auto"/>
          </w:tcPr>
          <w:p w14:paraId="4FA62250" w14:textId="77777777" w:rsidR="005E677C" w:rsidRDefault="009C10D5">
            <w:pPr>
              <w:pStyle w:val="Compact"/>
            </w:pPr>
            <w:r>
              <w:rPr>
                <w:b/>
              </w:rPr>
              <w:t>-2</w:t>
            </w:r>
          </w:p>
        </w:tc>
        <w:tc>
          <w:tcPr>
            <w:tcW w:w="0" w:type="auto"/>
          </w:tcPr>
          <w:p w14:paraId="337F462F" w14:textId="77777777" w:rsidR="005E677C" w:rsidRDefault="009C10D5">
            <w:pPr>
              <w:pStyle w:val="Compact"/>
            </w:pPr>
            <w:r>
              <w:rPr>
                <w:b/>
              </w:rPr>
              <w:t>-3</w:t>
            </w:r>
          </w:p>
        </w:tc>
        <w:tc>
          <w:tcPr>
            <w:tcW w:w="0" w:type="auto"/>
          </w:tcPr>
          <w:p w14:paraId="34B43ADD" w14:textId="77777777" w:rsidR="005E677C" w:rsidRDefault="009C10D5">
            <w:pPr>
              <w:pStyle w:val="Compact"/>
            </w:pPr>
            <w:r>
              <w:rPr>
                <w:b/>
              </w:rPr>
              <w:t>-4</w:t>
            </w:r>
          </w:p>
        </w:tc>
      </w:tr>
    </w:tbl>
    <w:p w14:paraId="00EBA1B4" w14:textId="77777777" w:rsidR="0072410F" w:rsidRDefault="0072410F">
      <w:pPr>
        <w:pStyle w:val="TableCaption"/>
      </w:pPr>
    </w:p>
    <w:p w14:paraId="6AA71915" w14:textId="77777777" w:rsidR="0072410F" w:rsidRDefault="0072410F" w:rsidP="0072410F">
      <w:pPr>
        <w:pStyle w:val="BodyText"/>
      </w:pPr>
      <w:r>
        <w:br w:type="page"/>
      </w:r>
    </w:p>
    <w:p w14:paraId="277A23CA" w14:textId="77777777" w:rsidR="005E677C" w:rsidRDefault="009C10D5">
      <w:pPr>
        <w:pStyle w:val="TableCaption"/>
      </w:pPr>
      <w:r>
        <w:lastRenderedPageBreak/>
        <w:t>Table 2 Counts of sites in each of the categorical outputs from the SQI. For every SQI output (biological condition, overall SQI, stress condition), a site is categorized as one of four possible outcomes.</w:t>
      </w:r>
    </w:p>
    <w:tbl>
      <w:tblPr>
        <w:tblW w:w="0" w:type="pct"/>
        <w:tblLook w:val="07E0" w:firstRow="1" w:lastRow="1" w:firstColumn="1" w:lastColumn="1" w:noHBand="1" w:noVBand="1"/>
      </w:tblPr>
      <w:tblGrid>
        <w:gridCol w:w="2128"/>
        <w:gridCol w:w="5539"/>
        <w:gridCol w:w="1693"/>
      </w:tblGrid>
      <w:tr w:rsidR="005E677C" w14:paraId="1CD9517B" w14:textId="77777777">
        <w:tc>
          <w:tcPr>
            <w:tcW w:w="0" w:type="auto"/>
            <w:tcBorders>
              <w:bottom w:val="single" w:sz="0" w:space="0" w:color="auto"/>
            </w:tcBorders>
            <w:vAlign w:val="bottom"/>
          </w:tcPr>
          <w:p w14:paraId="13BBCFDB" w14:textId="77777777" w:rsidR="005E677C" w:rsidRDefault="009C10D5">
            <w:pPr>
              <w:pStyle w:val="Compact"/>
            </w:pPr>
            <w:r>
              <w:t>SQI output</w:t>
            </w:r>
          </w:p>
        </w:tc>
        <w:tc>
          <w:tcPr>
            <w:tcW w:w="0" w:type="auto"/>
            <w:tcBorders>
              <w:bottom w:val="single" w:sz="0" w:space="0" w:color="auto"/>
            </w:tcBorders>
            <w:vAlign w:val="bottom"/>
          </w:tcPr>
          <w:p w14:paraId="2721C560" w14:textId="77777777" w:rsidR="005E677C" w:rsidRDefault="009C10D5">
            <w:pPr>
              <w:pStyle w:val="Compact"/>
            </w:pPr>
            <w:r>
              <w:t>Category</w:t>
            </w:r>
          </w:p>
        </w:tc>
        <w:tc>
          <w:tcPr>
            <w:tcW w:w="0" w:type="auto"/>
            <w:tcBorders>
              <w:bottom w:val="single" w:sz="0" w:space="0" w:color="auto"/>
            </w:tcBorders>
            <w:vAlign w:val="bottom"/>
          </w:tcPr>
          <w:p w14:paraId="559DABEC" w14:textId="77777777" w:rsidR="005E677C" w:rsidRDefault="009C10D5">
            <w:pPr>
              <w:pStyle w:val="Compact"/>
            </w:pPr>
            <w:r>
              <w:t>Count (percent)</w:t>
            </w:r>
          </w:p>
        </w:tc>
      </w:tr>
      <w:tr w:rsidR="005E677C" w14:paraId="40BFEC9E" w14:textId="77777777">
        <w:tc>
          <w:tcPr>
            <w:tcW w:w="0" w:type="auto"/>
          </w:tcPr>
          <w:p w14:paraId="58179FDE" w14:textId="77777777" w:rsidR="005E677C" w:rsidRDefault="009C10D5">
            <w:pPr>
              <w:pStyle w:val="Compact"/>
            </w:pPr>
            <w:r>
              <w:t>Overall SQI</w:t>
            </w:r>
          </w:p>
        </w:tc>
        <w:tc>
          <w:tcPr>
            <w:tcW w:w="0" w:type="auto"/>
          </w:tcPr>
          <w:p w14:paraId="1D5CECBB" w14:textId="77777777" w:rsidR="005E677C" w:rsidRDefault="009C10D5">
            <w:pPr>
              <w:pStyle w:val="Compact"/>
            </w:pPr>
            <w:r>
              <w:t>Healthy and unstressed</w:t>
            </w:r>
          </w:p>
        </w:tc>
        <w:tc>
          <w:tcPr>
            <w:tcW w:w="0" w:type="auto"/>
          </w:tcPr>
          <w:p w14:paraId="10F276B0" w14:textId="77777777" w:rsidR="005E677C" w:rsidRDefault="009C10D5">
            <w:pPr>
              <w:pStyle w:val="Compact"/>
            </w:pPr>
            <w:r>
              <w:t>56 (21.1)</w:t>
            </w:r>
          </w:p>
        </w:tc>
      </w:tr>
      <w:tr w:rsidR="005E677C" w14:paraId="6134349F" w14:textId="77777777">
        <w:tc>
          <w:tcPr>
            <w:tcW w:w="0" w:type="auto"/>
          </w:tcPr>
          <w:p w14:paraId="1DE54975" w14:textId="77777777" w:rsidR="005E677C" w:rsidRDefault="005E677C">
            <w:pPr>
              <w:pStyle w:val="Compact"/>
            </w:pPr>
          </w:p>
        </w:tc>
        <w:tc>
          <w:tcPr>
            <w:tcW w:w="0" w:type="auto"/>
          </w:tcPr>
          <w:p w14:paraId="003FE21A" w14:textId="77777777" w:rsidR="005E677C" w:rsidRDefault="009C10D5">
            <w:pPr>
              <w:pStyle w:val="Compact"/>
            </w:pPr>
            <w:r>
              <w:t>Healthy and resilient</w:t>
            </w:r>
          </w:p>
        </w:tc>
        <w:tc>
          <w:tcPr>
            <w:tcW w:w="0" w:type="auto"/>
          </w:tcPr>
          <w:p w14:paraId="2DD1B5B2" w14:textId="77777777" w:rsidR="005E677C" w:rsidRDefault="009C10D5">
            <w:pPr>
              <w:pStyle w:val="Compact"/>
            </w:pPr>
            <w:r>
              <w:t>4 (1.5)</w:t>
            </w:r>
          </w:p>
        </w:tc>
      </w:tr>
      <w:tr w:rsidR="005E677C" w14:paraId="404FBBF5" w14:textId="77777777">
        <w:tc>
          <w:tcPr>
            <w:tcW w:w="0" w:type="auto"/>
          </w:tcPr>
          <w:p w14:paraId="2AD3A083" w14:textId="77777777" w:rsidR="005E677C" w:rsidRDefault="005E677C">
            <w:pPr>
              <w:pStyle w:val="Compact"/>
            </w:pPr>
          </w:p>
        </w:tc>
        <w:tc>
          <w:tcPr>
            <w:tcW w:w="0" w:type="auto"/>
          </w:tcPr>
          <w:p w14:paraId="13C198E2" w14:textId="77777777" w:rsidR="005E677C" w:rsidRDefault="009C10D5">
            <w:pPr>
              <w:pStyle w:val="Compact"/>
            </w:pPr>
            <w:r>
              <w:t>Impacted and stressed</w:t>
            </w:r>
          </w:p>
        </w:tc>
        <w:tc>
          <w:tcPr>
            <w:tcW w:w="0" w:type="auto"/>
          </w:tcPr>
          <w:p w14:paraId="0512E109" w14:textId="77777777" w:rsidR="005E677C" w:rsidRDefault="009C10D5">
            <w:pPr>
              <w:pStyle w:val="Compact"/>
            </w:pPr>
            <w:r>
              <w:t>163 (61.3)</w:t>
            </w:r>
          </w:p>
        </w:tc>
      </w:tr>
      <w:tr w:rsidR="005E677C" w14:paraId="776910BC" w14:textId="77777777">
        <w:tc>
          <w:tcPr>
            <w:tcW w:w="0" w:type="auto"/>
          </w:tcPr>
          <w:p w14:paraId="4DEA8DDB" w14:textId="77777777" w:rsidR="005E677C" w:rsidRDefault="005E677C">
            <w:pPr>
              <w:pStyle w:val="Compact"/>
            </w:pPr>
          </w:p>
        </w:tc>
        <w:tc>
          <w:tcPr>
            <w:tcW w:w="0" w:type="auto"/>
          </w:tcPr>
          <w:p w14:paraId="3A50DAF5" w14:textId="77777777" w:rsidR="005E677C" w:rsidRDefault="009C10D5">
            <w:pPr>
              <w:pStyle w:val="Compact"/>
            </w:pPr>
            <w:r>
              <w:t>Impacted by unknown stress</w:t>
            </w:r>
          </w:p>
        </w:tc>
        <w:tc>
          <w:tcPr>
            <w:tcW w:w="0" w:type="auto"/>
          </w:tcPr>
          <w:p w14:paraId="4AECBF05" w14:textId="77777777" w:rsidR="005E677C" w:rsidRDefault="009C10D5">
            <w:pPr>
              <w:pStyle w:val="Compact"/>
            </w:pPr>
            <w:r>
              <w:t>43 (16.2)</w:t>
            </w:r>
          </w:p>
        </w:tc>
      </w:tr>
      <w:tr w:rsidR="005E677C" w14:paraId="50A07687" w14:textId="77777777">
        <w:tc>
          <w:tcPr>
            <w:tcW w:w="0" w:type="auto"/>
          </w:tcPr>
          <w:p w14:paraId="14B3E80C" w14:textId="77777777" w:rsidR="005E677C" w:rsidRDefault="009C10D5">
            <w:pPr>
              <w:pStyle w:val="Compact"/>
            </w:pPr>
            <w:r>
              <w:t>Biological condition</w:t>
            </w:r>
          </w:p>
        </w:tc>
        <w:tc>
          <w:tcPr>
            <w:tcW w:w="0" w:type="auto"/>
          </w:tcPr>
          <w:p w14:paraId="54D9CFA0" w14:textId="77777777" w:rsidR="005E677C" w:rsidRDefault="009C10D5">
            <w:pPr>
              <w:pStyle w:val="Compact"/>
            </w:pPr>
            <w:r>
              <w:t>Healthy</w:t>
            </w:r>
          </w:p>
        </w:tc>
        <w:tc>
          <w:tcPr>
            <w:tcW w:w="0" w:type="auto"/>
          </w:tcPr>
          <w:p w14:paraId="42FF20F7" w14:textId="77777777" w:rsidR="005E677C" w:rsidRDefault="009C10D5">
            <w:pPr>
              <w:pStyle w:val="Compact"/>
            </w:pPr>
            <w:r>
              <w:t>60 (22.6)</w:t>
            </w:r>
          </w:p>
        </w:tc>
      </w:tr>
      <w:tr w:rsidR="005E677C" w14:paraId="42117C35" w14:textId="77777777">
        <w:tc>
          <w:tcPr>
            <w:tcW w:w="0" w:type="auto"/>
          </w:tcPr>
          <w:p w14:paraId="36EFE7DE" w14:textId="77777777" w:rsidR="005E677C" w:rsidRDefault="005E677C">
            <w:pPr>
              <w:pStyle w:val="Compact"/>
            </w:pPr>
          </w:p>
        </w:tc>
        <w:tc>
          <w:tcPr>
            <w:tcW w:w="0" w:type="auto"/>
          </w:tcPr>
          <w:p w14:paraId="2C9F0CC9" w14:textId="77777777" w:rsidR="005E677C" w:rsidRDefault="009C10D5">
            <w:pPr>
              <w:pStyle w:val="Compact"/>
            </w:pPr>
            <w:r>
              <w:t>Impacted for ASCI</w:t>
            </w:r>
          </w:p>
        </w:tc>
        <w:tc>
          <w:tcPr>
            <w:tcW w:w="0" w:type="auto"/>
          </w:tcPr>
          <w:p w14:paraId="6CBA4C64" w14:textId="77777777" w:rsidR="005E677C" w:rsidRDefault="009C10D5">
            <w:pPr>
              <w:pStyle w:val="Compact"/>
            </w:pPr>
            <w:r>
              <w:t>43 (16.2)</w:t>
            </w:r>
          </w:p>
        </w:tc>
      </w:tr>
      <w:tr w:rsidR="005E677C" w14:paraId="73DEDC73" w14:textId="77777777">
        <w:tc>
          <w:tcPr>
            <w:tcW w:w="0" w:type="auto"/>
          </w:tcPr>
          <w:p w14:paraId="33D6DC0A" w14:textId="77777777" w:rsidR="005E677C" w:rsidRDefault="005E677C">
            <w:pPr>
              <w:pStyle w:val="Compact"/>
            </w:pPr>
          </w:p>
        </w:tc>
        <w:tc>
          <w:tcPr>
            <w:tcW w:w="0" w:type="auto"/>
          </w:tcPr>
          <w:p w14:paraId="54C43CDB" w14:textId="77777777" w:rsidR="005E677C" w:rsidRDefault="009C10D5">
            <w:pPr>
              <w:pStyle w:val="Compact"/>
            </w:pPr>
            <w:r>
              <w:t>Impacted for CSCI</w:t>
            </w:r>
          </w:p>
        </w:tc>
        <w:tc>
          <w:tcPr>
            <w:tcW w:w="0" w:type="auto"/>
          </w:tcPr>
          <w:p w14:paraId="075F7381" w14:textId="77777777" w:rsidR="005E677C" w:rsidRDefault="009C10D5">
            <w:pPr>
              <w:pStyle w:val="Compact"/>
            </w:pPr>
            <w:r>
              <w:t>29 (10.9)</w:t>
            </w:r>
          </w:p>
        </w:tc>
      </w:tr>
      <w:tr w:rsidR="005E677C" w14:paraId="13413931" w14:textId="77777777">
        <w:tc>
          <w:tcPr>
            <w:tcW w:w="0" w:type="auto"/>
          </w:tcPr>
          <w:p w14:paraId="47BC17A5" w14:textId="77777777" w:rsidR="005E677C" w:rsidRDefault="005E677C">
            <w:pPr>
              <w:pStyle w:val="Compact"/>
            </w:pPr>
          </w:p>
        </w:tc>
        <w:tc>
          <w:tcPr>
            <w:tcW w:w="0" w:type="auto"/>
          </w:tcPr>
          <w:p w14:paraId="15E3F620" w14:textId="77777777" w:rsidR="005E677C" w:rsidRDefault="009C10D5">
            <w:pPr>
              <w:pStyle w:val="Compact"/>
            </w:pPr>
            <w:r>
              <w:t>Impacted for CSCI and ASCI</w:t>
            </w:r>
          </w:p>
        </w:tc>
        <w:tc>
          <w:tcPr>
            <w:tcW w:w="0" w:type="auto"/>
          </w:tcPr>
          <w:p w14:paraId="6565F3A7" w14:textId="77777777" w:rsidR="005E677C" w:rsidRDefault="009C10D5">
            <w:pPr>
              <w:pStyle w:val="Compact"/>
            </w:pPr>
            <w:r>
              <w:t>134 (50.4)</w:t>
            </w:r>
          </w:p>
        </w:tc>
      </w:tr>
      <w:tr w:rsidR="005E677C" w14:paraId="0CF168EB" w14:textId="77777777">
        <w:tc>
          <w:tcPr>
            <w:tcW w:w="0" w:type="auto"/>
          </w:tcPr>
          <w:p w14:paraId="483BD961" w14:textId="77777777" w:rsidR="005E677C" w:rsidRDefault="009C10D5">
            <w:pPr>
              <w:pStyle w:val="Compact"/>
            </w:pPr>
            <w:r>
              <w:t>Stress condition</w:t>
            </w:r>
          </w:p>
        </w:tc>
        <w:tc>
          <w:tcPr>
            <w:tcW w:w="0" w:type="auto"/>
          </w:tcPr>
          <w:p w14:paraId="3B0F2A24" w14:textId="77777777" w:rsidR="005E677C" w:rsidRDefault="009C10D5">
            <w:pPr>
              <w:pStyle w:val="Compact"/>
            </w:pPr>
            <w:r>
              <w:t>Low stress</w:t>
            </w:r>
          </w:p>
        </w:tc>
        <w:tc>
          <w:tcPr>
            <w:tcW w:w="0" w:type="auto"/>
          </w:tcPr>
          <w:p w14:paraId="4FD080FE" w14:textId="77777777" w:rsidR="005E677C" w:rsidRDefault="009C10D5">
            <w:pPr>
              <w:pStyle w:val="Compact"/>
            </w:pPr>
            <w:r>
              <w:t>99 (37.2)</w:t>
            </w:r>
          </w:p>
        </w:tc>
      </w:tr>
      <w:tr w:rsidR="005E677C" w14:paraId="73302578" w14:textId="77777777">
        <w:tc>
          <w:tcPr>
            <w:tcW w:w="0" w:type="auto"/>
          </w:tcPr>
          <w:p w14:paraId="2452AE47" w14:textId="77777777" w:rsidR="005E677C" w:rsidRDefault="005E677C">
            <w:pPr>
              <w:pStyle w:val="Compact"/>
            </w:pPr>
          </w:p>
        </w:tc>
        <w:tc>
          <w:tcPr>
            <w:tcW w:w="0" w:type="auto"/>
          </w:tcPr>
          <w:p w14:paraId="12F4A865" w14:textId="77777777" w:rsidR="005E677C" w:rsidRDefault="009C10D5">
            <w:pPr>
              <w:pStyle w:val="Compact"/>
            </w:pPr>
            <w:r>
              <w:t>Stressed by chemistry and habitat degradation</w:t>
            </w:r>
          </w:p>
        </w:tc>
        <w:tc>
          <w:tcPr>
            <w:tcW w:w="0" w:type="auto"/>
          </w:tcPr>
          <w:p w14:paraId="4EECF2EC" w14:textId="77777777" w:rsidR="005E677C" w:rsidRDefault="009C10D5">
            <w:pPr>
              <w:pStyle w:val="Compact"/>
            </w:pPr>
            <w:r>
              <w:t>55 (20.7)</w:t>
            </w:r>
          </w:p>
        </w:tc>
      </w:tr>
      <w:tr w:rsidR="005E677C" w14:paraId="013A6FAF" w14:textId="77777777">
        <w:tc>
          <w:tcPr>
            <w:tcW w:w="0" w:type="auto"/>
          </w:tcPr>
          <w:p w14:paraId="191A4F5A" w14:textId="77777777" w:rsidR="005E677C" w:rsidRDefault="005E677C">
            <w:pPr>
              <w:pStyle w:val="Compact"/>
            </w:pPr>
          </w:p>
        </w:tc>
        <w:tc>
          <w:tcPr>
            <w:tcW w:w="0" w:type="auto"/>
          </w:tcPr>
          <w:p w14:paraId="2162F2C2" w14:textId="77777777" w:rsidR="005E677C" w:rsidRDefault="009C10D5">
            <w:pPr>
              <w:pStyle w:val="Compact"/>
            </w:pPr>
            <w:r>
              <w:t>Stressed by chemistry degradation</w:t>
            </w:r>
          </w:p>
        </w:tc>
        <w:tc>
          <w:tcPr>
            <w:tcW w:w="0" w:type="auto"/>
          </w:tcPr>
          <w:p w14:paraId="6C07C5C1" w14:textId="77777777" w:rsidR="005E677C" w:rsidRDefault="009C10D5">
            <w:pPr>
              <w:pStyle w:val="Compact"/>
            </w:pPr>
            <w:r>
              <w:t>69 (25.9)</w:t>
            </w:r>
          </w:p>
        </w:tc>
      </w:tr>
      <w:tr w:rsidR="005E677C" w14:paraId="62CB3415" w14:textId="77777777">
        <w:tc>
          <w:tcPr>
            <w:tcW w:w="0" w:type="auto"/>
          </w:tcPr>
          <w:p w14:paraId="39DB35B6" w14:textId="77777777" w:rsidR="005E677C" w:rsidRDefault="005E677C">
            <w:pPr>
              <w:pStyle w:val="Compact"/>
            </w:pPr>
          </w:p>
        </w:tc>
        <w:tc>
          <w:tcPr>
            <w:tcW w:w="0" w:type="auto"/>
          </w:tcPr>
          <w:p w14:paraId="29A8563F" w14:textId="77777777" w:rsidR="005E677C" w:rsidRDefault="009C10D5">
            <w:pPr>
              <w:pStyle w:val="Compact"/>
            </w:pPr>
            <w:r>
              <w:t>Stressed by habitat degradation</w:t>
            </w:r>
          </w:p>
        </w:tc>
        <w:tc>
          <w:tcPr>
            <w:tcW w:w="0" w:type="auto"/>
          </w:tcPr>
          <w:p w14:paraId="3A0166A2" w14:textId="77777777" w:rsidR="005E677C" w:rsidRDefault="009C10D5">
            <w:pPr>
              <w:pStyle w:val="Compact"/>
            </w:pPr>
            <w:r>
              <w:t>26 (9.8)</w:t>
            </w:r>
          </w:p>
        </w:tc>
      </w:tr>
      <w:tr w:rsidR="005E677C" w14:paraId="2BDB36C5" w14:textId="77777777">
        <w:tc>
          <w:tcPr>
            <w:tcW w:w="0" w:type="auto"/>
          </w:tcPr>
          <w:p w14:paraId="289A04AA" w14:textId="77777777" w:rsidR="005E677C" w:rsidRDefault="005E677C">
            <w:pPr>
              <w:pStyle w:val="Compact"/>
            </w:pPr>
          </w:p>
        </w:tc>
        <w:tc>
          <w:tcPr>
            <w:tcW w:w="0" w:type="auto"/>
          </w:tcPr>
          <w:p w14:paraId="37B1AAFA" w14:textId="77777777" w:rsidR="005E677C" w:rsidRDefault="009C10D5">
            <w:pPr>
              <w:pStyle w:val="Compact"/>
            </w:pPr>
            <w:r>
              <w:t>Stressed by low levels of chemistry or habitat degradation</w:t>
            </w:r>
          </w:p>
        </w:tc>
        <w:tc>
          <w:tcPr>
            <w:tcW w:w="0" w:type="auto"/>
          </w:tcPr>
          <w:p w14:paraId="35F8FBA8" w14:textId="77777777" w:rsidR="005E677C" w:rsidRDefault="009C10D5">
            <w:pPr>
              <w:pStyle w:val="Compact"/>
            </w:pPr>
            <w:r>
              <w:t>17 (6.4)</w:t>
            </w:r>
          </w:p>
        </w:tc>
      </w:tr>
    </w:tbl>
    <w:p w14:paraId="13D0FC22" w14:textId="77777777" w:rsidR="0072410F" w:rsidRDefault="0072410F">
      <w:pPr>
        <w:pStyle w:val="BodyText"/>
        <w:rPr>
          <w:i/>
        </w:rPr>
      </w:pPr>
    </w:p>
    <w:p w14:paraId="536572A7" w14:textId="77777777" w:rsidR="0072410F" w:rsidRDefault="0072410F" w:rsidP="0072410F">
      <w:pPr>
        <w:pStyle w:val="BodyText"/>
      </w:pPr>
      <w:r>
        <w:br w:type="page"/>
      </w:r>
    </w:p>
    <w:p w14:paraId="75EC4363" w14:textId="77777777" w:rsidR="005E677C" w:rsidRDefault="009C10D5">
      <w:pPr>
        <w:pStyle w:val="BodyText"/>
      </w:pPr>
      <w:r>
        <w:rPr>
          <w:i/>
        </w:rPr>
        <w:lastRenderedPageBreak/>
        <w:t>Table 3: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w:tblPr>
        <w:tblW w:w="0" w:type="auto"/>
        <w:jc w:val="center"/>
        <w:tblLayout w:type="fixed"/>
        <w:tblLook w:val="04A0" w:firstRow="1" w:lastRow="0" w:firstColumn="1" w:lastColumn="0" w:noHBand="0" w:noVBand="1"/>
      </w:tblPr>
      <w:tblGrid>
        <w:gridCol w:w="4658"/>
        <w:gridCol w:w="1359"/>
        <w:gridCol w:w="1359"/>
      </w:tblGrid>
      <w:tr w:rsidR="005E677C" w14:paraId="320DEEAB" w14:textId="77777777">
        <w:trPr>
          <w:cantSplit/>
          <w:trHeight w:val="437"/>
          <w:jc w:val="center"/>
        </w:trPr>
        <w:tc>
          <w:tcPr>
            <w:tcW w:w="4658" w:type="dxa"/>
            <w:tcBorders>
              <w:top w:val="single" w:sz="8" w:space="0" w:color="000000"/>
              <w:bottom w:val="single" w:sz="8" w:space="0" w:color="000000"/>
            </w:tcBorders>
            <w:tcMar>
              <w:top w:w="0" w:type="dxa"/>
              <w:left w:w="0" w:type="dxa"/>
              <w:bottom w:w="0" w:type="dxa"/>
              <w:right w:w="0" w:type="dxa"/>
            </w:tcMar>
          </w:tcPr>
          <w:p w14:paraId="03E21B30" w14:textId="77777777" w:rsidR="005E677C" w:rsidRDefault="005E677C">
            <w:pPr>
              <w:spacing w:before="80" w:after="80"/>
              <w:ind w:left="80" w:right="80"/>
              <w:jc w:val="center"/>
            </w:pPr>
          </w:p>
        </w:tc>
        <w:tc>
          <w:tcPr>
            <w:tcW w:w="1359" w:type="dxa"/>
            <w:tcBorders>
              <w:top w:val="single" w:sz="8" w:space="0" w:color="000000"/>
              <w:bottom w:val="single" w:sz="8" w:space="0" w:color="000000"/>
            </w:tcBorders>
            <w:tcMar>
              <w:top w:w="0" w:type="dxa"/>
              <w:left w:w="0" w:type="dxa"/>
              <w:bottom w:w="0" w:type="dxa"/>
              <w:right w:w="0" w:type="dxa"/>
            </w:tcMar>
          </w:tcPr>
          <w:p w14:paraId="1439BB69" w14:textId="77777777" w:rsidR="005E677C" w:rsidRDefault="009C10D5">
            <w:pPr>
              <w:spacing w:before="80" w:after="80"/>
              <w:ind w:left="80" w:right="80"/>
              <w:jc w:val="center"/>
            </w:pPr>
            <w:r>
              <w:rPr>
                <w:rFonts w:ascii="Times" w:hAnsi="Times" w:cs="Times"/>
                <w:color w:val="000000"/>
              </w:rPr>
              <w:t>pChem</w:t>
            </w:r>
          </w:p>
        </w:tc>
        <w:tc>
          <w:tcPr>
            <w:tcW w:w="1359" w:type="dxa"/>
            <w:tcBorders>
              <w:top w:val="single" w:sz="8" w:space="0" w:color="000000"/>
              <w:bottom w:val="single" w:sz="8" w:space="0" w:color="000000"/>
            </w:tcBorders>
            <w:tcMar>
              <w:top w:w="0" w:type="dxa"/>
              <w:left w:w="0" w:type="dxa"/>
              <w:bottom w:w="0" w:type="dxa"/>
              <w:right w:w="0" w:type="dxa"/>
            </w:tcMar>
          </w:tcPr>
          <w:p w14:paraId="05D75CC0" w14:textId="77777777" w:rsidR="005E677C" w:rsidRDefault="009C10D5">
            <w:pPr>
              <w:spacing w:before="80" w:after="80"/>
              <w:ind w:left="80" w:right="80"/>
              <w:jc w:val="center"/>
            </w:pPr>
            <w:r>
              <w:rPr>
                <w:rFonts w:ascii="Times" w:hAnsi="Times" w:cs="Times"/>
                <w:color w:val="000000"/>
              </w:rPr>
              <w:t>pHab</w:t>
            </w:r>
          </w:p>
        </w:tc>
      </w:tr>
      <w:tr w:rsidR="005E677C" w14:paraId="0C50C98C" w14:textId="77777777">
        <w:trPr>
          <w:cantSplit/>
          <w:trHeight w:val="397"/>
          <w:jc w:val="center"/>
        </w:trPr>
        <w:tc>
          <w:tcPr>
            <w:tcW w:w="4658" w:type="dxa"/>
            <w:tcBorders>
              <w:top w:val="single" w:sz="8" w:space="0" w:color="000000"/>
            </w:tcBorders>
            <w:tcMar>
              <w:top w:w="0" w:type="dxa"/>
              <w:left w:w="0" w:type="dxa"/>
              <w:bottom w:w="0" w:type="dxa"/>
              <w:right w:w="0" w:type="dxa"/>
            </w:tcMar>
          </w:tcPr>
          <w:p w14:paraId="5B89E372" w14:textId="77777777" w:rsidR="005E677C" w:rsidRDefault="009C10D5">
            <w:pPr>
              <w:spacing w:before="80" w:after="80"/>
              <w:ind w:left="80" w:right="80"/>
            </w:pPr>
            <w:r>
              <w:rPr>
                <w:rFonts w:ascii="Times" w:hAnsi="Times" w:cs="Times"/>
                <w:color w:val="000000"/>
              </w:rPr>
              <w:t>Constant</w:t>
            </w:r>
          </w:p>
        </w:tc>
        <w:tc>
          <w:tcPr>
            <w:tcW w:w="1359" w:type="dxa"/>
            <w:tcBorders>
              <w:top w:val="single" w:sz="8" w:space="0" w:color="000000"/>
            </w:tcBorders>
            <w:tcMar>
              <w:top w:w="0" w:type="dxa"/>
              <w:left w:w="0" w:type="dxa"/>
              <w:bottom w:w="0" w:type="dxa"/>
              <w:right w:w="0" w:type="dxa"/>
            </w:tcMar>
          </w:tcPr>
          <w:p w14:paraId="53E777A3" w14:textId="77777777" w:rsidR="005E677C" w:rsidRDefault="009C10D5">
            <w:pPr>
              <w:spacing w:before="80" w:after="80"/>
              <w:ind w:left="80" w:right="80"/>
              <w:jc w:val="right"/>
            </w:pPr>
            <w:r>
              <w:rPr>
                <w:rFonts w:ascii="Times" w:hAnsi="Times" w:cs="Times"/>
                <w:color w:val="000000"/>
              </w:rPr>
              <w:t>-2.94 ***</w:t>
            </w:r>
          </w:p>
        </w:tc>
        <w:tc>
          <w:tcPr>
            <w:tcW w:w="1359" w:type="dxa"/>
            <w:tcBorders>
              <w:top w:val="single" w:sz="8" w:space="0" w:color="000000"/>
            </w:tcBorders>
            <w:tcMar>
              <w:top w:w="0" w:type="dxa"/>
              <w:left w:w="0" w:type="dxa"/>
              <w:bottom w:w="0" w:type="dxa"/>
              <w:right w:w="0" w:type="dxa"/>
            </w:tcMar>
          </w:tcPr>
          <w:p w14:paraId="71E57F47" w14:textId="77777777" w:rsidR="005E677C" w:rsidRDefault="009C10D5">
            <w:pPr>
              <w:spacing w:before="80" w:after="80"/>
              <w:ind w:left="80" w:right="80"/>
              <w:jc w:val="right"/>
            </w:pPr>
            <w:r>
              <w:rPr>
                <w:rFonts w:ascii="Times" w:hAnsi="Times" w:cs="Times"/>
                <w:color w:val="000000"/>
              </w:rPr>
              <w:t>7.95 ***</w:t>
            </w:r>
          </w:p>
        </w:tc>
      </w:tr>
      <w:tr w:rsidR="005E677C" w14:paraId="5A6048A1" w14:textId="77777777">
        <w:trPr>
          <w:cantSplit/>
          <w:trHeight w:val="447"/>
          <w:jc w:val="center"/>
        </w:trPr>
        <w:tc>
          <w:tcPr>
            <w:tcW w:w="4658" w:type="dxa"/>
            <w:tcMar>
              <w:top w:w="0" w:type="dxa"/>
              <w:left w:w="0" w:type="dxa"/>
              <w:bottom w:w="0" w:type="dxa"/>
              <w:right w:w="0" w:type="dxa"/>
            </w:tcMar>
          </w:tcPr>
          <w:p w14:paraId="1250B1FD" w14:textId="77777777" w:rsidR="005E677C" w:rsidRDefault="005E677C">
            <w:pPr>
              <w:spacing w:before="80" w:after="80"/>
              <w:ind w:left="80" w:right="80"/>
            </w:pPr>
          </w:p>
        </w:tc>
        <w:tc>
          <w:tcPr>
            <w:tcW w:w="1359" w:type="dxa"/>
            <w:tcMar>
              <w:top w:w="0" w:type="dxa"/>
              <w:left w:w="0" w:type="dxa"/>
              <w:bottom w:w="0" w:type="dxa"/>
              <w:right w:w="0" w:type="dxa"/>
            </w:tcMar>
          </w:tcPr>
          <w:p w14:paraId="3CC8FE3E" w14:textId="77777777" w:rsidR="005E677C" w:rsidRDefault="009C10D5">
            <w:pPr>
              <w:spacing w:before="80" w:after="80"/>
              <w:ind w:left="80" w:right="80"/>
              <w:jc w:val="right"/>
            </w:pPr>
            <w:r>
              <w:rPr>
                <w:rFonts w:ascii="Times" w:hAnsi="Times" w:cs="Times"/>
                <w:color w:val="000000"/>
              </w:rPr>
              <w:t xml:space="preserve">(0.51)   </w:t>
            </w:r>
          </w:p>
        </w:tc>
        <w:tc>
          <w:tcPr>
            <w:tcW w:w="1359" w:type="dxa"/>
            <w:tcMar>
              <w:top w:w="0" w:type="dxa"/>
              <w:left w:w="0" w:type="dxa"/>
              <w:bottom w:w="0" w:type="dxa"/>
              <w:right w:w="0" w:type="dxa"/>
            </w:tcMar>
          </w:tcPr>
          <w:p w14:paraId="05CE675F" w14:textId="77777777" w:rsidR="005E677C" w:rsidRDefault="009C10D5">
            <w:pPr>
              <w:spacing w:before="80" w:after="80"/>
              <w:ind w:left="80" w:right="80"/>
              <w:jc w:val="right"/>
            </w:pPr>
            <w:r>
              <w:rPr>
                <w:rFonts w:ascii="Times" w:hAnsi="Times" w:cs="Times"/>
                <w:color w:val="000000"/>
              </w:rPr>
              <w:t xml:space="preserve">(1.30)   </w:t>
            </w:r>
          </w:p>
        </w:tc>
      </w:tr>
      <w:tr w:rsidR="005E677C" w14:paraId="6BCC44D8" w14:textId="77777777">
        <w:trPr>
          <w:cantSplit/>
          <w:trHeight w:val="461"/>
          <w:jc w:val="center"/>
        </w:trPr>
        <w:tc>
          <w:tcPr>
            <w:tcW w:w="4658" w:type="dxa"/>
            <w:tcMar>
              <w:top w:w="0" w:type="dxa"/>
              <w:left w:w="0" w:type="dxa"/>
              <w:bottom w:w="0" w:type="dxa"/>
              <w:right w:w="0" w:type="dxa"/>
            </w:tcMar>
          </w:tcPr>
          <w:p w14:paraId="3ACF2D44" w14:textId="77777777" w:rsidR="005E677C" w:rsidRDefault="009C10D5">
            <w:pPr>
              <w:spacing w:before="80" w:after="80"/>
              <w:ind w:left="80" w:right="80"/>
            </w:pPr>
            <w:r>
              <w:rPr>
                <w:rFonts w:ascii="Times" w:hAnsi="Times" w:cs="Times"/>
                <w:color w:val="000000"/>
              </w:rPr>
              <w:t>log(TN)</w:t>
            </w:r>
          </w:p>
        </w:tc>
        <w:tc>
          <w:tcPr>
            <w:tcW w:w="1359" w:type="dxa"/>
            <w:tcMar>
              <w:top w:w="0" w:type="dxa"/>
              <w:left w:w="0" w:type="dxa"/>
              <w:bottom w:w="0" w:type="dxa"/>
              <w:right w:w="0" w:type="dxa"/>
            </w:tcMar>
          </w:tcPr>
          <w:p w14:paraId="39086F4E" w14:textId="77777777" w:rsidR="005E677C" w:rsidRDefault="009C10D5">
            <w:pPr>
              <w:spacing w:before="80" w:after="80"/>
              <w:ind w:left="80" w:right="80"/>
              <w:jc w:val="right"/>
            </w:pPr>
            <w:r>
              <w:rPr>
                <w:rFonts w:ascii="Times" w:hAnsi="Times" w:cs="Times"/>
                <w:color w:val="000000"/>
              </w:rPr>
              <w:t xml:space="preserve">2.96 ** </w:t>
            </w:r>
          </w:p>
        </w:tc>
        <w:tc>
          <w:tcPr>
            <w:tcW w:w="1359" w:type="dxa"/>
            <w:tcMar>
              <w:top w:w="0" w:type="dxa"/>
              <w:left w:w="0" w:type="dxa"/>
              <w:bottom w:w="0" w:type="dxa"/>
              <w:right w:w="0" w:type="dxa"/>
            </w:tcMar>
          </w:tcPr>
          <w:p w14:paraId="13A2E8DE" w14:textId="77777777" w:rsidR="005E677C" w:rsidRDefault="009C10D5">
            <w:pPr>
              <w:spacing w:before="80" w:after="80"/>
              <w:ind w:left="80" w:right="80"/>
              <w:jc w:val="right"/>
            </w:pPr>
            <w:r>
              <w:rPr>
                <w:rFonts w:ascii="Times" w:hAnsi="Times" w:cs="Times"/>
                <w:color w:val="000000"/>
              </w:rPr>
              <w:t xml:space="preserve">       </w:t>
            </w:r>
          </w:p>
        </w:tc>
      </w:tr>
      <w:tr w:rsidR="005E677C" w14:paraId="73BCF2F5" w14:textId="77777777">
        <w:trPr>
          <w:cantSplit/>
          <w:trHeight w:val="447"/>
          <w:jc w:val="center"/>
        </w:trPr>
        <w:tc>
          <w:tcPr>
            <w:tcW w:w="4658" w:type="dxa"/>
            <w:tcMar>
              <w:top w:w="0" w:type="dxa"/>
              <w:left w:w="0" w:type="dxa"/>
              <w:bottom w:w="0" w:type="dxa"/>
              <w:right w:w="0" w:type="dxa"/>
            </w:tcMar>
          </w:tcPr>
          <w:p w14:paraId="1679F527" w14:textId="77777777" w:rsidR="005E677C" w:rsidRDefault="005E677C">
            <w:pPr>
              <w:spacing w:before="80" w:after="80"/>
              <w:ind w:left="80" w:right="80"/>
            </w:pPr>
          </w:p>
        </w:tc>
        <w:tc>
          <w:tcPr>
            <w:tcW w:w="1359" w:type="dxa"/>
            <w:tcMar>
              <w:top w:w="0" w:type="dxa"/>
              <w:left w:w="0" w:type="dxa"/>
              <w:bottom w:w="0" w:type="dxa"/>
              <w:right w:w="0" w:type="dxa"/>
            </w:tcMar>
          </w:tcPr>
          <w:p w14:paraId="5FBE952F" w14:textId="77777777" w:rsidR="005E677C" w:rsidRDefault="009C10D5">
            <w:pPr>
              <w:spacing w:before="80" w:after="80"/>
              <w:ind w:left="80" w:right="80"/>
              <w:jc w:val="right"/>
            </w:pPr>
            <w:r>
              <w:rPr>
                <w:rFonts w:ascii="Times" w:hAnsi="Times" w:cs="Times"/>
                <w:color w:val="000000"/>
              </w:rPr>
              <w:t xml:space="preserve">(1.00)   </w:t>
            </w:r>
          </w:p>
        </w:tc>
        <w:tc>
          <w:tcPr>
            <w:tcW w:w="1359" w:type="dxa"/>
            <w:tcMar>
              <w:top w:w="0" w:type="dxa"/>
              <w:left w:w="0" w:type="dxa"/>
              <w:bottom w:w="0" w:type="dxa"/>
              <w:right w:w="0" w:type="dxa"/>
            </w:tcMar>
          </w:tcPr>
          <w:p w14:paraId="2D6E18DF" w14:textId="77777777" w:rsidR="005E677C" w:rsidRDefault="009C10D5">
            <w:pPr>
              <w:spacing w:before="80" w:after="80"/>
              <w:ind w:left="80" w:right="80"/>
              <w:jc w:val="right"/>
            </w:pPr>
            <w:r>
              <w:rPr>
                <w:rFonts w:ascii="Times" w:hAnsi="Times" w:cs="Times"/>
                <w:color w:val="000000"/>
              </w:rPr>
              <w:t xml:space="preserve">       </w:t>
            </w:r>
          </w:p>
        </w:tc>
      </w:tr>
      <w:tr w:rsidR="005E677C" w14:paraId="113839C0" w14:textId="77777777">
        <w:trPr>
          <w:cantSplit/>
          <w:trHeight w:val="461"/>
          <w:jc w:val="center"/>
        </w:trPr>
        <w:tc>
          <w:tcPr>
            <w:tcW w:w="4658" w:type="dxa"/>
            <w:tcMar>
              <w:top w:w="0" w:type="dxa"/>
              <w:left w:w="0" w:type="dxa"/>
              <w:bottom w:w="0" w:type="dxa"/>
              <w:right w:w="0" w:type="dxa"/>
            </w:tcMar>
          </w:tcPr>
          <w:p w14:paraId="32C199F0" w14:textId="77777777" w:rsidR="005E677C" w:rsidRDefault="009C10D5">
            <w:pPr>
              <w:spacing w:before="80" w:after="80"/>
              <w:ind w:left="80" w:right="80"/>
            </w:pPr>
            <w:r>
              <w:rPr>
                <w:rFonts w:ascii="Times" w:hAnsi="Times" w:cs="Times"/>
                <w:color w:val="000000"/>
              </w:rPr>
              <w:t>log(TP)</w:t>
            </w:r>
          </w:p>
        </w:tc>
        <w:tc>
          <w:tcPr>
            <w:tcW w:w="1359" w:type="dxa"/>
            <w:tcMar>
              <w:top w:w="0" w:type="dxa"/>
              <w:left w:w="0" w:type="dxa"/>
              <w:bottom w:w="0" w:type="dxa"/>
              <w:right w:w="0" w:type="dxa"/>
            </w:tcMar>
          </w:tcPr>
          <w:p w14:paraId="483B6C9F" w14:textId="77777777" w:rsidR="005E677C" w:rsidRDefault="009C10D5">
            <w:pPr>
              <w:spacing w:before="80" w:after="80"/>
              <w:ind w:left="80" w:right="80"/>
              <w:jc w:val="right"/>
            </w:pPr>
            <w:r>
              <w:rPr>
                <w:rFonts w:ascii="Times" w:hAnsi="Times" w:cs="Times"/>
                <w:color w:val="000000"/>
              </w:rPr>
              <w:t xml:space="preserve">20.59 *  </w:t>
            </w:r>
          </w:p>
        </w:tc>
        <w:tc>
          <w:tcPr>
            <w:tcW w:w="1359" w:type="dxa"/>
            <w:tcMar>
              <w:top w:w="0" w:type="dxa"/>
              <w:left w:w="0" w:type="dxa"/>
              <w:bottom w:w="0" w:type="dxa"/>
              <w:right w:w="0" w:type="dxa"/>
            </w:tcMar>
          </w:tcPr>
          <w:p w14:paraId="2AC2E0D6" w14:textId="77777777" w:rsidR="005E677C" w:rsidRDefault="009C10D5">
            <w:pPr>
              <w:spacing w:before="80" w:after="80"/>
              <w:ind w:left="80" w:right="80"/>
              <w:jc w:val="right"/>
            </w:pPr>
            <w:r>
              <w:rPr>
                <w:rFonts w:ascii="Times" w:hAnsi="Times" w:cs="Times"/>
                <w:color w:val="000000"/>
              </w:rPr>
              <w:t xml:space="preserve">       </w:t>
            </w:r>
          </w:p>
        </w:tc>
      </w:tr>
      <w:tr w:rsidR="005E677C" w14:paraId="614ABC85" w14:textId="77777777">
        <w:trPr>
          <w:cantSplit/>
          <w:trHeight w:val="447"/>
          <w:jc w:val="center"/>
        </w:trPr>
        <w:tc>
          <w:tcPr>
            <w:tcW w:w="4658" w:type="dxa"/>
            <w:tcMar>
              <w:top w:w="0" w:type="dxa"/>
              <w:left w:w="0" w:type="dxa"/>
              <w:bottom w:w="0" w:type="dxa"/>
              <w:right w:w="0" w:type="dxa"/>
            </w:tcMar>
          </w:tcPr>
          <w:p w14:paraId="350C4395" w14:textId="77777777" w:rsidR="005E677C" w:rsidRDefault="005E677C">
            <w:pPr>
              <w:spacing w:before="80" w:after="80"/>
              <w:ind w:left="80" w:right="80"/>
            </w:pPr>
          </w:p>
        </w:tc>
        <w:tc>
          <w:tcPr>
            <w:tcW w:w="1359" w:type="dxa"/>
            <w:tcMar>
              <w:top w:w="0" w:type="dxa"/>
              <w:left w:w="0" w:type="dxa"/>
              <w:bottom w:w="0" w:type="dxa"/>
              <w:right w:w="0" w:type="dxa"/>
            </w:tcMar>
          </w:tcPr>
          <w:p w14:paraId="328973E3" w14:textId="77777777" w:rsidR="005E677C" w:rsidRDefault="009C10D5">
            <w:pPr>
              <w:spacing w:before="80" w:after="80"/>
              <w:ind w:left="80" w:right="80"/>
              <w:jc w:val="right"/>
            </w:pPr>
            <w:r>
              <w:rPr>
                <w:rFonts w:ascii="Times" w:hAnsi="Times" w:cs="Times"/>
                <w:color w:val="000000"/>
              </w:rPr>
              <w:t xml:space="preserve">(8.52)   </w:t>
            </w:r>
          </w:p>
        </w:tc>
        <w:tc>
          <w:tcPr>
            <w:tcW w:w="1359" w:type="dxa"/>
            <w:tcMar>
              <w:top w:w="0" w:type="dxa"/>
              <w:left w:w="0" w:type="dxa"/>
              <w:bottom w:w="0" w:type="dxa"/>
              <w:right w:w="0" w:type="dxa"/>
            </w:tcMar>
          </w:tcPr>
          <w:p w14:paraId="5E2F8D40" w14:textId="77777777" w:rsidR="005E677C" w:rsidRDefault="009C10D5">
            <w:pPr>
              <w:spacing w:before="80" w:after="80"/>
              <w:ind w:left="80" w:right="80"/>
              <w:jc w:val="right"/>
            </w:pPr>
            <w:r>
              <w:rPr>
                <w:rFonts w:ascii="Times" w:hAnsi="Times" w:cs="Times"/>
                <w:color w:val="000000"/>
              </w:rPr>
              <w:t xml:space="preserve">       </w:t>
            </w:r>
          </w:p>
        </w:tc>
      </w:tr>
      <w:tr w:rsidR="005E677C" w14:paraId="6DA7613F" w14:textId="77777777">
        <w:trPr>
          <w:cantSplit/>
          <w:trHeight w:val="437"/>
          <w:jc w:val="center"/>
        </w:trPr>
        <w:tc>
          <w:tcPr>
            <w:tcW w:w="4658" w:type="dxa"/>
            <w:tcMar>
              <w:top w:w="0" w:type="dxa"/>
              <w:left w:w="0" w:type="dxa"/>
              <w:bottom w:w="0" w:type="dxa"/>
              <w:right w:w="0" w:type="dxa"/>
            </w:tcMar>
          </w:tcPr>
          <w:p w14:paraId="0B2F2637" w14:textId="77777777" w:rsidR="005E677C" w:rsidRDefault="009C10D5">
            <w:pPr>
              <w:spacing w:before="80" w:after="80"/>
              <w:ind w:left="80" w:right="80"/>
            </w:pPr>
            <w:r>
              <w:rPr>
                <w:rFonts w:ascii="Times" w:hAnsi="Times" w:cs="Times"/>
                <w:color w:val="000000"/>
              </w:rPr>
              <w:t>Conductivity</w:t>
            </w:r>
          </w:p>
        </w:tc>
        <w:tc>
          <w:tcPr>
            <w:tcW w:w="1359" w:type="dxa"/>
            <w:tcMar>
              <w:top w:w="0" w:type="dxa"/>
              <w:left w:w="0" w:type="dxa"/>
              <w:bottom w:w="0" w:type="dxa"/>
              <w:right w:w="0" w:type="dxa"/>
            </w:tcMar>
          </w:tcPr>
          <w:p w14:paraId="2AD9D50A" w14:textId="77777777" w:rsidR="005E677C" w:rsidRDefault="009C10D5">
            <w:pPr>
              <w:spacing w:before="80" w:after="80"/>
              <w:ind w:left="80" w:right="80"/>
              <w:jc w:val="right"/>
            </w:pPr>
            <w:r>
              <w:rPr>
                <w:rFonts w:ascii="Times" w:hAnsi="Times" w:cs="Times"/>
                <w:color w:val="000000"/>
              </w:rPr>
              <w:t>0.00 ***</w:t>
            </w:r>
          </w:p>
        </w:tc>
        <w:tc>
          <w:tcPr>
            <w:tcW w:w="1359" w:type="dxa"/>
            <w:tcMar>
              <w:top w:w="0" w:type="dxa"/>
              <w:left w:w="0" w:type="dxa"/>
              <w:bottom w:w="0" w:type="dxa"/>
              <w:right w:w="0" w:type="dxa"/>
            </w:tcMar>
          </w:tcPr>
          <w:p w14:paraId="01CE97EF" w14:textId="77777777" w:rsidR="005E677C" w:rsidRDefault="009C10D5">
            <w:pPr>
              <w:spacing w:before="80" w:after="80"/>
              <w:ind w:left="80" w:right="80"/>
              <w:jc w:val="right"/>
            </w:pPr>
            <w:r>
              <w:rPr>
                <w:rFonts w:ascii="Times" w:hAnsi="Times" w:cs="Times"/>
                <w:color w:val="000000"/>
              </w:rPr>
              <w:t xml:space="preserve">       </w:t>
            </w:r>
          </w:p>
        </w:tc>
      </w:tr>
      <w:tr w:rsidR="005E677C" w14:paraId="1E7E5D7B" w14:textId="77777777">
        <w:trPr>
          <w:cantSplit/>
          <w:trHeight w:val="447"/>
          <w:jc w:val="center"/>
        </w:trPr>
        <w:tc>
          <w:tcPr>
            <w:tcW w:w="4658" w:type="dxa"/>
            <w:tcMar>
              <w:top w:w="0" w:type="dxa"/>
              <w:left w:w="0" w:type="dxa"/>
              <w:bottom w:w="0" w:type="dxa"/>
              <w:right w:w="0" w:type="dxa"/>
            </w:tcMar>
          </w:tcPr>
          <w:p w14:paraId="494A9B49" w14:textId="77777777" w:rsidR="005E677C" w:rsidRDefault="005E677C">
            <w:pPr>
              <w:spacing w:before="80" w:after="80"/>
              <w:ind w:left="80" w:right="80"/>
            </w:pPr>
          </w:p>
        </w:tc>
        <w:tc>
          <w:tcPr>
            <w:tcW w:w="1359" w:type="dxa"/>
            <w:tcMar>
              <w:top w:w="0" w:type="dxa"/>
              <w:left w:w="0" w:type="dxa"/>
              <w:bottom w:w="0" w:type="dxa"/>
              <w:right w:w="0" w:type="dxa"/>
            </w:tcMar>
          </w:tcPr>
          <w:p w14:paraId="4E341191" w14:textId="77777777" w:rsidR="005E677C" w:rsidRDefault="009C10D5">
            <w:pPr>
              <w:spacing w:before="80" w:after="80"/>
              <w:ind w:left="80" w:right="80"/>
              <w:jc w:val="right"/>
            </w:pPr>
            <w:r>
              <w:rPr>
                <w:rFonts w:ascii="Times" w:hAnsi="Times" w:cs="Times"/>
                <w:color w:val="000000"/>
              </w:rPr>
              <w:t xml:space="preserve">(0.00)   </w:t>
            </w:r>
          </w:p>
        </w:tc>
        <w:tc>
          <w:tcPr>
            <w:tcW w:w="1359" w:type="dxa"/>
            <w:tcMar>
              <w:top w:w="0" w:type="dxa"/>
              <w:left w:w="0" w:type="dxa"/>
              <w:bottom w:w="0" w:type="dxa"/>
              <w:right w:w="0" w:type="dxa"/>
            </w:tcMar>
          </w:tcPr>
          <w:p w14:paraId="3E92BD8B" w14:textId="77777777" w:rsidR="005E677C" w:rsidRDefault="009C10D5">
            <w:pPr>
              <w:spacing w:before="80" w:after="80"/>
              <w:ind w:left="80" w:right="80"/>
              <w:jc w:val="right"/>
            </w:pPr>
            <w:r>
              <w:rPr>
                <w:rFonts w:ascii="Times" w:hAnsi="Times" w:cs="Times"/>
                <w:color w:val="000000"/>
              </w:rPr>
              <w:t xml:space="preserve">       </w:t>
            </w:r>
          </w:p>
        </w:tc>
      </w:tr>
      <w:tr w:rsidR="005E677C" w14:paraId="1FE5120A" w14:textId="77777777">
        <w:trPr>
          <w:cantSplit/>
          <w:trHeight w:val="397"/>
          <w:jc w:val="center"/>
        </w:trPr>
        <w:tc>
          <w:tcPr>
            <w:tcW w:w="4658" w:type="dxa"/>
            <w:tcMar>
              <w:top w:w="0" w:type="dxa"/>
              <w:left w:w="0" w:type="dxa"/>
              <w:bottom w:w="0" w:type="dxa"/>
              <w:right w:w="0" w:type="dxa"/>
            </w:tcMar>
          </w:tcPr>
          <w:p w14:paraId="70D5054F" w14:textId="77777777" w:rsidR="005E677C" w:rsidRDefault="009C10D5">
            <w:pPr>
              <w:spacing w:before="80" w:after="80"/>
              <w:ind w:left="80" w:right="80"/>
            </w:pPr>
            <w:r>
              <w:rPr>
                <w:rFonts w:ascii="Times" w:hAnsi="Times" w:cs="Times"/>
                <w:color w:val="000000"/>
              </w:rPr>
              <w:t>CRAM</w:t>
            </w:r>
          </w:p>
        </w:tc>
        <w:tc>
          <w:tcPr>
            <w:tcW w:w="1359" w:type="dxa"/>
            <w:tcMar>
              <w:top w:w="0" w:type="dxa"/>
              <w:left w:w="0" w:type="dxa"/>
              <w:bottom w:w="0" w:type="dxa"/>
              <w:right w:w="0" w:type="dxa"/>
            </w:tcMar>
          </w:tcPr>
          <w:p w14:paraId="3739886F" w14:textId="77777777" w:rsidR="005E677C" w:rsidRDefault="009C10D5">
            <w:pPr>
              <w:spacing w:before="80" w:after="80"/>
              <w:ind w:left="80" w:right="80"/>
              <w:jc w:val="right"/>
            </w:pPr>
            <w:r>
              <w:rPr>
                <w:rFonts w:ascii="Times" w:hAnsi="Times" w:cs="Times"/>
                <w:color w:val="000000"/>
              </w:rPr>
              <w:t xml:space="preserve">       </w:t>
            </w:r>
          </w:p>
        </w:tc>
        <w:tc>
          <w:tcPr>
            <w:tcW w:w="1359" w:type="dxa"/>
            <w:tcMar>
              <w:top w:w="0" w:type="dxa"/>
              <w:left w:w="0" w:type="dxa"/>
              <w:bottom w:w="0" w:type="dxa"/>
              <w:right w:w="0" w:type="dxa"/>
            </w:tcMar>
          </w:tcPr>
          <w:p w14:paraId="3533D0FC" w14:textId="77777777" w:rsidR="005E677C" w:rsidRDefault="009C10D5">
            <w:pPr>
              <w:spacing w:before="80" w:after="80"/>
              <w:ind w:left="80" w:right="80"/>
              <w:jc w:val="right"/>
            </w:pPr>
            <w:r>
              <w:rPr>
                <w:rFonts w:ascii="Times" w:hAnsi="Times" w:cs="Times"/>
                <w:color w:val="000000"/>
              </w:rPr>
              <w:t>-0.09 ***</w:t>
            </w:r>
          </w:p>
        </w:tc>
      </w:tr>
      <w:tr w:rsidR="005E677C" w14:paraId="123E1FD7" w14:textId="77777777">
        <w:trPr>
          <w:cantSplit/>
          <w:trHeight w:val="447"/>
          <w:jc w:val="center"/>
        </w:trPr>
        <w:tc>
          <w:tcPr>
            <w:tcW w:w="4658" w:type="dxa"/>
            <w:tcMar>
              <w:top w:w="0" w:type="dxa"/>
              <w:left w:w="0" w:type="dxa"/>
              <w:bottom w:w="0" w:type="dxa"/>
              <w:right w:w="0" w:type="dxa"/>
            </w:tcMar>
          </w:tcPr>
          <w:p w14:paraId="31F1CFD8" w14:textId="77777777" w:rsidR="005E677C" w:rsidRDefault="005E677C">
            <w:pPr>
              <w:spacing w:before="80" w:after="80"/>
              <w:ind w:left="80" w:right="80"/>
            </w:pPr>
          </w:p>
        </w:tc>
        <w:tc>
          <w:tcPr>
            <w:tcW w:w="1359" w:type="dxa"/>
            <w:tcMar>
              <w:top w:w="0" w:type="dxa"/>
              <w:left w:w="0" w:type="dxa"/>
              <w:bottom w:w="0" w:type="dxa"/>
              <w:right w:w="0" w:type="dxa"/>
            </w:tcMar>
          </w:tcPr>
          <w:p w14:paraId="24BF4C84" w14:textId="77777777" w:rsidR="005E677C" w:rsidRDefault="009C10D5">
            <w:pPr>
              <w:spacing w:before="80" w:after="80"/>
              <w:ind w:left="80" w:right="80"/>
              <w:jc w:val="right"/>
            </w:pPr>
            <w:r>
              <w:rPr>
                <w:rFonts w:ascii="Times" w:hAnsi="Times" w:cs="Times"/>
                <w:color w:val="000000"/>
              </w:rPr>
              <w:t xml:space="preserve">       </w:t>
            </w:r>
          </w:p>
        </w:tc>
        <w:tc>
          <w:tcPr>
            <w:tcW w:w="1359" w:type="dxa"/>
            <w:tcMar>
              <w:top w:w="0" w:type="dxa"/>
              <w:left w:w="0" w:type="dxa"/>
              <w:bottom w:w="0" w:type="dxa"/>
              <w:right w:w="0" w:type="dxa"/>
            </w:tcMar>
          </w:tcPr>
          <w:p w14:paraId="59E71C86" w14:textId="77777777" w:rsidR="005E677C" w:rsidRDefault="009C10D5">
            <w:pPr>
              <w:spacing w:before="80" w:after="80"/>
              <w:ind w:left="80" w:right="80"/>
              <w:jc w:val="right"/>
            </w:pPr>
            <w:r>
              <w:rPr>
                <w:rFonts w:ascii="Times" w:hAnsi="Times" w:cs="Times"/>
                <w:color w:val="000000"/>
              </w:rPr>
              <w:t xml:space="preserve">(0.02)   </w:t>
            </w:r>
          </w:p>
        </w:tc>
      </w:tr>
      <w:tr w:rsidR="005E677C" w14:paraId="636F338D" w14:textId="77777777">
        <w:trPr>
          <w:cantSplit/>
          <w:trHeight w:val="393"/>
          <w:jc w:val="center"/>
        </w:trPr>
        <w:tc>
          <w:tcPr>
            <w:tcW w:w="4658" w:type="dxa"/>
            <w:tcMar>
              <w:top w:w="0" w:type="dxa"/>
              <w:left w:w="0" w:type="dxa"/>
              <w:bottom w:w="0" w:type="dxa"/>
              <w:right w:w="0" w:type="dxa"/>
            </w:tcMar>
          </w:tcPr>
          <w:p w14:paraId="745848CE" w14:textId="77777777" w:rsidR="005E677C" w:rsidRDefault="009C10D5">
            <w:pPr>
              <w:spacing w:before="80" w:after="80"/>
              <w:ind w:left="80" w:right="80"/>
            </w:pPr>
            <w:r>
              <w:rPr>
                <w:rFonts w:ascii="Times" w:hAnsi="Times" w:cs="Times"/>
                <w:color w:val="000000"/>
              </w:rPr>
              <w:t>IPI</w:t>
            </w:r>
          </w:p>
        </w:tc>
        <w:tc>
          <w:tcPr>
            <w:tcW w:w="1359" w:type="dxa"/>
            <w:tcMar>
              <w:top w:w="0" w:type="dxa"/>
              <w:left w:w="0" w:type="dxa"/>
              <w:bottom w:w="0" w:type="dxa"/>
              <w:right w:w="0" w:type="dxa"/>
            </w:tcMar>
          </w:tcPr>
          <w:p w14:paraId="79EDEE89" w14:textId="77777777" w:rsidR="005E677C" w:rsidRDefault="009C10D5">
            <w:pPr>
              <w:spacing w:before="80" w:after="80"/>
              <w:ind w:left="80" w:right="80"/>
              <w:jc w:val="right"/>
            </w:pPr>
            <w:r>
              <w:rPr>
                <w:rFonts w:ascii="Times" w:hAnsi="Times" w:cs="Times"/>
                <w:color w:val="000000"/>
              </w:rPr>
              <w:t xml:space="preserve">       </w:t>
            </w:r>
          </w:p>
        </w:tc>
        <w:tc>
          <w:tcPr>
            <w:tcW w:w="1359" w:type="dxa"/>
            <w:tcMar>
              <w:top w:w="0" w:type="dxa"/>
              <w:left w:w="0" w:type="dxa"/>
              <w:bottom w:w="0" w:type="dxa"/>
              <w:right w:w="0" w:type="dxa"/>
            </w:tcMar>
          </w:tcPr>
          <w:p w14:paraId="37E4E698" w14:textId="77777777" w:rsidR="005E677C" w:rsidRDefault="009C10D5">
            <w:pPr>
              <w:spacing w:before="80" w:after="80"/>
              <w:ind w:left="80" w:right="80"/>
              <w:jc w:val="right"/>
            </w:pPr>
            <w:r>
              <w:rPr>
                <w:rFonts w:ascii="Times" w:hAnsi="Times" w:cs="Times"/>
                <w:color w:val="000000"/>
              </w:rPr>
              <w:t xml:space="preserve">-0.86    </w:t>
            </w:r>
          </w:p>
        </w:tc>
      </w:tr>
      <w:tr w:rsidR="005E677C" w14:paraId="691B3D15" w14:textId="77777777">
        <w:trPr>
          <w:cantSplit/>
          <w:trHeight w:val="447"/>
          <w:jc w:val="center"/>
        </w:trPr>
        <w:tc>
          <w:tcPr>
            <w:tcW w:w="4658" w:type="dxa"/>
            <w:tcBorders>
              <w:bottom w:val="single" w:sz="8" w:space="0" w:color="000000"/>
            </w:tcBorders>
            <w:tcMar>
              <w:top w:w="0" w:type="dxa"/>
              <w:left w:w="0" w:type="dxa"/>
              <w:bottom w:w="0" w:type="dxa"/>
              <w:right w:w="0" w:type="dxa"/>
            </w:tcMar>
          </w:tcPr>
          <w:p w14:paraId="3C199C5D" w14:textId="77777777" w:rsidR="005E677C" w:rsidRDefault="005E677C">
            <w:pPr>
              <w:spacing w:before="80" w:after="80"/>
              <w:ind w:left="80" w:right="80"/>
            </w:pPr>
          </w:p>
        </w:tc>
        <w:tc>
          <w:tcPr>
            <w:tcW w:w="1359" w:type="dxa"/>
            <w:tcBorders>
              <w:bottom w:val="single" w:sz="8" w:space="0" w:color="000000"/>
            </w:tcBorders>
            <w:tcMar>
              <w:top w:w="0" w:type="dxa"/>
              <w:left w:w="0" w:type="dxa"/>
              <w:bottom w:w="0" w:type="dxa"/>
              <w:right w:w="0" w:type="dxa"/>
            </w:tcMar>
          </w:tcPr>
          <w:p w14:paraId="3D906417" w14:textId="77777777" w:rsidR="005E677C" w:rsidRDefault="009C10D5">
            <w:pPr>
              <w:spacing w:before="80" w:after="80"/>
              <w:ind w:left="80" w:right="80"/>
              <w:jc w:val="right"/>
            </w:pPr>
            <w:r>
              <w:rPr>
                <w:rFonts w:ascii="Times" w:hAnsi="Times" w:cs="Times"/>
                <w:color w:val="000000"/>
              </w:rPr>
              <w:t xml:space="preserve">       </w:t>
            </w:r>
          </w:p>
        </w:tc>
        <w:tc>
          <w:tcPr>
            <w:tcW w:w="1359" w:type="dxa"/>
            <w:tcBorders>
              <w:bottom w:val="single" w:sz="8" w:space="0" w:color="000000"/>
            </w:tcBorders>
            <w:tcMar>
              <w:top w:w="0" w:type="dxa"/>
              <w:left w:w="0" w:type="dxa"/>
              <w:bottom w:w="0" w:type="dxa"/>
              <w:right w:w="0" w:type="dxa"/>
            </w:tcMar>
          </w:tcPr>
          <w:p w14:paraId="675CAB0F" w14:textId="77777777" w:rsidR="005E677C" w:rsidRDefault="009C10D5">
            <w:pPr>
              <w:spacing w:before="80" w:after="80"/>
              <w:ind w:left="80" w:right="80"/>
              <w:jc w:val="right"/>
            </w:pPr>
            <w:r>
              <w:rPr>
                <w:rFonts w:ascii="Times" w:hAnsi="Times" w:cs="Times"/>
                <w:color w:val="000000"/>
              </w:rPr>
              <w:t xml:space="preserve">(1.33)   </w:t>
            </w:r>
          </w:p>
        </w:tc>
      </w:tr>
      <w:tr w:rsidR="005E677C" w14:paraId="29A8E0BB" w14:textId="77777777">
        <w:trPr>
          <w:cantSplit/>
          <w:trHeight w:val="393"/>
          <w:jc w:val="center"/>
        </w:trPr>
        <w:tc>
          <w:tcPr>
            <w:tcW w:w="4658" w:type="dxa"/>
            <w:tcBorders>
              <w:top w:val="single" w:sz="8" w:space="0" w:color="000000"/>
            </w:tcBorders>
            <w:tcMar>
              <w:top w:w="0" w:type="dxa"/>
              <w:left w:w="0" w:type="dxa"/>
              <w:bottom w:w="0" w:type="dxa"/>
              <w:right w:w="0" w:type="dxa"/>
            </w:tcMar>
          </w:tcPr>
          <w:p w14:paraId="55033847" w14:textId="77777777" w:rsidR="005E677C" w:rsidRDefault="009C10D5">
            <w:pPr>
              <w:spacing w:before="80" w:after="80"/>
              <w:ind w:left="80" w:right="80"/>
            </w:pPr>
            <w:r>
              <w:rPr>
                <w:rFonts w:ascii="Times" w:hAnsi="Times" w:cs="Times"/>
                <w:color w:val="000000"/>
              </w:rPr>
              <w:t>N</w:t>
            </w:r>
          </w:p>
        </w:tc>
        <w:tc>
          <w:tcPr>
            <w:tcW w:w="1359" w:type="dxa"/>
            <w:tcBorders>
              <w:top w:val="single" w:sz="8" w:space="0" w:color="000000"/>
            </w:tcBorders>
            <w:tcMar>
              <w:top w:w="0" w:type="dxa"/>
              <w:left w:w="0" w:type="dxa"/>
              <w:bottom w:w="0" w:type="dxa"/>
              <w:right w:w="0" w:type="dxa"/>
            </w:tcMar>
          </w:tcPr>
          <w:p w14:paraId="7792D9FA" w14:textId="77777777" w:rsidR="005E677C" w:rsidRDefault="009C10D5">
            <w:pPr>
              <w:spacing w:before="80" w:after="80"/>
              <w:ind w:left="80" w:right="80"/>
              <w:jc w:val="right"/>
            </w:pPr>
            <w:r>
              <w:rPr>
                <w:rFonts w:ascii="Times" w:hAnsi="Times" w:cs="Times"/>
                <w:color w:val="000000"/>
              </w:rPr>
              <w:t xml:space="preserve">200       </w:t>
            </w:r>
          </w:p>
        </w:tc>
        <w:tc>
          <w:tcPr>
            <w:tcW w:w="1359" w:type="dxa"/>
            <w:tcBorders>
              <w:top w:val="single" w:sz="8" w:space="0" w:color="000000"/>
            </w:tcBorders>
            <w:tcMar>
              <w:top w:w="0" w:type="dxa"/>
              <w:left w:w="0" w:type="dxa"/>
              <w:bottom w:w="0" w:type="dxa"/>
              <w:right w:w="0" w:type="dxa"/>
            </w:tcMar>
          </w:tcPr>
          <w:p w14:paraId="57C13205" w14:textId="77777777" w:rsidR="005E677C" w:rsidRDefault="009C10D5">
            <w:pPr>
              <w:spacing w:before="80" w:after="80"/>
              <w:ind w:left="80" w:right="80"/>
              <w:jc w:val="right"/>
            </w:pPr>
            <w:r>
              <w:rPr>
                <w:rFonts w:ascii="Times" w:hAnsi="Times" w:cs="Times"/>
                <w:color w:val="000000"/>
              </w:rPr>
              <w:t xml:space="preserve">200       </w:t>
            </w:r>
          </w:p>
        </w:tc>
      </w:tr>
      <w:tr w:rsidR="005E677C" w14:paraId="1E9B0E07" w14:textId="77777777">
        <w:trPr>
          <w:cantSplit/>
          <w:trHeight w:val="397"/>
          <w:jc w:val="center"/>
        </w:trPr>
        <w:tc>
          <w:tcPr>
            <w:tcW w:w="4658" w:type="dxa"/>
            <w:tcMar>
              <w:top w:w="0" w:type="dxa"/>
              <w:left w:w="0" w:type="dxa"/>
              <w:bottom w:w="0" w:type="dxa"/>
              <w:right w:w="0" w:type="dxa"/>
            </w:tcMar>
          </w:tcPr>
          <w:p w14:paraId="4EC22386" w14:textId="77777777" w:rsidR="005E677C" w:rsidRDefault="009C10D5">
            <w:pPr>
              <w:spacing w:before="80" w:after="80"/>
              <w:ind w:left="80" w:right="80"/>
            </w:pPr>
            <w:r>
              <w:rPr>
                <w:rFonts w:ascii="Times" w:hAnsi="Times" w:cs="Times"/>
                <w:color w:val="000000"/>
              </w:rPr>
              <w:t>AIC</w:t>
            </w:r>
          </w:p>
        </w:tc>
        <w:tc>
          <w:tcPr>
            <w:tcW w:w="1359" w:type="dxa"/>
            <w:tcMar>
              <w:top w:w="0" w:type="dxa"/>
              <w:left w:w="0" w:type="dxa"/>
              <w:bottom w:w="0" w:type="dxa"/>
              <w:right w:w="0" w:type="dxa"/>
            </w:tcMar>
          </w:tcPr>
          <w:p w14:paraId="08D9B15C" w14:textId="77777777" w:rsidR="005E677C" w:rsidRDefault="009C10D5">
            <w:pPr>
              <w:spacing w:before="80" w:after="80"/>
              <w:ind w:left="80" w:right="80"/>
              <w:jc w:val="right"/>
            </w:pPr>
            <w:r>
              <w:rPr>
                <w:rFonts w:ascii="Times" w:hAnsi="Times" w:cs="Times"/>
                <w:color w:val="000000"/>
              </w:rPr>
              <w:t xml:space="preserve">134.53    </w:t>
            </w:r>
          </w:p>
        </w:tc>
        <w:tc>
          <w:tcPr>
            <w:tcW w:w="1359" w:type="dxa"/>
            <w:tcMar>
              <w:top w:w="0" w:type="dxa"/>
              <w:left w:w="0" w:type="dxa"/>
              <w:bottom w:w="0" w:type="dxa"/>
              <w:right w:w="0" w:type="dxa"/>
            </w:tcMar>
          </w:tcPr>
          <w:p w14:paraId="2275DC8F" w14:textId="77777777" w:rsidR="005E677C" w:rsidRDefault="009C10D5">
            <w:pPr>
              <w:spacing w:before="80" w:after="80"/>
              <w:ind w:left="80" w:right="80"/>
              <w:jc w:val="right"/>
            </w:pPr>
            <w:r>
              <w:rPr>
                <w:rFonts w:ascii="Times" w:hAnsi="Times" w:cs="Times"/>
                <w:color w:val="000000"/>
              </w:rPr>
              <w:t xml:space="preserve">181.40    </w:t>
            </w:r>
          </w:p>
        </w:tc>
      </w:tr>
      <w:tr w:rsidR="005E677C" w14:paraId="5077DAA3" w14:textId="77777777">
        <w:trPr>
          <w:cantSplit/>
          <w:trHeight w:val="397"/>
          <w:jc w:val="center"/>
        </w:trPr>
        <w:tc>
          <w:tcPr>
            <w:tcW w:w="4658" w:type="dxa"/>
            <w:tcMar>
              <w:top w:w="0" w:type="dxa"/>
              <w:left w:w="0" w:type="dxa"/>
              <w:bottom w:w="0" w:type="dxa"/>
              <w:right w:w="0" w:type="dxa"/>
            </w:tcMar>
          </w:tcPr>
          <w:p w14:paraId="3D75DF3C" w14:textId="77777777" w:rsidR="005E677C" w:rsidRDefault="009C10D5">
            <w:pPr>
              <w:spacing w:before="80" w:after="80"/>
              <w:ind w:left="80" w:right="80"/>
            </w:pPr>
            <w:r>
              <w:rPr>
                <w:rFonts w:ascii="Times" w:hAnsi="Times" w:cs="Times"/>
                <w:color w:val="000000"/>
              </w:rPr>
              <w:t>BIC</w:t>
            </w:r>
          </w:p>
        </w:tc>
        <w:tc>
          <w:tcPr>
            <w:tcW w:w="1359" w:type="dxa"/>
            <w:tcMar>
              <w:top w:w="0" w:type="dxa"/>
              <w:left w:w="0" w:type="dxa"/>
              <w:bottom w:w="0" w:type="dxa"/>
              <w:right w:w="0" w:type="dxa"/>
            </w:tcMar>
          </w:tcPr>
          <w:p w14:paraId="6E01DF94" w14:textId="77777777" w:rsidR="005E677C" w:rsidRDefault="009C10D5">
            <w:pPr>
              <w:spacing w:before="80" w:after="80"/>
              <w:ind w:left="80" w:right="80"/>
              <w:jc w:val="right"/>
            </w:pPr>
            <w:r>
              <w:rPr>
                <w:rFonts w:ascii="Times" w:hAnsi="Times" w:cs="Times"/>
                <w:color w:val="000000"/>
              </w:rPr>
              <w:t xml:space="preserve">147.73    </w:t>
            </w:r>
          </w:p>
        </w:tc>
        <w:tc>
          <w:tcPr>
            <w:tcW w:w="1359" w:type="dxa"/>
            <w:tcMar>
              <w:top w:w="0" w:type="dxa"/>
              <w:left w:w="0" w:type="dxa"/>
              <w:bottom w:w="0" w:type="dxa"/>
              <w:right w:w="0" w:type="dxa"/>
            </w:tcMar>
          </w:tcPr>
          <w:p w14:paraId="58EB285A" w14:textId="77777777" w:rsidR="005E677C" w:rsidRDefault="009C10D5">
            <w:pPr>
              <w:spacing w:before="80" w:after="80"/>
              <w:ind w:left="80" w:right="80"/>
              <w:jc w:val="right"/>
            </w:pPr>
            <w:r>
              <w:rPr>
                <w:rFonts w:ascii="Times" w:hAnsi="Times" w:cs="Times"/>
                <w:color w:val="000000"/>
              </w:rPr>
              <w:t xml:space="preserve">191.29    </w:t>
            </w:r>
          </w:p>
        </w:tc>
      </w:tr>
      <w:tr w:rsidR="005E677C" w14:paraId="21AE5C5C" w14:textId="77777777">
        <w:trPr>
          <w:cantSplit/>
          <w:trHeight w:val="396"/>
          <w:jc w:val="center"/>
        </w:trPr>
        <w:tc>
          <w:tcPr>
            <w:tcW w:w="4658" w:type="dxa"/>
            <w:tcBorders>
              <w:bottom w:val="single" w:sz="8" w:space="0" w:color="000000"/>
            </w:tcBorders>
            <w:tcMar>
              <w:top w:w="0" w:type="dxa"/>
              <w:left w:w="0" w:type="dxa"/>
              <w:bottom w:w="0" w:type="dxa"/>
              <w:right w:w="0" w:type="dxa"/>
            </w:tcMar>
          </w:tcPr>
          <w:p w14:paraId="210B862B" w14:textId="77777777" w:rsidR="005E677C" w:rsidRDefault="009C10D5">
            <w:pPr>
              <w:spacing w:before="80" w:after="80"/>
              <w:ind w:left="80" w:right="80"/>
            </w:pPr>
            <w:r>
              <w:rPr>
                <w:rFonts w:ascii="Times" w:hAnsi="Times" w:cs="Times"/>
                <w:color w:val="000000"/>
              </w:rPr>
              <w:t>Pseudo R2</w:t>
            </w:r>
          </w:p>
        </w:tc>
        <w:tc>
          <w:tcPr>
            <w:tcW w:w="1359" w:type="dxa"/>
            <w:tcBorders>
              <w:bottom w:val="single" w:sz="8" w:space="0" w:color="000000"/>
            </w:tcBorders>
            <w:tcMar>
              <w:top w:w="0" w:type="dxa"/>
              <w:left w:w="0" w:type="dxa"/>
              <w:bottom w:w="0" w:type="dxa"/>
              <w:right w:w="0" w:type="dxa"/>
            </w:tcMar>
          </w:tcPr>
          <w:p w14:paraId="5226E920" w14:textId="77777777" w:rsidR="005E677C" w:rsidRDefault="009C10D5">
            <w:pPr>
              <w:spacing w:before="80" w:after="80"/>
              <w:ind w:left="80" w:right="80"/>
              <w:jc w:val="right"/>
            </w:pPr>
            <w:r>
              <w:rPr>
                <w:rFonts w:ascii="Times" w:hAnsi="Times" w:cs="Times"/>
                <w:color w:val="000000"/>
              </w:rPr>
              <w:t xml:space="preserve">0.64    </w:t>
            </w:r>
          </w:p>
        </w:tc>
        <w:tc>
          <w:tcPr>
            <w:tcW w:w="1359" w:type="dxa"/>
            <w:tcBorders>
              <w:bottom w:val="single" w:sz="8" w:space="0" w:color="000000"/>
            </w:tcBorders>
            <w:tcMar>
              <w:top w:w="0" w:type="dxa"/>
              <w:left w:w="0" w:type="dxa"/>
              <w:bottom w:w="0" w:type="dxa"/>
              <w:right w:w="0" w:type="dxa"/>
            </w:tcMar>
          </w:tcPr>
          <w:p w14:paraId="39CA51BC" w14:textId="77777777" w:rsidR="005E677C" w:rsidRDefault="009C10D5">
            <w:pPr>
              <w:spacing w:before="80" w:after="80"/>
              <w:ind w:left="80" w:right="80"/>
              <w:jc w:val="right"/>
            </w:pPr>
            <w:r>
              <w:rPr>
                <w:rFonts w:ascii="Times" w:hAnsi="Times" w:cs="Times"/>
                <w:color w:val="000000"/>
              </w:rPr>
              <w:t xml:space="preserve">0.42    </w:t>
            </w:r>
          </w:p>
        </w:tc>
      </w:tr>
      <w:tr w:rsidR="005E677C" w14:paraId="354D0B98" w14:textId="77777777">
        <w:trPr>
          <w:cantSplit/>
          <w:trHeight w:val="434"/>
          <w:jc w:val="center"/>
        </w:trPr>
        <w:tc>
          <w:tcPr>
            <w:tcW w:w="7376" w:type="dxa"/>
            <w:gridSpan w:val="3"/>
            <w:tcMar>
              <w:top w:w="0" w:type="dxa"/>
              <w:left w:w="0" w:type="dxa"/>
              <w:bottom w:w="0" w:type="dxa"/>
              <w:right w:w="0" w:type="dxa"/>
            </w:tcMar>
          </w:tcPr>
          <w:p w14:paraId="3919FEB4" w14:textId="77777777" w:rsidR="005E677C" w:rsidRDefault="009C10D5">
            <w:pPr>
              <w:spacing w:before="80" w:after="80"/>
              <w:ind w:left="80" w:right="80"/>
            </w:pPr>
            <w:r>
              <w:rPr>
                <w:rFonts w:ascii="Times" w:hAnsi="Times" w:cs="Times"/>
                <w:color w:val="000000"/>
              </w:rPr>
              <w:t xml:space="preserve"> *** p &lt; 0.001;  ** p &lt; 0.01;  * p &lt; 0.05.</w:t>
            </w:r>
          </w:p>
        </w:tc>
      </w:tr>
    </w:tbl>
    <w:p w14:paraId="67C295A4" w14:textId="77777777" w:rsidR="0072410F" w:rsidRDefault="0072410F">
      <w:pPr>
        <w:pStyle w:val="Heading1"/>
      </w:pPr>
      <w:bookmarkStart w:id="54" w:name="references"/>
    </w:p>
    <w:p w14:paraId="2EF3A319" w14:textId="77777777" w:rsidR="0072410F" w:rsidRDefault="0072410F" w:rsidP="0072410F">
      <w:pPr>
        <w:pStyle w:val="BodyText"/>
        <w:rPr>
          <w:rFonts w:eastAsiaTheme="majorEastAsia" w:cstheme="majorBidi"/>
          <w:color w:val="000000" w:themeColor="text1"/>
          <w:sz w:val="32"/>
          <w:szCs w:val="32"/>
        </w:rPr>
      </w:pPr>
      <w:r>
        <w:br w:type="page"/>
      </w:r>
    </w:p>
    <w:p w14:paraId="53C4CCD9" w14:textId="77777777" w:rsidR="005E677C" w:rsidRDefault="009C10D5">
      <w:pPr>
        <w:pStyle w:val="Heading1"/>
      </w:pPr>
      <w:r>
        <w:lastRenderedPageBreak/>
        <w:t>References</w:t>
      </w:r>
      <w:bookmarkEnd w:id="54"/>
    </w:p>
    <w:p w14:paraId="3FF387B5" w14:textId="77777777" w:rsidR="0072410F" w:rsidRDefault="0072410F">
      <w:pPr>
        <w:pStyle w:val="Bibliography"/>
      </w:pPr>
      <w:bookmarkStart w:id="55" w:name="ref-Bay12"/>
      <w:bookmarkStart w:id="56" w:name="refs"/>
    </w:p>
    <w:p w14:paraId="7CAA13A6" w14:textId="77777777" w:rsidR="005E677C" w:rsidRDefault="009C10D5">
      <w:pPr>
        <w:pStyle w:val="Bibliography"/>
      </w:pPr>
      <w:r>
        <w:t xml:space="preserve">Bay, S.M., Weisberg, S.B., 2012. Framework for interpreting sediment quality triad data. Integrated Environmental Assessment and Management 8, 589–596. </w:t>
      </w:r>
      <w:hyperlink r:id="rId23">
        <w:r>
          <w:rPr>
            <w:rStyle w:val="Hyperlink"/>
          </w:rPr>
          <w:t>https://doi.org/10.1002/ieam.118</w:t>
        </w:r>
      </w:hyperlink>
    </w:p>
    <w:p w14:paraId="23C0D2E6" w14:textId="77777777" w:rsidR="005E677C" w:rsidRDefault="009C10D5">
      <w:pPr>
        <w:pStyle w:val="Bibliography"/>
      </w:pPr>
      <w:bookmarkStart w:id="57" w:name="ref-Beck18f"/>
      <w:bookmarkEnd w:id="55"/>
      <w:r>
        <w:t xml:space="preserve">Beck, M.W., Mazor, R.D., 2018. SCCWRP/SQI: v1.2.0 (Version 1.2.0). Zenodo, </w:t>
      </w:r>
      <w:hyperlink r:id="rId24">
        <w:r>
          <w:rPr>
            <w:rStyle w:val="Hyperlink"/>
          </w:rPr>
          <w:t>http://doi.org/10.5281/zenodo.2587212</w:t>
        </w:r>
      </w:hyperlink>
      <w:r>
        <w:t>.</w:t>
      </w:r>
    </w:p>
    <w:p w14:paraId="37678451" w14:textId="77777777" w:rsidR="005E677C" w:rsidRDefault="009C10D5">
      <w:pPr>
        <w:pStyle w:val="Bibliography"/>
      </w:pPr>
      <w:bookmarkStart w:id="58" w:name="ref-Beck19"/>
      <w:bookmarkEnd w:id="57"/>
      <w:r>
        <w:t xml:space="preserve">Beck, M.W., Mazor, R.D., Theroux, S., Schiff, K.C., 2019. SCCWRP/SQI_Shiny: v1.0.0 (Version 1.0.0). Zenodo, </w:t>
      </w:r>
      <w:hyperlink r:id="rId25">
        <w:r>
          <w:rPr>
            <w:rStyle w:val="Hyperlink"/>
          </w:rPr>
          <w:t>http://doi.org/10.5281/zenodo.2605438</w:t>
        </w:r>
      </w:hyperlink>
      <w:r>
        <w:t>.</w:t>
      </w:r>
    </w:p>
    <w:p w14:paraId="194BEB33" w14:textId="77777777" w:rsidR="005E677C" w:rsidRDefault="009C10D5">
      <w:pPr>
        <w:pStyle w:val="Bibliography"/>
      </w:pPr>
      <w:bookmarkStart w:id="59" w:name="ref-Cao07"/>
      <w:bookmarkEnd w:id="58"/>
      <w:r>
        <w:t xml:space="preserve">Cao, Y., Hawkins, C.P., Olson, J., Kosterman, M.A., 2007. Modeling natural environmental gradients improves the accuracy and precision of diatom-based indicators. Journal of the North American Benthological Society 26, 566–585. </w:t>
      </w:r>
      <w:hyperlink r:id="rId26">
        <w:r>
          <w:rPr>
            <w:rStyle w:val="Hyperlink"/>
          </w:rPr>
          <w:t>https://doi.org/10.1899/06-078.1</w:t>
        </w:r>
      </w:hyperlink>
    </w:p>
    <w:p w14:paraId="108AB9DB" w14:textId="77777777" w:rsidR="005E677C" w:rsidRDefault="009C10D5">
      <w:pPr>
        <w:pStyle w:val="Bibliography"/>
      </w:pPr>
      <w:bookmarkStart w:id="60" w:name="ref-CCME01"/>
      <w:bookmarkEnd w:id="59"/>
      <w:r>
        <w:t>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p w14:paraId="3508AE1F" w14:textId="77777777" w:rsidR="005E677C" w:rsidRDefault="009C10D5">
      <w:pPr>
        <w:pStyle w:val="Bibliography"/>
      </w:pPr>
      <w:bookmarkStart w:id="61" w:name="ref-Chang18"/>
      <w:bookmarkEnd w:id="60"/>
      <w:r>
        <w:t>Chang, W., Cheng, J., Allaire, J., Xie, Y., McPherson, J., 2018. Shiny: Web application framework for r.</w:t>
      </w:r>
    </w:p>
    <w:p w14:paraId="290CB182" w14:textId="77777777" w:rsidR="005E677C" w:rsidRDefault="009C10D5">
      <w:pPr>
        <w:pStyle w:val="Bibliography"/>
      </w:pPr>
      <w:bookmarkStart w:id="62" w:name="ref-Collins07"/>
      <w:bookmarkEnd w:id="61"/>
      <w:r>
        <w:t>Collins, J.N., Stein, E.D., Sutula, M., Clark, R., Fetscher, A.E., Grenier, L., Grosso, C., Wiskind, A., 2007. California Rapid Assessment Method (CRAM) for wetlands, ver.5.0.</w:t>
      </w:r>
    </w:p>
    <w:p w14:paraId="67027E53" w14:textId="77777777" w:rsidR="005E677C" w:rsidRDefault="009C10D5">
      <w:pPr>
        <w:pStyle w:val="Bibliography"/>
      </w:pPr>
      <w:bookmarkStart w:id="63" w:name="ref-Fox11"/>
      <w:bookmarkEnd w:id="62"/>
      <w:r>
        <w:t>Fox, J., Weisberg, S., 2011. An R companion to applied regression. SAGE Publications Inc., Thousand Oaks, California.</w:t>
      </w:r>
    </w:p>
    <w:p w14:paraId="65B51589" w14:textId="77777777" w:rsidR="005E677C" w:rsidRDefault="009C10D5">
      <w:pPr>
        <w:pStyle w:val="Bibliography"/>
      </w:pPr>
      <w:bookmarkStart w:id="64" w:name="ref-Hawkins00b"/>
      <w:bookmarkEnd w:id="63"/>
      <w:r>
        <w:t xml:space="preserve">Hawkins, C.P., Norris, R.H., Hogue, J.N., Feminella, J.W., 2000. Development and evaluation of predictive models for measuring the biological integrity of streams. Ecological Applications 10, 1456–1477. </w:t>
      </w:r>
      <w:hyperlink r:id="rId27">
        <w:r>
          <w:rPr>
            <w:rStyle w:val="Hyperlink"/>
          </w:rPr>
          <w:t>https://doi.org/10.1890/1051-0761(2000)010[1456:DAEOPM]2.0.CO;2</w:t>
        </w:r>
      </w:hyperlink>
    </w:p>
    <w:p w14:paraId="6F080B5F" w14:textId="77777777" w:rsidR="005E677C" w:rsidRDefault="009C10D5">
      <w:pPr>
        <w:pStyle w:val="Bibliography"/>
      </w:pPr>
      <w:bookmarkStart w:id="65" w:name="ref-Hurley12"/>
      <w:bookmarkEnd w:id="64"/>
      <w:r>
        <w:t xml:space="preserve">Hurley, T., Sadiq, R., Mazumder, A., 2012. Adaptation and evaluation of the Canadian Council of Ministers of the Environment Water Quality Index (CCME WQI) for use as an effective tool to characterize drinking source water quality. Water Research 46, 3544–3552. </w:t>
      </w:r>
      <w:hyperlink r:id="rId28">
        <w:r>
          <w:rPr>
            <w:rStyle w:val="Hyperlink"/>
          </w:rPr>
          <w:t>https://doi.org/10.1016/j.watres.2012.03.061</w:t>
        </w:r>
      </w:hyperlink>
    </w:p>
    <w:p w14:paraId="22A93D37" w14:textId="77777777" w:rsidR="005E677C" w:rsidRDefault="009C10D5">
      <w:pPr>
        <w:pStyle w:val="Bibliography"/>
      </w:pPr>
      <w:bookmarkStart w:id="66" w:name="ref-Karr81"/>
      <w:bookmarkEnd w:id="65"/>
      <w:r>
        <w:t>Karr, J.R., 1981. Assessment of biotic integrity using fish communities. Fisheries 6, 21–27.</w:t>
      </w:r>
    </w:p>
    <w:p w14:paraId="519E2AA4" w14:textId="77777777" w:rsidR="005E677C" w:rsidRDefault="009C10D5">
      <w:pPr>
        <w:pStyle w:val="Bibliography"/>
      </w:pPr>
      <w:bookmarkStart w:id="67" w:name="ref-Maddock99"/>
      <w:bookmarkEnd w:id="66"/>
      <w:r>
        <w:t xml:space="preserve">Maddock, I., 1999. The importance of physical habitat assessment for evaluating river health. Freshwater Biology 41, 373–391. </w:t>
      </w:r>
      <w:hyperlink r:id="rId29">
        <w:r>
          <w:rPr>
            <w:rStyle w:val="Hyperlink"/>
          </w:rPr>
          <w:t>https://doi.org/10.1046/j.1365-2427.1999.00437.x</w:t>
        </w:r>
      </w:hyperlink>
    </w:p>
    <w:p w14:paraId="3BD6B03E" w14:textId="77777777" w:rsidR="005E677C" w:rsidRDefault="009C10D5">
      <w:pPr>
        <w:pStyle w:val="Bibliography"/>
      </w:pPr>
      <w:bookmarkStart w:id="68" w:name="ref-Maruya16"/>
      <w:bookmarkEnd w:id="67"/>
      <w:r>
        <w:t xml:space="preserve">Maruya, K.A., Dodder, N.G., Mehinto, A.C., Denslow, N.D., Schlenk, D., Snyder, S.A., Weisberg, S.B., 2016. A tiered, integrated biological and chemical monitoring framework for contaminants of emerging concern in aquatic ecosystems. Environmental Management 12, 540–547. </w:t>
      </w:r>
      <w:hyperlink r:id="rId30">
        <w:r>
          <w:rPr>
            <w:rStyle w:val="Hyperlink"/>
          </w:rPr>
          <w:t>https://doi.org/10.1002/ieam.1702</w:t>
        </w:r>
      </w:hyperlink>
    </w:p>
    <w:p w14:paraId="36340C1F" w14:textId="77777777" w:rsidR="005E677C" w:rsidRDefault="009C10D5">
      <w:pPr>
        <w:pStyle w:val="Bibliography"/>
      </w:pPr>
      <w:bookmarkStart w:id="69" w:name="ref-Mazor15"/>
      <w:bookmarkEnd w:id="68"/>
      <w:r>
        <w:lastRenderedPageBreak/>
        <w:t>Mazor, R.D., 2015. Bioassessment of perennial streams in Southern California: A report on the first five years of the Stormwater Monitoring Coalition’s regional stream survey (No. 844). Southern California Coastal Water Research Project, Costa Mesa, California.</w:t>
      </w:r>
    </w:p>
    <w:p w14:paraId="05C1D3B0" w14:textId="77777777" w:rsidR="005E677C" w:rsidRDefault="009C10D5">
      <w:pPr>
        <w:pStyle w:val="Bibliography"/>
      </w:pPr>
      <w:bookmarkStart w:id="70" w:name="ref-Mazor16"/>
      <w:bookmarkEnd w:id="69"/>
      <w:r>
        <w:t>Mazor, R.D., Rehn, A.C., Ode, P.R., Engeln, M., Schiff, K.C., Stein, E.D., Gillett, D.J., Herbst, D.B., Hawkins, C.P., 2016. Bioassessment in complex environments: Designing an index for consistent meaning in different settings. Freshwater Science 35, 249–271.</w:t>
      </w:r>
    </w:p>
    <w:p w14:paraId="77E2B2EB" w14:textId="77777777" w:rsidR="005E677C" w:rsidRDefault="009C10D5">
      <w:pPr>
        <w:pStyle w:val="Bibliography"/>
      </w:pPr>
      <w:bookmarkStart w:id="71" w:name="ref-Moss87"/>
      <w:bookmarkEnd w:id="70"/>
      <w:r>
        <w:t xml:space="preserve">Moss, D., Furse, M.T., Wright, J.F., Armitage, P.D., 1987. The prediction of the macro-invertebrate fauna of unpolluted running-water sites in Great Britain using environmental data. Freshwater Biology 17, 41–52. </w:t>
      </w:r>
      <w:hyperlink r:id="rId31">
        <w:r>
          <w:rPr>
            <w:rStyle w:val="Hyperlink"/>
          </w:rPr>
          <w:t>https://doi.org/10.1111/j.1365-2427.1987.tb01027.x</w:t>
        </w:r>
      </w:hyperlink>
    </w:p>
    <w:p w14:paraId="4EF6D31D" w14:textId="77777777" w:rsidR="005E677C" w:rsidRDefault="009C10D5">
      <w:pPr>
        <w:pStyle w:val="Bibliography"/>
      </w:pPr>
      <w:bookmarkStart w:id="72" w:name="ref-NRC90"/>
      <w:bookmarkEnd w:id="71"/>
      <w:r>
        <w:t>National Research Council, 1990. Managing troubled waters: The role of marine environmental monitoring. National Academy Press, Washington, DC.</w:t>
      </w:r>
    </w:p>
    <w:p w14:paraId="6E0DCF2E" w14:textId="77777777" w:rsidR="005E677C" w:rsidRDefault="009C10D5">
      <w:pPr>
        <w:pStyle w:val="Bibliography"/>
      </w:pPr>
      <w:bookmarkStart w:id="73" w:name="ref-Ode07"/>
      <w:bookmarkEnd w:id="72"/>
      <w:r>
        <w:t>Ode, P.R., 2007. Standard operating procedures for collecting benthic macroinvertebrate samples and associated physical and chemical data for ambient bioassessment in California.</w:t>
      </w:r>
    </w:p>
    <w:p w14:paraId="22D21B23" w14:textId="77777777" w:rsidR="005E677C" w:rsidRDefault="009C10D5">
      <w:pPr>
        <w:pStyle w:val="Bibliography"/>
      </w:pPr>
      <w:bookmarkStart w:id="74" w:name="ref-Ode16"/>
      <w:bookmarkEnd w:id="73"/>
      <w:r>
        <w:t>Ode, P.R., Rehn, A.C., Mazor, R.D., Schiff, K.C., Stein, E.D., May, J.T., Brown, L.R., Herbst, D.B., Gillett, D., Lunde, K., Hawkins, C.P., 2016. Evaluating the adequacy of a reference-site pool for ecological assessments in environmentally complex regions. Freshwater Science 35, 237–248.</w:t>
      </w:r>
    </w:p>
    <w:p w14:paraId="7167D844" w14:textId="77777777" w:rsidR="005E677C" w:rsidRDefault="009C10D5">
      <w:pPr>
        <w:pStyle w:val="Bibliography"/>
      </w:pPr>
      <w:bookmarkStart w:id="75" w:name="ref-Pan02"/>
      <w:bookmarkEnd w:id="74"/>
      <w:r>
        <w:t xml:space="preserve">Pan, Y., Stevenson, R.J., Hill, B.H., Kaufmann, P.R., Herlihy, A.T., 2002. Spatial patterns and ecological determinants of benthic algal assemblages in mid-Atlantic streams, USA. Journal of Phycology 35, 460–468. </w:t>
      </w:r>
      <w:hyperlink r:id="rId32">
        <w:r>
          <w:rPr>
            <w:rStyle w:val="Hyperlink"/>
          </w:rPr>
          <w:t>https://doi.org/10.1046/j.1529-8817.1999.3530460.x</w:t>
        </w:r>
      </w:hyperlink>
    </w:p>
    <w:p w14:paraId="37E09EA4" w14:textId="77777777" w:rsidR="005E677C" w:rsidRDefault="009C10D5">
      <w:pPr>
        <w:pStyle w:val="Bibliography"/>
      </w:pPr>
      <w:bookmarkStart w:id="76" w:name="ref-Paulsen08"/>
      <w:bookmarkEnd w:id="75"/>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 </w:t>
      </w:r>
      <w:hyperlink r:id="rId33">
        <w:r>
          <w:rPr>
            <w:rStyle w:val="Hyperlink"/>
          </w:rPr>
          <w:t>https://doi.org/10.1899/08-098.1</w:t>
        </w:r>
      </w:hyperlink>
    </w:p>
    <w:p w14:paraId="3F32CFD2" w14:textId="77777777" w:rsidR="005E677C" w:rsidRDefault="009C10D5">
      <w:pPr>
        <w:pStyle w:val="Bibliography"/>
      </w:pPr>
      <w:bookmarkStart w:id="77" w:name="ref-RDCT18"/>
      <w:bookmarkEnd w:id="76"/>
      <w:r>
        <w:t>RDCT (R Development Core Team), 2018. R: A language and environment for statistical computing, v3.5.1. R Foundation for Statistical Computing, Vienna, Austria.</w:t>
      </w:r>
    </w:p>
    <w:p w14:paraId="1B5B87C1" w14:textId="77777777" w:rsidR="005E677C" w:rsidRDefault="009C10D5">
      <w:pPr>
        <w:pStyle w:val="Bibliography"/>
      </w:pPr>
      <w:bookmarkStart w:id="78" w:name="ref-Rehn18"/>
      <w:bookmarkEnd w:id="77"/>
      <w:r>
        <w:t>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p w14:paraId="2173B023" w14:textId="77777777" w:rsidR="005E677C" w:rsidRDefault="009C10D5">
      <w:pPr>
        <w:pStyle w:val="Bibliography"/>
      </w:pPr>
      <w:bookmarkStart w:id="79" w:name="ref-Richards97"/>
      <w:bookmarkEnd w:id="78"/>
      <w:r>
        <w:t xml:space="preserve">Richards, C., Haro, R., Johnson, L., Host, G., 1997. Catchment and reach-scale properties as indicators of macroinvertebrate species traits. Freshwater Biology 37, 219–230. </w:t>
      </w:r>
      <w:hyperlink r:id="rId34">
        <w:r>
          <w:rPr>
            <w:rStyle w:val="Hyperlink"/>
          </w:rPr>
          <w:t>https://doi.org/10.1046/j.1365-2427.1997.d01-540.x</w:t>
        </w:r>
      </w:hyperlink>
    </w:p>
    <w:p w14:paraId="6E38EAF4" w14:textId="77777777" w:rsidR="005E677C" w:rsidRDefault="009C10D5">
      <w:pPr>
        <w:pStyle w:val="Bibliography"/>
      </w:pPr>
      <w:bookmarkStart w:id="80" w:name="ref-Solek11"/>
      <w:bookmarkEnd w:id="79"/>
      <w:r>
        <w:t xml:space="preserve">Solek, C.W., Stein, E.D., Sutula, M., 2011. Demonstration of an integrated watershed assessment using a three-tiered assessment framework. Wetlands Ecology and Management 19, 459–474. </w:t>
      </w:r>
      <w:hyperlink r:id="rId35">
        <w:r>
          <w:rPr>
            <w:rStyle w:val="Hyperlink"/>
          </w:rPr>
          <w:t>https://doi.org/10.1007/s11273-011-9230-6</w:t>
        </w:r>
      </w:hyperlink>
    </w:p>
    <w:p w14:paraId="189A9458" w14:textId="77777777" w:rsidR="005E677C" w:rsidRDefault="009C10D5">
      <w:pPr>
        <w:pStyle w:val="Bibliography"/>
      </w:pPr>
      <w:bookmarkStart w:id="81" w:name="ref-Stoddard06"/>
      <w:bookmarkEnd w:id="80"/>
      <w:r>
        <w:lastRenderedPageBreak/>
        <w:t xml:space="preserve">Stoddard, J.L., Larsen, D.P., Hawkins, C.P., Johnson, R.K., Norris, R.H., 2006. Setting expectations for the ecological condition of streams: The concept of reference condition. Ecological Applications 16, 1267–1276. </w:t>
      </w:r>
      <w:hyperlink r:id="rId36">
        <w:r>
          <w:rPr>
            <w:rStyle w:val="Hyperlink"/>
          </w:rPr>
          <w:t>https://doi.org/10.1890/1051-0761(2006)016[1267:SEFTEC]2.0.CO;2</w:t>
        </w:r>
      </w:hyperlink>
    </w:p>
    <w:p w14:paraId="7D39B7A0" w14:textId="77777777" w:rsidR="005E677C" w:rsidRDefault="009C10D5">
      <w:pPr>
        <w:pStyle w:val="Bibliography"/>
      </w:pPr>
      <w:bookmarkStart w:id="82" w:name="ref-Therouxip"/>
      <w:bookmarkEnd w:id="81"/>
      <w:r>
        <w:t xml:space="preserve">Theroux, S., Mazor, R.D., Beck, M.W., Ode, P., Sutula, M., Stein, E.D., </w:t>
      </w:r>
      <w:r w:rsidR="0072410F">
        <w:t>in prep</w:t>
      </w:r>
      <w:r>
        <w:t xml:space="preserve">. A non-predictive algal index for complex environments. </w:t>
      </w:r>
      <w:r w:rsidR="0072410F">
        <w:t xml:space="preserve">To be submitted to </w:t>
      </w:r>
      <w:r>
        <w:t>Ecological Indicators.</w:t>
      </w:r>
    </w:p>
    <w:p w14:paraId="2A467627" w14:textId="77777777" w:rsidR="005E677C" w:rsidRDefault="009C10D5">
      <w:pPr>
        <w:pStyle w:val="Bibliography"/>
      </w:pPr>
      <w:bookmarkStart w:id="83" w:name="ref-USEPA16"/>
      <w:bookmarkEnd w:id="82"/>
      <w:r>
        <w:t>USEPA (US Environmental Protection Agency), 2016. National rivers and streams assessment 2008-2009: A collaborative survey (No. EPA-841-R-16-007). Washington, DC.</w:t>
      </w:r>
    </w:p>
    <w:p w14:paraId="6C2F87EA" w14:textId="77777777" w:rsidR="005E677C" w:rsidRDefault="009C10D5">
      <w:pPr>
        <w:pStyle w:val="Bibliography"/>
      </w:pPr>
      <w:bookmarkStart w:id="84" w:name="ref-Wang07"/>
      <w:bookmarkEnd w:id="83"/>
      <w:r>
        <w:t xml:space="preserve">Wang, L.Z., Robertson, D.M., Garrison, P.J., 2007. Linkages between nutrients and assemblages of macroinvertebrates and fish in wadeable streams: Implication to nutrient criteria development. Environmental Management 39, 194–212. </w:t>
      </w:r>
      <w:hyperlink r:id="rId37">
        <w:r>
          <w:rPr>
            <w:rStyle w:val="Hyperlink"/>
          </w:rPr>
          <w:t>https://doi.org/10.1007/s00267-006-0135-8</w:t>
        </w:r>
      </w:hyperlink>
      <w:bookmarkEnd w:id="56"/>
      <w:bookmarkEnd w:id="84"/>
    </w:p>
    <w:sectPr w:rsidR="005E677C" w:rsidSect="00915221">
      <w:footerReference w:type="default" r:id="rId3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atherine Pease" w:date="2019-04-12T09:17:00Z" w:initials="KP">
    <w:p w14:paraId="5849558A" w14:textId="7792E5EE" w:rsidR="007F633F" w:rsidRDefault="007F633F">
      <w:pPr>
        <w:pStyle w:val="CommentText"/>
      </w:pPr>
      <w:r>
        <w:rPr>
          <w:rStyle w:val="CommentReference"/>
        </w:rPr>
        <w:annotationRef/>
      </w:r>
      <w:r>
        <w:t xml:space="preserve">I forgot to bring this up in the meeting and I think I asked it before but I </w:t>
      </w:r>
      <w:r w:rsidR="00303751">
        <w:t>wonder if you could comment on whether there are any issues of circularity here – in that you are predicting biological condition but also measuring it and both are in the index. Is that double counting</w:t>
      </w:r>
      <w:r w:rsidR="006B75F8">
        <w:t>? Might be good to explain this a little or justify later in the text (obviously not in the abstract)</w:t>
      </w:r>
    </w:p>
  </w:comment>
  <w:comment w:id="3" w:author="Katherine Pease" w:date="2019-04-12T09:34:00Z" w:initials="KP">
    <w:p w14:paraId="343E6CB9" w14:textId="3F8CFDBF" w:rsidR="00423D42" w:rsidRDefault="00423D42" w:rsidP="00C04CF5">
      <w:pPr>
        <w:pStyle w:val="CommentText"/>
        <w:ind w:left="720" w:hanging="720"/>
      </w:pPr>
      <w:r>
        <w:rPr>
          <w:rStyle w:val="CommentReference"/>
        </w:rPr>
        <w:annotationRef/>
      </w:r>
      <w:r>
        <w:t>Might be good to explain what physical habitat entails</w:t>
      </w:r>
      <w:r w:rsidR="00C04CF5">
        <w:t xml:space="preserve"> – I think it assesses more than just </w:t>
      </w:r>
      <w:proofErr w:type="spellStart"/>
      <w:r w:rsidR="00C04CF5">
        <w:t>env</w:t>
      </w:r>
      <w:proofErr w:type="spellEnd"/>
      <w:r w:rsidR="00C04CF5">
        <w:t xml:space="preserve"> niches – such as CRAM assesses hydrology and landscape context</w:t>
      </w:r>
    </w:p>
  </w:comment>
  <w:comment w:id="5" w:author="Katherine Pease" w:date="2019-04-12T09:48:00Z" w:initials="KP">
    <w:p w14:paraId="0537EBE7" w14:textId="2216E03C" w:rsidR="00C76BCC" w:rsidRDefault="00C76BCC">
      <w:pPr>
        <w:pStyle w:val="CommentText"/>
      </w:pPr>
      <w:r>
        <w:rPr>
          <w:rStyle w:val="CommentReference"/>
        </w:rPr>
        <w:annotationRef/>
      </w:r>
      <w:r>
        <w:t xml:space="preserve">I am curious on your thoughts on how </w:t>
      </w:r>
      <w:r w:rsidR="001D4E9C">
        <w:t xml:space="preserve">adding the chemical and physical adds to what we know from biology – I think it addresses potential explanatory factors for sure but I would be interested in seeing what the correlation is between just biology scores and the overall SQI scores – how much more info do the physical and chemical parameters get you? </w:t>
      </w:r>
    </w:p>
  </w:comment>
  <w:comment w:id="8" w:author="Katherine Pease" w:date="2019-04-12T10:08:00Z" w:initials="KP">
    <w:p w14:paraId="294235D7" w14:textId="26DB8F23" w:rsidR="00F87D92" w:rsidRDefault="00F87D92">
      <w:pPr>
        <w:pStyle w:val="CommentText"/>
      </w:pPr>
      <w:r>
        <w:rPr>
          <w:rStyle w:val="CommentReference"/>
        </w:rPr>
        <w:annotationRef/>
      </w:r>
      <w:r>
        <w:t>You need more justification here for the parameters chosen and their relationships with biology – provide references. And I think it would be good to comment on other parameters that we know are associated with biological condition but weren’t chosen and why (such as metals and toxicity)</w:t>
      </w:r>
      <w:r w:rsidR="00117507">
        <w:t xml:space="preserve"> – OK I see you do this in the next paragraphs now but I think you could still bolster the justification here and in later paragraphs</w:t>
      </w:r>
    </w:p>
  </w:comment>
  <w:comment w:id="9" w:author="Katherine Pease" w:date="2019-04-12T10:11:00Z" w:initials="KP">
    <w:p w14:paraId="097168A3" w14:textId="775AD3B3" w:rsidR="0064745F" w:rsidRDefault="0064745F">
      <w:pPr>
        <w:pStyle w:val="CommentText"/>
      </w:pPr>
      <w:r>
        <w:rPr>
          <w:rStyle w:val="CommentReference"/>
        </w:rPr>
        <w:annotationRef/>
      </w:r>
      <w:r>
        <w:t xml:space="preserve">Also would be good to provide some more info on these parameters and their relationship to biological condition </w:t>
      </w:r>
    </w:p>
  </w:comment>
  <w:comment w:id="12" w:author="Katherine Pease" w:date="2019-04-12T10:12:00Z" w:initials="KP">
    <w:p w14:paraId="544B0064" w14:textId="754256CE" w:rsidR="00723C08" w:rsidRDefault="00723C08">
      <w:pPr>
        <w:pStyle w:val="CommentText"/>
      </w:pPr>
      <w:r>
        <w:rPr>
          <w:rStyle w:val="CommentReference"/>
        </w:rPr>
        <w:annotationRef/>
      </w:r>
      <w:r>
        <w:t xml:space="preserve">Make clear that these are from the whole state </w:t>
      </w:r>
    </w:p>
  </w:comment>
  <w:comment w:id="14" w:author="Katherine Pease" w:date="2019-04-12T10:16:00Z" w:initials="KP">
    <w:p w14:paraId="62F51E01" w14:textId="101BC80C" w:rsidR="005223C0" w:rsidRDefault="005223C0">
      <w:pPr>
        <w:pStyle w:val="CommentText"/>
      </w:pPr>
      <w:r>
        <w:rPr>
          <w:rStyle w:val="CommentReference"/>
        </w:rPr>
        <w:annotationRef/>
      </w:r>
      <w:r>
        <w:t xml:space="preserve">Maybe project team and technical advisory committee is more appropriate here? </w:t>
      </w:r>
    </w:p>
  </w:comment>
  <w:comment w:id="17" w:author="Katherine Pease" w:date="2019-04-12T10:18:00Z" w:initials="KP">
    <w:p w14:paraId="197E7E8D" w14:textId="44A88CEE" w:rsidR="00117507" w:rsidRDefault="00117507">
      <w:pPr>
        <w:pStyle w:val="CommentText"/>
      </w:pPr>
      <w:r>
        <w:rPr>
          <w:rStyle w:val="CommentReference"/>
        </w:rPr>
        <w:annotationRef/>
      </w:r>
      <w:r>
        <w:t xml:space="preserve">Not sure what you mean by conceptual here. I hope the relationships are not just conceptual but are based on field &amp; lab studies etc. </w:t>
      </w:r>
    </w:p>
  </w:comment>
  <w:comment w:id="18" w:author="Katherine Pease" w:date="2019-04-12T10:21:00Z" w:initials="KP">
    <w:p w14:paraId="4F09E991" w14:textId="27D85BA6" w:rsidR="00117507" w:rsidRDefault="00117507">
      <w:pPr>
        <w:pStyle w:val="CommentText"/>
      </w:pPr>
      <w:r>
        <w:rPr>
          <w:rStyle w:val="CommentReference"/>
        </w:rPr>
        <w:annotationRef/>
      </w:r>
      <w:r>
        <w:t xml:space="preserve">Provide more justification for this – and I would separate these out – which parameters specifically are surrogates and for which other parameters? </w:t>
      </w:r>
    </w:p>
  </w:comment>
  <w:comment w:id="19" w:author="Katherine Pease" w:date="2019-04-12T10:23:00Z" w:initials="KP">
    <w:p w14:paraId="2699FBCD" w14:textId="5A5AEDA8" w:rsidR="00117507" w:rsidRDefault="00117507">
      <w:pPr>
        <w:pStyle w:val="CommentText"/>
      </w:pPr>
      <w:r>
        <w:rPr>
          <w:rStyle w:val="CommentReference"/>
        </w:rPr>
        <w:annotationRef/>
      </w:r>
      <w:r>
        <w:t xml:space="preserve">So, if these are proxies, we need to be careful about interpretation later and not assume that nutrients are the cause of a low SQI but they could also be a proxy for X, Y, Z – if these are spelled out clearer here that could help managers later too </w:t>
      </w:r>
    </w:p>
  </w:comment>
  <w:comment w:id="20" w:author="Katherine Pease" w:date="2019-04-12T10:24:00Z" w:initials="KP">
    <w:p w14:paraId="1DBE6950" w14:textId="073D4425" w:rsidR="003959D7" w:rsidRDefault="003959D7">
      <w:pPr>
        <w:pStyle w:val="CommentText"/>
      </w:pPr>
      <w:r>
        <w:rPr>
          <w:rStyle w:val="CommentReference"/>
        </w:rPr>
        <w:annotationRef/>
      </w:r>
      <w:r>
        <w:t xml:space="preserve">What are implications of this? Please explain </w:t>
      </w:r>
    </w:p>
  </w:comment>
  <w:comment w:id="21" w:author="Katherine Pease" w:date="2019-04-12T10:25:00Z" w:initials="KP">
    <w:p w14:paraId="1EE526DE" w14:textId="0407BD71" w:rsidR="00270FE8" w:rsidRDefault="00270FE8">
      <w:pPr>
        <w:pStyle w:val="CommentText"/>
      </w:pPr>
      <w:r>
        <w:rPr>
          <w:rStyle w:val="CommentReference"/>
        </w:rPr>
        <w:annotationRef/>
      </w:r>
      <w:r>
        <w:t xml:space="preserve">Again, clarify that this is using statewide reference data </w:t>
      </w:r>
    </w:p>
  </w:comment>
  <w:comment w:id="23" w:author="Katherine Pease" w:date="2019-04-12T10:33:00Z" w:initials="KP">
    <w:p w14:paraId="2F0036BC" w14:textId="253E1022" w:rsidR="00FC7023" w:rsidRDefault="00FC7023">
      <w:pPr>
        <w:pStyle w:val="CommentText"/>
      </w:pPr>
      <w:r>
        <w:rPr>
          <w:rStyle w:val="CommentReference"/>
        </w:rPr>
        <w:annotationRef/>
      </w:r>
      <w:r>
        <w:t xml:space="preserve">I still think it would be interesting to compare these to regulatory thresholds – can you do that? </w:t>
      </w:r>
    </w:p>
  </w:comment>
  <w:comment w:id="24" w:author="Katherine Pease" w:date="2019-04-12T10:35:00Z" w:initials="KP">
    <w:p w14:paraId="6629616B" w14:textId="27205574" w:rsidR="009A4249" w:rsidRDefault="009A4249">
      <w:pPr>
        <w:pStyle w:val="CommentText"/>
      </w:pPr>
      <w:r>
        <w:rPr>
          <w:rStyle w:val="CommentReference"/>
        </w:rPr>
        <w:annotationRef/>
      </w:r>
      <w:r>
        <w:t xml:space="preserve">Now specific that this is just for SoCal data </w:t>
      </w:r>
    </w:p>
  </w:comment>
  <w:comment w:id="26" w:author="Katherine Pease" w:date="2019-04-12T10:37:00Z" w:initials="KP">
    <w:p w14:paraId="675285DE" w14:textId="14E447E6" w:rsidR="00930A86" w:rsidRDefault="00930A86">
      <w:pPr>
        <w:pStyle w:val="CommentText"/>
      </w:pPr>
      <w:r>
        <w:rPr>
          <w:rStyle w:val="CommentReference"/>
        </w:rPr>
        <w:annotationRef/>
      </w:r>
      <w:r>
        <w:t xml:space="preserve">Add in justification and reasoning for this. And make clear that if you are trying to get a certain distribution of categories (explain this and what the goal is), this is very dependent on the region and to get a similar distribution in a different region or statewide, the threshold would potentially (likely) be much lower. </w:t>
      </w:r>
      <w:r w:rsidR="00406CD6">
        <w:t xml:space="preserve">I would like to see the results in different regions and statewide – depending on those graphs, I might advocate for a lower threshold to be more universal and similar to other metrics that are being used </w:t>
      </w:r>
    </w:p>
  </w:comment>
  <w:comment w:id="29" w:author="Katherine Pease" w:date="2019-04-12T10:56:00Z" w:initials="KP">
    <w:p w14:paraId="73D2D92D" w14:textId="0A10316B" w:rsidR="00E72A94" w:rsidRDefault="00E72A94">
      <w:pPr>
        <w:pStyle w:val="CommentText"/>
      </w:pPr>
      <w:r>
        <w:rPr>
          <w:rStyle w:val="CommentReference"/>
        </w:rPr>
        <w:annotationRef/>
      </w:r>
      <w:r>
        <w:t xml:space="preserve">Can you comment on whether these models will need to be calibrated every year to assess precision and sensitivity? I would assume so but please explain or add this </w:t>
      </w:r>
    </w:p>
  </w:comment>
  <w:comment w:id="33" w:author="Katherine Pease" w:date="2019-04-12T11:41:00Z" w:initials="KP">
    <w:p w14:paraId="01F7EB27" w14:textId="311527D0" w:rsidR="008953A6" w:rsidRDefault="008953A6">
      <w:pPr>
        <w:pStyle w:val="CommentText"/>
      </w:pPr>
      <w:r>
        <w:rPr>
          <w:rStyle w:val="CommentReference"/>
        </w:rPr>
        <w:annotationRef/>
      </w:r>
      <w:r>
        <w:t xml:space="preserve">Might be good to add these to the maps if you are discussing them </w:t>
      </w:r>
    </w:p>
  </w:comment>
  <w:comment w:id="35" w:author="Katherine Pease" w:date="2019-04-12T11:46:00Z" w:initials="KP">
    <w:p w14:paraId="24AA7A87" w14:textId="1B94F971" w:rsidR="000D3D50" w:rsidRDefault="000D3D50">
      <w:pPr>
        <w:pStyle w:val="CommentText"/>
      </w:pPr>
      <w:r>
        <w:rPr>
          <w:rStyle w:val="CommentReference"/>
        </w:rPr>
        <w:annotationRef/>
      </w:r>
      <w:r>
        <w:t xml:space="preserve">Can you be more descriptive here? I think either in the Figure caption or text it would be useful to describe how these graphs show model precision? I think I am looking at how well the calibration and validation data match up but also how distinct the healthy vs impacted are? I think walking the reader through the figures in a bit more detail would be very helpful </w:t>
      </w:r>
    </w:p>
  </w:comment>
  <w:comment w:id="37" w:author="Katherine Pease" w:date="2019-04-12T11:54:00Z" w:initials="KP">
    <w:p w14:paraId="16A6E349" w14:textId="04EC6E80" w:rsidR="005D1376" w:rsidRDefault="005D1376">
      <w:pPr>
        <w:pStyle w:val="CommentText"/>
      </w:pPr>
      <w:r>
        <w:rPr>
          <w:rStyle w:val="CommentReference"/>
        </w:rPr>
        <w:annotationRef/>
      </w:r>
      <w:r>
        <w:t xml:space="preserve">I found this Figure confusing and think that it might be worth separating it into 2 figures and clarifying the figure legend a bit </w:t>
      </w:r>
    </w:p>
  </w:comment>
  <w:comment w:id="39" w:author="Katherine Pease" w:date="2019-04-12T11:59:00Z" w:initials="KP">
    <w:p w14:paraId="56ECC6DE" w14:textId="7ECE680D" w:rsidR="000F1559" w:rsidRDefault="000F1559">
      <w:pPr>
        <w:pStyle w:val="CommentText"/>
      </w:pPr>
      <w:r>
        <w:rPr>
          <w:rStyle w:val="CommentReference"/>
        </w:rPr>
        <w:annotationRef/>
      </w:r>
      <w:r>
        <w:t xml:space="preserve">I just want to make sure that we are being careful not to write off certain sites as well – maybe you can add in that this is not the intention or how the tool should be used? That might be getting a little outside of the purview of the paper but I worry that this tool could be used for that </w:t>
      </w:r>
      <w:proofErr w:type="spellStart"/>
      <w:r>
        <w:t>prupose</w:t>
      </w:r>
      <w:proofErr w:type="spellEnd"/>
      <w:r>
        <w:t xml:space="preserve"> </w:t>
      </w:r>
    </w:p>
  </w:comment>
  <w:comment w:id="40" w:author="Katherine Pease" w:date="2019-04-12T12:02:00Z" w:initials="KP">
    <w:p w14:paraId="4545F551" w14:textId="2F6440B0" w:rsidR="008C1873" w:rsidRDefault="008C1873">
      <w:pPr>
        <w:pStyle w:val="CommentText"/>
      </w:pPr>
      <w:r>
        <w:rPr>
          <w:rStyle w:val="CommentReference"/>
        </w:rPr>
        <w:annotationRef/>
      </w:r>
      <w:r>
        <w:t xml:space="preserve">Maybe temper this or mention that these also serve as proxies (see previous comments) so other parameters may need to be looked at too – like temp for instance </w:t>
      </w:r>
    </w:p>
  </w:comment>
  <w:comment w:id="41" w:author="Katherine Pease" w:date="2019-04-12T12:04:00Z" w:initials="KP">
    <w:p w14:paraId="662A91E4" w14:textId="0DD305B2" w:rsidR="00A62ACF" w:rsidRDefault="00A62ACF">
      <w:pPr>
        <w:pStyle w:val="CommentText"/>
      </w:pPr>
      <w:r>
        <w:rPr>
          <w:rStyle w:val="CommentReference"/>
        </w:rPr>
        <w:annotationRef/>
      </w:r>
      <w:r>
        <w:t>Would be good to comment on having the calculator be able to give components of a score if some data are missing</w:t>
      </w:r>
    </w:p>
  </w:comment>
  <w:comment w:id="42" w:author="Katherine Pease" w:date="2019-04-12T12:04:00Z" w:initials="KP">
    <w:p w14:paraId="4D70AAF3" w14:textId="7CBF9C55" w:rsidR="00A62ACF" w:rsidRDefault="00A62ACF">
      <w:pPr>
        <w:pStyle w:val="CommentText"/>
      </w:pPr>
      <w:r>
        <w:rPr>
          <w:rStyle w:val="CommentReference"/>
        </w:rPr>
        <w:annotationRef/>
      </w:r>
      <w:r>
        <w:t xml:space="preserve">Again, comment on whether the model needs to be recalibrated every season anyway with new data to assess precision and sensitivity </w:t>
      </w:r>
    </w:p>
  </w:comment>
  <w:comment w:id="49" w:author="Katherine Pease" w:date="2019-04-12T11:57:00Z" w:initials="KP">
    <w:p w14:paraId="7616728F" w14:textId="65C52528" w:rsidR="00F91C7F" w:rsidRDefault="00F91C7F">
      <w:pPr>
        <w:pStyle w:val="CommentText"/>
      </w:pPr>
      <w:r>
        <w:rPr>
          <w:rStyle w:val="CommentReference"/>
        </w:rPr>
        <w:annotationRef/>
      </w:r>
      <w:r>
        <w:t xml:space="preserve">It might be interesting to put in some regulatory thresholds </w:t>
      </w:r>
      <w:r w:rsidR="0047344F">
        <w:t xml:space="preserve">to the water </w:t>
      </w:r>
      <w:proofErr w:type="spellStart"/>
      <w:r w:rsidR="0047344F">
        <w:t>chem</w:t>
      </w:r>
      <w:proofErr w:type="spellEnd"/>
      <w:r w:rsidR="0047344F">
        <w:t xml:space="preserve"> graphs</w:t>
      </w:r>
      <w:r>
        <w:t xml:space="preserve"> to see how they relate to likelihood of alteration </w:t>
      </w:r>
    </w:p>
  </w:comment>
  <w:comment w:id="50" w:author="Katherine Pease" w:date="2019-04-12T11:51:00Z" w:initials="KP">
    <w:p w14:paraId="7D943F08" w14:textId="3C25F356" w:rsidR="00FE0043" w:rsidRDefault="00FE0043">
      <w:pPr>
        <w:pStyle w:val="CommentText"/>
      </w:pPr>
      <w:r>
        <w:rPr>
          <w:rStyle w:val="CommentReference"/>
        </w:rPr>
        <w:annotationRef/>
      </w:r>
      <w:r>
        <w:t xml:space="preserve">I think this is reversed? </w:t>
      </w:r>
    </w:p>
  </w:comment>
  <w:comment w:id="52" w:author="Katherine Pease" w:date="2019-04-12T11:52:00Z" w:initials="KP">
    <w:p w14:paraId="36D6F4CC" w14:textId="6115DCC9" w:rsidR="00FE0043" w:rsidRDefault="00FE0043">
      <w:pPr>
        <w:pStyle w:val="CommentText"/>
      </w:pPr>
      <w:r>
        <w:rPr>
          <w:rStyle w:val="CommentReference"/>
        </w:rPr>
        <w:annotationRef/>
      </w:r>
      <w:r>
        <w:t>Should be 1</w:t>
      </w:r>
    </w:p>
  </w:comment>
  <w:comment w:id="53" w:author="Katherine Pease" w:date="2019-04-12T11:52:00Z" w:initials="KP">
    <w:p w14:paraId="1BCED01F" w14:textId="03D5A992" w:rsidR="00FE0043" w:rsidRDefault="00FE0043">
      <w:pPr>
        <w:pStyle w:val="CommentText"/>
      </w:pPr>
      <w:r>
        <w:rPr>
          <w:rStyle w:val="CommentReference"/>
        </w:rPr>
        <w:annotationRef/>
      </w:r>
      <w:r>
        <w:t>Should be 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49558A" w15:done="0"/>
  <w15:commentEx w15:paraId="343E6CB9" w15:done="0"/>
  <w15:commentEx w15:paraId="0537EBE7" w15:done="0"/>
  <w15:commentEx w15:paraId="294235D7" w15:done="0"/>
  <w15:commentEx w15:paraId="097168A3" w15:done="0"/>
  <w15:commentEx w15:paraId="544B0064" w15:done="0"/>
  <w15:commentEx w15:paraId="62F51E01" w15:done="0"/>
  <w15:commentEx w15:paraId="197E7E8D" w15:done="0"/>
  <w15:commentEx w15:paraId="4F09E991" w15:done="0"/>
  <w15:commentEx w15:paraId="2699FBCD" w15:done="0"/>
  <w15:commentEx w15:paraId="1DBE6950" w15:done="0"/>
  <w15:commentEx w15:paraId="1EE526DE" w15:done="0"/>
  <w15:commentEx w15:paraId="2F0036BC" w15:done="0"/>
  <w15:commentEx w15:paraId="6629616B" w15:done="0"/>
  <w15:commentEx w15:paraId="675285DE" w15:done="0"/>
  <w15:commentEx w15:paraId="73D2D92D" w15:done="0"/>
  <w15:commentEx w15:paraId="01F7EB27" w15:done="0"/>
  <w15:commentEx w15:paraId="24AA7A87" w15:done="0"/>
  <w15:commentEx w15:paraId="16A6E349" w15:done="0"/>
  <w15:commentEx w15:paraId="56ECC6DE" w15:done="0"/>
  <w15:commentEx w15:paraId="4545F551" w15:done="0"/>
  <w15:commentEx w15:paraId="662A91E4" w15:done="0"/>
  <w15:commentEx w15:paraId="4D70AAF3" w15:done="0"/>
  <w15:commentEx w15:paraId="7616728F" w15:done="0"/>
  <w15:commentEx w15:paraId="7D943F08" w15:done="0"/>
  <w15:commentEx w15:paraId="36D6F4CC" w15:done="0"/>
  <w15:commentEx w15:paraId="1BCED0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14965" w14:textId="77777777" w:rsidR="00E5647D" w:rsidRDefault="00E5647D">
      <w:pPr>
        <w:spacing w:after="0"/>
      </w:pPr>
      <w:r>
        <w:separator/>
      </w:r>
    </w:p>
  </w:endnote>
  <w:endnote w:type="continuationSeparator" w:id="0">
    <w:p w14:paraId="32EC40A7" w14:textId="77777777" w:rsidR="00E5647D" w:rsidRDefault="00E564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962650"/>
      <w:docPartObj>
        <w:docPartGallery w:val="Page Numbers (Bottom of Page)"/>
        <w:docPartUnique/>
      </w:docPartObj>
    </w:sdtPr>
    <w:sdtEndPr>
      <w:rPr>
        <w:noProof/>
      </w:rPr>
    </w:sdtEndPr>
    <w:sdtContent>
      <w:p w14:paraId="48FCFE5D" w14:textId="77777777" w:rsidR="00915221" w:rsidRDefault="00915221">
        <w:pPr>
          <w:pStyle w:val="Footer"/>
          <w:jc w:val="right"/>
        </w:pPr>
        <w:r>
          <w:fldChar w:fldCharType="begin"/>
        </w:r>
        <w:r>
          <w:instrText xml:space="preserve"> PAGE   \* MERGEFORMAT </w:instrText>
        </w:r>
        <w:r>
          <w:fldChar w:fldCharType="separate"/>
        </w:r>
        <w:r w:rsidR="00A62ACF">
          <w:rPr>
            <w:noProof/>
          </w:rPr>
          <w:t>12</w:t>
        </w:r>
        <w:r>
          <w:rPr>
            <w:noProof/>
          </w:rPr>
          <w:fldChar w:fldCharType="end"/>
        </w:r>
      </w:p>
    </w:sdtContent>
  </w:sdt>
  <w:p w14:paraId="2CB7134C" w14:textId="77777777" w:rsidR="00915221" w:rsidRDefault="009152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AFA6E" w14:textId="77777777" w:rsidR="00E5647D" w:rsidRDefault="00E5647D">
      <w:r>
        <w:separator/>
      </w:r>
    </w:p>
  </w:footnote>
  <w:footnote w:type="continuationSeparator" w:id="0">
    <w:p w14:paraId="026075ED" w14:textId="77777777" w:rsidR="00E5647D" w:rsidRDefault="00E564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7FC4F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erine Pease">
    <w15:presenceInfo w15:providerId="AD" w15:userId="S-1-5-21-3595363645-3466686972-1720440610-12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3D50"/>
    <w:rsid w:val="000F1559"/>
    <w:rsid w:val="00107FB7"/>
    <w:rsid w:val="00117507"/>
    <w:rsid w:val="00123A91"/>
    <w:rsid w:val="001D4E9C"/>
    <w:rsid w:val="00270FE8"/>
    <w:rsid w:val="002E7CD2"/>
    <w:rsid w:val="00303751"/>
    <w:rsid w:val="003959D7"/>
    <w:rsid w:val="00406CD6"/>
    <w:rsid w:val="00423D42"/>
    <w:rsid w:val="0047344F"/>
    <w:rsid w:val="004E29B3"/>
    <w:rsid w:val="005223C0"/>
    <w:rsid w:val="00590D07"/>
    <w:rsid w:val="005D1376"/>
    <w:rsid w:val="005E677C"/>
    <w:rsid w:val="006067F5"/>
    <w:rsid w:val="0064745F"/>
    <w:rsid w:val="006B75F8"/>
    <w:rsid w:val="006C60FC"/>
    <w:rsid w:val="00723C08"/>
    <w:rsid w:val="0072410F"/>
    <w:rsid w:val="00784D58"/>
    <w:rsid w:val="007F633F"/>
    <w:rsid w:val="008953A6"/>
    <w:rsid w:val="008C1873"/>
    <w:rsid w:val="008D6863"/>
    <w:rsid w:val="00915221"/>
    <w:rsid w:val="00923694"/>
    <w:rsid w:val="00930A86"/>
    <w:rsid w:val="009A4249"/>
    <w:rsid w:val="009C10D5"/>
    <w:rsid w:val="00A62ACF"/>
    <w:rsid w:val="00A862C2"/>
    <w:rsid w:val="00B86B75"/>
    <w:rsid w:val="00B90619"/>
    <w:rsid w:val="00BC48D5"/>
    <w:rsid w:val="00C01B5A"/>
    <w:rsid w:val="00C04CF5"/>
    <w:rsid w:val="00C36279"/>
    <w:rsid w:val="00C76BCC"/>
    <w:rsid w:val="00DE3E28"/>
    <w:rsid w:val="00E315A3"/>
    <w:rsid w:val="00E5647D"/>
    <w:rsid w:val="00E72A94"/>
    <w:rsid w:val="00F87D92"/>
    <w:rsid w:val="00F91C7F"/>
    <w:rsid w:val="00F97D66"/>
    <w:rsid w:val="00FC7023"/>
    <w:rsid w:val="00FE00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A97A"/>
  <w15:docId w15:val="{B5AF21B0-4CEA-4826-8C60-CD9D05BF8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72410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2410F"/>
    <w:rPr>
      <w:rFonts w:ascii="Segoe UI" w:hAnsi="Segoe UI" w:cs="Segoe UI"/>
      <w:sz w:val="18"/>
      <w:szCs w:val="18"/>
    </w:rPr>
  </w:style>
  <w:style w:type="character" w:styleId="CommentReference">
    <w:name w:val="annotation reference"/>
    <w:basedOn w:val="DefaultParagraphFont"/>
    <w:semiHidden/>
    <w:unhideWhenUsed/>
    <w:rsid w:val="007F633F"/>
    <w:rPr>
      <w:sz w:val="16"/>
      <w:szCs w:val="16"/>
    </w:rPr>
  </w:style>
  <w:style w:type="paragraph" w:styleId="CommentText">
    <w:name w:val="annotation text"/>
    <w:basedOn w:val="Normal"/>
    <w:link w:val="CommentTextChar"/>
    <w:semiHidden/>
    <w:unhideWhenUsed/>
    <w:rsid w:val="007F633F"/>
    <w:rPr>
      <w:sz w:val="20"/>
      <w:szCs w:val="20"/>
    </w:rPr>
  </w:style>
  <w:style w:type="character" w:customStyle="1" w:styleId="CommentTextChar">
    <w:name w:val="Comment Text Char"/>
    <w:basedOn w:val="DefaultParagraphFont"/>
    <w:link w:val="CommentText"/>
    <w:semiHidden/>
    <w:rsid w:val="007F633F"/>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7F633F"/>
    <w:rPr>
      <w:b/>
      <w:bCs/>
    </w:rPr>
  </w:style>
  <w:style w:type="character" w:customStyle="1" w:styleId="CommentSubjectChar">
    <w:name w:val="Comment Subject Char"/>
    <w:basedOn w:val="CommentTextChar"/>
    <w:link w:val="CommentSubject"/>
    <w:semiHidden/>
    <w:rsid w:val="007F633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phaelm@sccwrp.org" TargetMode="External"/><Relationship Id="rId13" Type="http://schemas.openxmlformats.org/officeDocument/2006/relationships/hyperlink" Target="https://sccwrp.shinyapps.io/sqi_shiny" TargetMode="External"/><Relationship Id="rId18" Type="http://schemas.openxmlformats.org/officeDocument/2006/relationships/image" Target="media/image3.png"/><Relationship Id="rId26" Type="http://schemas.openxmlformats.org/officeDocument/2006/relationships/hyperlink" Target="https://doi.org/10.1899/06-078.1"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doi.org/10.1046/j.1365-2427.1997.d01-540.x" TargetMode="External"/><Relationship Id="rId7" Type="http://schemas.openxmlformats.org/officeDocument/2006/relationships/hyperlink" Target="mailto:marcusb@sccwrp.org" TargetMode="Externa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hyperlink" Target="http://doi.org/10.5281/zenodo.2605438" TargetMode="External"/><Relationship Id="rId33" Type="http://schemas.openxmlformats.org/officeDocument/2006/relationships/hyperlink" Target="https://doi.org/10.1899/08-098.1"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i.org/10.1046/j.1365-2427.1999.00437.x"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doi.org/10.5281/zenodo.2587212" TargetMode="External"/><Relationship Id="rId32" Type="http://schemas.openxmlformats.org/officeDocument/2006/relationships/hyperlink" Target="https://doi.org/10.1046/j.1529-8817.1999.3530460.x" TargetMode="External"/><Relationship Id="rId37" Type="http://schemas.openxmlformats.org/officeDocument/2006/relationships/hyperlink" Target="https://doi.org/10.1007/s00267-006-0135-8" TargetMode="Externa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github.com/SCCWRP/SQI" TargetMode="External"/><Relationship Id="rId23" Type="http://schemas.openxmlformats.org/officeDocument/2006/relationships/hyperlink" Target="https://doi.org/10.1002/ieam.118" TargetMode="External"/><Relationship Id="rId28" Type="http://schemas.openxmlformats.org/officeDocument/2006/relationships/hyperlink" Target="https://doi.org/10.1016/j.watres.2012.03.061" TargetMode="External"/><Relationship Id="rId36" Type="http://schemas.openxmlformats.org/officeDocument/2006/relationships/hyperlink" Target="https://doi.org/10.1890/1051-0761(2006)016%5b1267:SEFTEC%5d2.0.CO;2" TargetMode="External"/><Relationship Id="rId10" Type="http://schemas.openxmlformats.org/officeDocument/2006/relationships/hyperlink" Target="mailto:kens@sccwrp.org" TargetMode="External"/><Relationship Id="rId19" Type="http://schemas.openxmlformats.org/officeDocument/2006/relationships/image" Target="media/image4.png"/><Relationship Id="rId31" Type="http://schemas.openxmlformats.org/officeDocument/2006/relationships/hyperlink" Target="https://doi.org/10.1111/j.1365-2427.1987.tb01027.x" TargetMode="External"/><Relationship Id="rId4" Type="http://schemas.openxmlformats.org/officeDocument/2006/relationships/webSettings" Target="webSettings.xml"/><Relationship Id="rId9" Type="http://schemas.openxmlformats.org/officeDocument/2006/relationships/hyperlink" Target="mailto:susannat@sccwrp.org" TargetMode="External"/><Relationship Id="rId14" Type="http://schemas.openxmlformats.org/officeDocument/2006/relationships/hyperlink" Target="https://sccwrp.shinyapps.io/SQI_Shiny" TargetMode="External"/><Relationship Id="rId22" Type="http://schemas.openxmlformats.org/officeDocument/2006/relationships/image" Target="media/image7.png"/><Relationship Id="rId27" Type="http://schemas.openxmlformats.org/officeDocument/2006/relationships/hyperlink" Target="https://doi.org/10.1890/1051-0761(2000)010%5b1456:DAEOPM%5d2.0.CO;2" TargetMode="External"/><Relationship Id="rId30" Type="http://schemas.openxmlformats.org/officeDocument/2006/relationships/hyperlink" Target="https://doi.org/10.1002/ieam.1702" TargetMode="External"/><Relationship Id="rId35" Type="http://schemas.openxmlformats.org/officeDocument/2006/relationships/hyperlink" Target="https://doi.org/10.1007/s11273-011-923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25</Pages>
  <Words>8504</Words>
  <Characters>48477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The Stream Quality Index: A Multi-Indicator Tool For Enhancing Environmental Management Communication</vt:lpstr>
    </vt:vector>
  </TitlesOfParts>
  <Company/>
  <LinksUpToDate>false</LinksUpToDate>
  <CharactersWithSpaces>56868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cp:lastModifiedBy>Katherine Pease</cp:lastModifiedBy>
  <cp:revision>33</cp:revision>
  <dcterms:created xsi:type="dcterms:W3CDTF">2019-04-12T16:15:00Z</dcterms:created>
  <dcterms:modified xsi:type="dcterms:W3CDTF">2019-04-12T19:05:00Z</dcterms:modified>
</cp:coreProperties>
</file>