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2.png" ContentType="image/png"/>
  <Override PartName="/word/media/rId31.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altered or unaltered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indicating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altered or unaltered biology for the binomial models was based on a breakpoint of zero for the combined categories, i.e., sites with combined scores from 1 to 5 were unaltered and sites from 0 to -5 were altered for both indices.</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The overall SQI categories describe the four possible combinations of biology and stressors at a site from the binary categories of altered/unaltered biology and stressed/unstressed conditions. For the biological condition categories, the four possible outputs for a site that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The SMC initiated a regional monitoring program in 2009 for the purpose of permit re-allocations among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Collection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resulted from changing the categorical thresholds. For example, the percentage of sites ranked as healthy and unstressed was compared by evaluating a change in the biological threshold for altered/unaltered biology, e.g., at 1%, 10%, and 30% of reference scores for each index.</w:t>
      </w:r>
    </w:p>
    <w:p>
      <w:pPr>
        <w:pStyle w:val="Heading1"/>
      </w:pPr>
      <w:bookmarkStart w:id="29" w:name="results"/>
      <w:r>
        <w:t xml:space="preserve">Results</w:t>
      </w:r>
      <w:bookmarkEnd w:id="29"/>
    </w:p>
    <w:p>
      <w:pPr>
        <w:pStyle w:val="FirstParagraph"/>
      </w:pPr>
      <w:r>
        <w:t xml:space="preserve">Table</w:t>
      </w:r>
      <w:r>
        <w:t xml:space="preserve"> </w:t>
      </w:r>
      <w:r>
        <w:t xml:space="preserve">1</w:t>
      </w:r>
      <w:r>
        <w:t xml:space="preserve">, Figure</w:t>
      </w:r>
      <w:r>
        <w:t xml:space="preserve"> </w:t>
      </w:r>
      <w:r>
        <w:t xml:space="preserve">3</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3241963"/>
            <wp:effectExtent b="0" l="0" r="0" t="0"/>
            <wp:docPr descr="(#fig:rsp_crv)Some curves" title="" id="1" name="Picture"/>
            <a:graphic>
              <a:graphicData uri="http://schemas.openxmlformats.org/drawingml/2006/picture">
                <pic:pic>
                  <pic:nvPicPr>
                    <pic:cNvPr descr="figs/rsp_crv.png" id="0" name="Picture"/>
                    <pic:cNvPicPr>
                      <a:picLocks noChangeArrowheads="1" noChangeAspect="1"/>
                    </pic:cNvPicPr>
                  </pic:nvPicPr>
                  <pic:blipFill>
                    <a:blip r:embed="rId34"/>
                    <a:stretch>
                      <a:fillRect/>
                    </a:stretch>
                  </pic:blipFill>
                  <pic:spPr bwMode="auto">
                    <a:xfrm>
                      <a:off x="0" y="0"/>
                      <a:ext cx="5943600" cy="3241963"/>
                    </a:xfrm>
                    <a:prstGeom prst="rect">
                      <a:avLst/>
                    </a:prstGeom>
                    <a:noFill/>
                    <a:ln w="9525">
                      <a:noFill/>
                      <a:headEnd/>
                      <a:tailEnd/>
                    </a:ln>
                  </pic:spPr>
                </pic:pic>
              </a:graphicData>
            </a:graphic>
          </wp:inline>
        </w:drawing>
      </w:r>
    </w:p>
    <w:p>
      <w:pPr>
        <w:pStyle w:val="ImageCaption"/>
      </w:pPr>
      <w:r>
        <w:t xml:space="preserve">(#fig:rsp_crv)Some curves</w:t>
      </w:r>
    </w:p>
    <w:p>
      <w:pPr>
        <w:pStyle w:val="Heading1"/>
      </w:pPr>
      <w:bookmarkStart w:id="35" w:name="tables"/>
      <w:r>
        <w:t xml:space="preserve">Tables</w:t>
      </w:r>
      <w:bookmarkEnd w:id="35"/>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57 (23.9)</w:t>
            </w:r>
          </w:p>
        </w:tc>
      </w:tr>
      <w:tr>
        <w:tc>
          <w:p>
            <w:pPr>
              <w:pStyle w:val="Compact"/>
            </w:pPr>
          </w:p>
        </w:tc>
        <w:tc>
          <w:p>
            <w:pPr>
              <w:pStyle w:val="Compact"/>
              <w:jc w:val="left"/>
            </w:pPr>
            <w:r>
              <w:t xml:space="preserve">Impacted for ASCI</w:t>
            </w:r>
          </w:p>
        </w:tc>
        <w:tc>
          <w:p>
            <w:pPr>
              <w:pStyle w:val="Compact"/>
              <w:jc w:val="left"/>
            </w:pPr>
            <w:r>
              <w:t xml:space="preserve">54 (22.7)</w:t>
            </w:r>
          </w:p>
        </w:tc>
      </w:tr>
      <w:tr>
        <w:tc>
          <w:p>
            <w:pPr>
              <w:pStyle w:val="Compact"/>
            </w:pPr>
          </w:p>
        </w:tc>
        <w:tc>
          <w:p>
            <w:pPr>
              <w:pStyle w:val="Compact"/>
              <w:jc w:val="left"/>
            </w:pPr>
            <w:r>
              <w:t xml:space="preserve">Impacted for CSCI</w:t>
            </w:r>
          </w:p>
        </w:tc>
        <w:tc>
          <w:p>
            <w:pPr>
              <w:pStyle w:val="Compact"/>
              <w:jc w:val="left"/>
            </w:pPr>
            <w:r>
              <w:t xml:space="preserve">16 (6.7)</w:t>
            </w:r>
          </w:p>
        </w:tc>
      </w:tr>
      <w:tr>
        <w:tc>
          <w:p>
            <w:pPr>
              <w:pStyle w:val="Compact"/>
            </w:pPr>
          </w:p>
        </w:tc>
        <w:tc>
          <w:p>
            <w:pPr>
              <w:pStyle w:val="Compact"/>
              <w:jc w:val="left"/>
            </w:pPr>
            <w:r>
              <w:t xml:space="preserve">Impacted for CSCI and ASCI</w:t>
            </w:r>
          </w:p>
        </w:tc>
        <w:tc>
          <w:p>
            <w:pPr>
              <w:pStyle w:val="Compact"/>
              <w:jc w:val="left"/>
            </w:pPr>
            <w:r>
              <w:t xml:space="preserve">111 (46.6)</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14 (5.9)</w:t>
            </w:r>
          </w:p>
        </w:tc>
      </w:tr>
      <w:tr>
        <w:tc>
          <w:p>
            <w:pPr>
              <w:pStyle w:val="Compact"/>
            </w:pPr>
          </w:p>
        </w:tc>
        <w:tc>
          <w:p>
            <w:pPr>
              <w:pStyle w:val="Compact"/>
              <w:jc w:val="left"/>
            </w:pPr>
            <w:r>
              <w:t xml:space="preserve">Healthy and resilient</w:t>
            </w:r>
          </w:p>
        </w:tc>
        <w:tc>
          <w:p>
            <w:pPr>
              <w:pStyle w:val="Compact"/>
              <w:jc w:val="left"/>
            </w:pPr>
            <w:r>
              <w:t xml:space="preserve">43 (18.1)</w:t>
            </w:r>
          </w:p>
        </w:tc>
      </w:tr>
      <w:tr>
        <w:tc>
          <w:p>
            <w:pPr>
              <w:pStyle w:val="Compact"/>
            </w:pPr>
          </w:p>
        </w:tc>
        <w:tc>
          <w:p>
            <w:pPr>
              <w:pStyle w:val="Compact"/>
              <w:jc w:val="left"/>
            </w:pPr>
            <w:r>
              <w:t xml:space="preserve">Impacted and stressed</w:t>
            </w:r>
          </w:p>
        </w:tc>
        <w:tc>
          <w:p>
            <w:pPr>
              <w:pStyle w:val="Compact"/>
              <w:jc w:val="left"/>
            </w:pPr>
            <w:r>
              <w:t xml:space="preserve">180 (75.6)</w:t>
            </w:r>
          </w:p>
        </w:tc>
      </w:tr>
      <w:tr>
        <w:tc>
          <w:p>
            <w:pPr>
              <w:pStyle w:val="Compact"/>
            </w:pPr>
          </w:p>
        </w:tc>
        <w:tc>
          <w:p>
            <w:pPr>
              <w:pStyle w:val="Compact"/>
              <w:jc w:val="left"/>
            </w:pPr>
            <w:r>
              <w:t xml:space="preserve">Impacted by unknown stress</w:t>
            </w:r>
          </w:p>
        </w:tc>
        <w:tc>
          <w:p>
            <w:pPr>
              <w:pStyle w:val="Compact"/>
              <w:jc w:val="left"/>
            </w:pPr>
            <w:r>
              <w:t xml:space="preserve">1 (0.4)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15 (6.3)</w:t>
            </w:r>
          </w:p>
        </w:tc>
      </w:tr>
      <w:tr>
        <w:tc>
          <w:p>
            <w:pPr>
              <w:pStyle w:val="Compact"/>
            </w:pPr>
          </w:p>
        </w:tc>
        <w:tc>
          <w:p>
            <w:pPr>
              <w:pStyle w:val="Compact"/>
              <w:jc w:val="left"/>
            </w:pPr>
            <w:r>
              <w:t xml:space="preserve">Stressed by chemistry and habitat degradation</w:t>
            </w:r>
          </w:p>
        </w:tc>
        <w:tc>
          <w:p>
            <w:pPr>
              <w:pStyle w:val="Compact"/>
              <w:jc w:val="left"/>
            </w:pPr>
            <w:r>
              <w:t xml:space="preserve">181 (76.1)</w:t>
            </w:r>
          </w:p>
        </w:tc>
      </w:tr>
      <w:tr>
        <w:tc>
          <w:p>
            <w:pPr>
              <w:pStyle w:val="Compact"/>
            </w:pPr>
          </w:p>
        </w:tc>
        <w:tc>
          <w:p>
            <w:pPr>
              <w:pStyle w:val="Compact"/>
              <w:jc w:val="left"/>
            </w:pPr>
            <w:r>
              <w:t xml:space="preserve">Stressed by chemistry degradation</w:t>
            </w:r>
          </w:p>
        </w:tc>
        <w:tc>
          <w:p>
            <w:pPr>
              <w:pStyle w:val="Compact"/>
              <w:jc w:val="left"/>
            </w:pPr>
            <w:r>
              <w:t xml:space="preserve">10 (4.2)</w:t>
            </w:r>
          </w:p>
        </w:tc>
      </w:tr>
      <w:tr>
        <w:tc>
          <w:p>
            <w:pPr>
              <w:pStyle w:val="Compact"/>
            </w:pPr>
          </w:p>
        </w:tc>
        <w:tc>
          <w:p>
            <w:pPr>
              <w:pStyle w:val="Compact"/>
              <w:jc w:val="left"/>
            </w:pPr>
            <w:r>
              <w:t xml:space="preserve">Stressed by habitat degradation</w:t>
            </w:r>
          </w:p>
        </w:tc>
        <w:tc>
          <w:p>
            <w:pPr>
              <w:pStyle w:val="Compact"/>
              <w:jc w:val="left"/>
            </w:pPr>
            <w:r>
              <w:t xml:space="preserve">25 (10.5)</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7 (2.9)</w:t>
            </w:r>
          </w:p>
        </w:tc>
      </w:tr>
    </w:tbl>
    <w:p>
      <w:pPr>
        <w:pStyle w:val="Heading1"/>
      </w:pPr>
      <w:bookmarkStart w:id="36" w:name="references"/>
      <w:r>
        <w:t xml:space="preserve">References</w:t>
      </w:r>
      <w:bookmarkEnd w:id="36"/>
    </w:p>
    <w:bookmarkStart w:id="55" w:name="refs"/>
    <w:bookmarkStart w:id="38"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7">
        <w:r>
          <w:rPr>
            <w:rStyle w:val="Hyperlink"/>
          </w:rPr>
          <w:t xml:space="preserve">https://doi.org/10.1899/06-078.1</w:t>
        </w:r>
      </w:hyperlink>
      <w:r>
        <w:t xml:space="preserve">.</w:t>
      </w:r>
    </w:p>
    <w:bookmarkEnd w:id="38"/>
    <w:bookmarkStart w:id="40"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39">
        <w:r>
          <w:rPr>
            <w:rStyle w:val="Hyperlink"/>
          </w:rPr>
          <w:t xml:space="preserve">\url{http://www.cramwetlands.org/documents/}</w:t>
        </w:r>
      </w:hyperlink>
      <w:r>
        <w:t xml:space="preserve">.</w:t>
      </w:r>
    </w:p>
    <w:bookmarkEnd w:id="40"/>
    <w:bookmarkStart w:id="41"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41"/>
    <w:bookmarkStart w:id="42"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42"/>
    <w:bookmarkStart w:id="43"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3"/>
    <w:bookmarkStart w:id="45"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4">
        <w:r>
          <w:rPr>
            <w:rStyle w:val="Hyperlink"/>
          </w:rPr>
          <w:t xml:space="preserve">https://doi.org/10.1111/j.1365-2427.1987.tb01027.x</w:t>
        </w:r>
      </w:hyperlink>
      <w:r>
        <w:t xml:space="preserve">.</w:t>
      </w:r>
    </w:p>
    <w:bookmarkEnd w:id="45"/>
    <w:bookmarkStart w:id="46"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6"/>
    <w:bookmarkStart w:id="48"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7">
        <w:r>
          <w:rPr>
            <w:rStyle w:val="Hyperlink"/>
          </w:rPr>
          <w:t xml:space="preserve">https://www.waterboards.ca.gov/water_issues/programs/swamp/bioassessment/docs/physical_habitat_index_technical_memo.pdf</w:t>
        </w:r>
      </w:hyperlink>
      <w:r>
        <w:t xml:space="preserve">.</w:t>
      </w:r>
    </w:p>
    <w:bookmarkEnd w:id="48"/>
    <w:bookmarkStart w:id="50"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49">
        <w:r>
          <w:rPr>
            <w:rStyle w:val="Hyperlink"/>
          </w:rPr>
          <w:t xml:space="preserve">https://doi.org/10.1007/s11273-011-9230-6</w:t>
        </w:r>
      </w:hyperlink>
      <w:r>
        <w:t xml:space="preserve">.</w:t>
      </w:r>
    </w:p>
    <w:bookmarkEnd w:id="50"/>
    <w:bookmarkStart w:id="5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51">
        <w:r>
          <w:rPr>
            <w:rStyle w:val="Hyperlink"/>
          </w:rPr>
          <w:t xml:space="preserve">https://doi.org/10.1890/1051-0761(2006)016[1267:SEFTEC]2.0.CO;2</w:t>
        </w:r>
      </w:hyperlink>
      <w:r>
        <w:t xml:space="preserve">.</w:t>
      </w:r>
    </w:p>
    <w:bookmarkEnd w:id="52"/>
    <w:bookmarkStart w:id="53"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3"/>
    <w:bookmarkStart w:id="54"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4"/>
    <w:bookmarkEnd w:id="5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9" Target="\url{http://www.cramwetlands.org/documents/}" TargetMode="External" /><Relationship Type="http://schemas.openxmlformats.org/officeDocument/2006/relationships/hyperlink" Id="rId49" Target="https://doi.org/10.1007/s11273-011-9230-6" TargetMode="External" /><Relationship Type="http://schemas.openxmlformats.org/officeDocument/2006/relationships/hyperlink" Id="rId44" Target="https://doi.org/10.1111/j.1365-2427.1987.tb01027.x" TargetMode="External" /><Relationship Type="http://schemas.openxmlformats.org/officeDocument/2006/relationships/hyperlink" Id="rId51" Target="https://doi.org/10.1890/1051-0761(2006)016[1267:SEFTEC]2.0.CO;2" TargetMode="External" /><Relationship Type="http://schemas.openxmlformats.org/officeDocument/2006/relationships/hyperlink" Id="rId37" Target="https://doi.org/10.1899/06-078.1" TargetMode="External" /><Relationship Type="http://schemas.openxmlformats.org/officeDocument/2006/relationships/hyperlink" Id="rId47"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39" Target="\url{http://www.cramwetlands.org/documents/}" TargetMode="External" /><Relationship Type="http://schemas.openxmlformats.org/officeDocument/2006/relationships/hyperlink" Id="rId49" Target="https://doi.org/10.1007/s11273-011-9230-6" TargetMode="External" /><Relationship Type="http://schemas.openxmlformats.org/officeDocument/2006/relationships/hyperlink" Id="rId44" Target="https://doi.org/10.1111/j.1365-2427.1987.tb01027.x" TargetMode="External" /><Relationship Type="http://schemas.openxmlformats.org/officeDocument/2006/relationships/hyperlink" Id="rId51" Target="https://doi.org/10.1890/1051-0761(2006)016[1267:SEFTEC]2.0.CO;2" TargetMode="External" /><Relationship Type="http://schemas.openxmlformats.org/officeDocument/2006/relationships/hyperlink" Id="rId37" Target="https://doi.org/10.1899/06-078.1" TargetMode="External" /><Relationship Type="http://schemas.openxmlformats.org/officeDocument/2006/relationships/hyperlink" Id="rId47"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2019-02-12T01:27:45Z</dcterms:created>
  <dcterms:modified xsi:type="dcterms:W3CDTF">2019-02-12T01:27:45Z</dcterms:modified>
</cp:coreProperties>
</file>