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2.png" ContentType="image/png"/>
  <Override PartName="/word/media/rId31.png" ContentType="image/png"/>
  <Override PartName="/word/media/rId33.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Condition</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methods"/>
      <w:r>
        <w:t xml:space="preserve">Methods</w:t>
      </w:r>
      <w:bookmarkEnd w:id="23"/>
    </w:p>
    <w:p>
      <w:pPr>
        <w:pStyle w:val="Heading2"/>
      </w:pPr>
      <w:bookmarkStart w:id="24" w:name="general-approach"/>
      <w:r>
        <w:t xml:space="preserve">General Approach</w:t>
      </w:r>
      <w:bookmarkEnd w:id="24"/>
    </w:p>
    <w:p>
      <w:pPr>
        <w:pStyle w:val="FirstParagraph"/>
      </w:pPr>
      <w:r>
        <w:t xml:space="preserve">The SQI is a conceptual approach to describing stream health that is based on a stressor-response relationship between biology and in-stream stressors.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may be driving stream health. These tiers of information represent overall stream health, biological health, and stressor condition as single, actionable categories. The underlying stressor-response relationships that define the categories are based on empirical models that quantify an expected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The stressor-response model used by the SQI uses biological endpoints as indicators of beneficial uses for wadeable streams and water chemistry and physical habitat measurements as stressors that are empirically linked to biological condition. Biological indices for aquatic macroinvertebrates and algal communities have been developed for California streams and both indices are used as complementary lines of evidence within the SQI. Multiple taxa groups provide a more balanced indication of biological condition that can confirm overall stream health or provide additional diagnostic information about stressors as different communities may respond to different characteristics of stream habitat. Water chemistry stressors were those that commonly affect biological condition in perennial streams, such as nutrients and conductivity. Likewise, physical habitat was described generally as flow, channel, and riparian condition observed at a site. Although physical habitat can be considered a response metric of stream health depending on the context, physical habitat herein is considered a stressor that can affect biological condition at different taxonomic levels within the stressor-response model.</w:t>
      </w:r>
    </w:p>
    <w:p>
      <w:pPr>
        <w:pStyle w:val="Heading2"/>
      </w:pPr>
      <w:bookmarkStart w:id="25" w:name="response-components"/>
      <w:r>
        <w:t xml:space="preserve">Response components</w:t>
      </w:r>
      <w:bookmarkEnd w:id="25"/>
    </w:p>
    <w:p>
      <w:pPr>
        <w:pStyle w:val="FirstParagraph"/>
      </w:pPr>
      <w:r>
        <w:t xml:space="preserve">Two biological indices previously developed for California wadeable streams provide the foundation for evaluating biological integrity within the SQI.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macroinvertebrate taxa and metrics at a site to those expected under least disturbed reference conditions</w:t>
      </w:r>
      <w:r>
        <w:t xml:space="preserve"> </w:t>
      </w:r>
      <w:r>
        <w:t xml:space="preserve">(Stoddard et al.</w:t>
      </w:r>
      <w:r>
        <w:t xml:space="preserve">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The CSCI score at a site can vary from 0 to ~ 1.4, with higher values indicating less deviation from reference state. CSCI scores have consistent meaning in different geographic settings because the index was developed to minimize the influence of natural gradients on macroinvertebrate communities.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using diatom and soft-bodied algae as response endpoints at lower trophic levels. This index follows a multimetric approach where observed metrics were evaluated against statewide references sites that were chosen to characterize least disturbed algal communities.</w:t>
      </w:r>
    </w:p>
    <w:p>
      <w:pPr>
        <w:pStyle w:val="Heading2"/>
      </w:pPr>
      <w:bookmarkStart w:id="26" w:name="stressor-components"/>
      <w:r>
        <w:t xml:space="preserve">Stressor components</w:t>
      </w:r>
      <w:bookmarkEnd w:id="26"/>
    </w:p>
    <w:p>
      <w:pPr>
        <w:pStyle w:val="FirstParagraph"/>
      </w:pPr>
      <w:r>
        <w:t xml:space="preserve">Water chemisty and physical habitat measurements were used to describe stressors associated with changes in CSCI and ASCI scores. The water chemistry data included total nitrogen (mg/L), total phosphorus (mg/L) and specific conductivity (</w:t>
      </w:r>
      <m:oMath>
        <m:r>
          <m:t>μ</m:t>
        </m:r>
      </m:oMath>
      <w:r>
        <w:t xml:space="preserve">S/cm). These data describe stressors generally associated with eutrophication and serve as proxies for cultural enrichment where the rate of primary production may be excessive and harmful relative to background conditions. Linkages between eutrophication and beneficial uses are strongly supported by the literature and nutrient observations could be considered</w:t>
      </w:r>
      <w:r>
        <w:t xml:space="preserve"> </w:t>
      </w:r>
      <w:r>
        <w:t xml:space="preserve">“</w:t>
      </w:r>
      <w:r>
        <w:t xml:space="preserve">biostimulatory</w:t>
      </w:r>
      <w:r>
        <w:t xml:space="preserve">”</w:t>
      </w:r>
      <w:r>
        <w:t xml:space="preserve"> </w:t>
      </w:r>
      <w:r>
        <w:t xml:space="preserve">substances in California streams, whereby a mechanistic link with biological integrity is represented in the stress-response model of the SQI. Nitrogen, phosphorus, and conductivity are also widely available observations from regional and statewide monitoring programs and collectively act as surrogates for unmeasured or alternative water quality problems at a site (e.g., temperature, light penetration). Additional water quality data that may also be important could include contaminants, such as pesticides, bacteria, or pharmaceuticals. Although these contaminants can affect aquatic organisms, they are not routinely monitored and links with biological integrity and aquatic life uses are not as well understood as for nutrient-based stressors.</w:t>
      </w:r>
    </w:p>
    <w:p>
      <w:pPr>
        <w:pStyle w:val="BodyText"/>
      </w:pPr>
      <w:r>
        <w:t xml:space="preserve">Physical habitat conditions at a site were described using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These data described the condition of physical habitat relative to flow characteristics, riparian condition, channel morphology, substrate type and diversity, and canopy shading. As for biological communities, physical conditions vary naturally across geographic gradients such that observed data collected at one location may not be meaningfully compared to those from another location. A similar approach that was used for calibration of the biological indices was used to develop scoring methods for observed PHAB metrics that helped distinguish natural variability from anthropogenic stress. Values range from 0 to ~ 1.4 with higher values indicating less deviation of physical habitat from reference. As noted above, we consider physical habitat a critical component that influences biological condition, whereas both habitat and biology could be independently affected by external anthropogenic stressors. For the purpose of the SQI, physical habitat was conceptually linked to biology as a proximal stressor rather than a separate response measure of stress, although it could be used independently to do so or as an intermediate step in identifying likely causes of poor condition.</w:t>
      </w:r>
    </w:p>
    <w:p>
      <w:pPr>
        <w:pStyle w:val="BodyText"/>
      </w:pPr>
      <w:r>
        <w:t xml:space="preserve">PHAB metrics included percent sands and fines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collect PHAB metrics were collected using standard field protocols desribed in</w:t>
      </w:r>
      <w:r>
        <w:t xml:space="preserve"> </w:t>
      </w:r>
      <w:r>
        <w:t xml:space="preserve">Ode (</w:t>
      </w:r>
      <w:hyperlink w:anchor="ref-Ode07">
        <w:r>
          <w:rPr>
            <w:rStyle w:val="Hyperlink"/>
          </w:rPr>
          <w:t xml:space="preserve">2007</w:t>
        </w:r>
      </w:hyperlink>
      <w:r>
        <w:t xml:space="preserve">)</w:t>
      </w:r>
      <w:r>
        <w:t xml:space="preserve">. Finally, the riverine module of CRAM was used to produce an additional, overall assessment score of physical habitat condition at each site</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CRAM component metrics individually assess buffer and landscape context, hydrology, physical structure, and biotic structure. The combined score ranges from 25 to 100, with higher values indicating less degraded conditions at a site. As described below, PHAB and CRAM scores were jointly considered in their relationship to biological response endpoints.</w:t>
      </w:r>
    </w:p>
    <w:p>
      <w:pPr>
        <w:pStyle w:val="Heading2"/>
      </w:pPr>
      <w:bookmarkStart w:id="27" w:name="stream-quality-index"/>
      <w:r>
        <w:t xml:space="preserve">Stream Quality Index</w:t>
      </w:r>
      <w:bookmarkEnd w:id="27"/>
    </w:p>
    <w:p>
      <w:pPr>
        <w:pStyle w:val="FirstParagraph"/>
      </w:pPr>
      <w:r>
        <w:t xml:space="preserve">The stressor-response model to jointly evaluate the biological, physical, and chemical data for the SQI is conceptually represented in figure</w:t>
      </w:r>
      <w:r>
        <w:t xml:space="preserve"> </w:t>
      </w:r>
      <w:r>
        <w:t xml:space="preserve">1</w:t>
      </w:r>
      <w:r>
        <w:t xml:space="preserve">. The overall SQI is a categorical outcome of biological condition (healthy/impacted) and stress condition (likelihood of impact) that is empirically based on the probability of observing biological alteration for observed stressor levels. The empirical models that describe the probability of observing altered or unaltered biology were developed separately for chemistry and physical habitat stressors. For both, a generalized additive model</w:t>
      </w:r>
      <w:r>
        <w:t xml:space="preserve"> </w:t>
      </w:r>
      <w:r>
        <w:t xml:space="preserve">(Wood</w:t>
      </w:r>
      <w:r>
        <w:t xml:space="preserve"> </w:t>
      </w:r>
      <w:hyperlink w:anchor="ref-Wood06">
        <w:r>
          <w:rPr>
            <w:rStyle w:val="Hyperlink"/>
          </w:rPr>
          <w:t xml:space="preserve">2006</w:t>
        </w:r>
      </w:hyperlink>
      <w:r>
        <w:t xml:space="preserve">)</w:t>
      </w:r>
      <w:r>
        <w:t xml:space="preserve"> </w:t>
      </w:r>
      <w:r>
        <w:t xml:space="preserve">was fit to calibration data to quantify smoothed functions for each separate water quality or physical habitat measure and how they are additively linked to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r>
            <m:t>s</m:t>
          </m:r>
          <m:d>
            <m:dPr>
              <m:begChr m:val="("/>
              <m:endChr m:val=")"/>
              <m:grow/>
            </m:dPr>
            <m:e>
              <m:r>
                <m:t>T</m:t>
              </m:r>
              <m:r>
                <m:t>N</m:t>
              </m:r>
            </m:e>
          </m:d>
          <m:r>
            <m:t>+</m:t>
          </m:r>
          <m:r>
            <m:t>s</m:t>
          </m:r>
          <m:d>
            <m:dPr>
              <m:begChr m:val="("/>
              <m:endChr m:val=")"/>
              <m:grow/>
            </m:dPr>
            <m:e>
              <m:r>
                <m:t>T</m:t>
              </m:r>
              <m:r>
                <m:t>P</m:t>
              </m:r>
            </m:e>
          </m:d>
          <m:r>
            <m:t>+</m:t>
          </m:r>
          <m:r>
            <m:t>s</m:t>
          </m:r>
          <m:d>
            <m:dPr>
              <m:begChr m:val="("/>
              <m:endChr m:val=")"/>
              <m:grow/>
            </m:dPr>
            <m:e>
              <m:r>
                <m:t>c</m:t>
              </m:r>
              <m:r>
                <m:t>o</m:t>
              </m:r>
              <m:r>
                <m:t>n</m:t>
              </m:r>
              <m:r>
                <m:t>d</m:t>
              </m:r>
            </m:e>
          </m:d>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r>
            <m:t>s</m:t>
          </m:r>
          <m:d>
            <m:dPr>
              <m:begChr m:val="("/>
              <m:endChr m:val=")"/>
              <m:grow/>
            </m:dPr>
            <m:e>
              <m:r>
                <m:t>P</m:t>
              </m:r>
              <m:r>
                <m:t>H</m:t>
              </m:r>
              <m:r>
                <m:t>A</m:t>
              </m:r>
              <m:r>
                <m:t>B</m:t>
              </m:r>
            </m:e>
          </m:d>
          <m:r>
            <m:t>+</m:t>
          </m:r>
          <m:r>
            <m:t>s</m:t>
          </m:r>
          <m:d>
            <m:dPr>
              <m:begChr m:val="("/>
              <m:endChr m:val=")"/>
              <m:grow/>
            </m:dPr>
            <m:e>
              <m:r>
                <m:t>C</m:t>
              </m:r>
              <m:r>
                <m:t>R</m:t>
              </m:r>
              <m:r>
                <m:t>A</m:t>
              </m:r>
              <m:r>
                <m:t>M</m:t>
              </m:r>
            </m:e>
          </m:d>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smoothed function</w:t>
      </w:r>
      <w:r>
        <w:t xml:space="preserve"> </w:t>
      </w:r>
      <m:oMath>
        <m:r>
          <m:t>s</m:t>
        </m:r>
      </m:oMath>
      <w:r>
        <w:t xml:space="preserve"> </w:t>
      </w:r>
      <w:r>
        <w:t xml:space="preserve">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the presence or absence of altered biology.</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p</m:t>
          </m:r>
          <m:r>
            <m:t>C</m:t>
          </m:r>
          <m:r>
            <m:t>h</m:t>
          </m:r>
          <m:r>
            <m:t>e</m:t>
          </m:r>
          <m:r>
            <m:t>m</m:t>
          </m:r>
          <m:r>
            <m:t>×</m:t>
          </m:r>
          <m:r>
            <m:t>p</m:t>
          </m:r>
          <m:r>
            <m:t>H</m:t>
          </m:r>
          <m:r>
            <m:t>a</m:t>
          </m:r>
          <m:r>
            <m:t>b</m:t>
          </m:r>
          <m:r>
            <m:t>  </m:t>
          </m:r>
          <m:r>
            <m:t>(</m:t>
          </m:r>
          <m:r>
            <m:t>3</m:t>
          </m:r>
          <m:r>
            <m:t>)</m:t>
          </m:r>
        </m:oMath>
      </m:oMathPara>
    </w:p>
    <w:p>
      <w:pPr>
        <w:pStyle w:val="FirstParagraph"/>
      </w:pPr>
      <w:r>
        <w:t xml:space="preserve">Equations (1), (2), and (3) provided the empirical estimates of biological alteration that were used to define the categorical outputs of the SQI, defined below.</w:t>
      </w:r>
    </w:p>
    <w:p>
      <w:pPr>
        <w:pStyle w:val="BodyText"/>
      </w:pPr>
      <w:r>
        <w:t xml:space="preserve">Biological alteration using both the CSCI and ASCI as a binomial description for the above models required a framework to combine information from both indices. As a conceptual model to link continuous data from each index to qualitative descriptions of condition, the biological condition gradient</w:t>
      </w:r>
      <w:r>
        <w:t xml:space="preserve"> </w:t>
      </w:r>
      <w:r>
        <w:t xml:space="preserve">(BCG, Davies and Jackson</w:t>
      </w:r>
      <w:r>
        <w:t xml:space="preserve"> </w:t>
      </w:r>
      <w:hyperlink w:anchor="ref-Davies06">
        <w:r>
          <w:rPr>
            <w:rStyle w:val="Hyperlink"/>
          </w:rPr>
          <w:t xml:space="preserve">2006</w:t>
        </w:r>
      </w:hyperlink>
      <w:r>
        <w:t xml:space="preserve">)</w:t>
      </w:r>
      <w:r>
        <w:t xml:space="preserve"> </w:t>
      </w:r>
      <w:r>
        <w:t xml:space="preserve">framework was applied to both indices for binning scores into categories. The BCG framework was initially developed to interpret bioassessment results based on independent methods and maps biological condition to different tiers of alteration across a generalized stressor gradient. Specifically, sites in tier 1 are typically those with high bioassessment scores that are characteristic of pristine condtions, whereas sites in increasingly lower tiers indicate a transition from moderately to severely impacted condition. Mapping biological index scores into tiers follows a semi-quantiative approach that combines numerical and narrative descriptions of condition. The final categories are generally comparable between index types, e.g., tier 1 ASCI scores have a similar interpreation as tier 1 CSCI scores. BCG tiers for the ASCI and CSCI were defined using methods in</w:t>
      </w:r>
      <w:r>
        <w:t xml:space="preserve"> </w:t>
      </w:r>
      <w:r>
        <w:t xml:space="preserve">Davies and Jackson (</w:t>
      </w:r>
      <w:hyperlink w:anchor="ref-Davies06">
        <w:r>
          <w:rPr>
            <w:rStyle w:val="Hyperlink"/>
          </w:rPr>
          <w:t xml:space="preserve">2006</w:t>
        </w:r>
      </w:hyperlink>
      <w:r>
        <w:t xml:space="preserve">)</w:t>
      </w:r>
      <w:r>
        <w:t xml:space="preserve"> </w:t>
      </w:r>
      <w:r>
        <w:t xml:space="preserve">with considerable stakeholder input.</w:t>
      </w:r>
    </w:p>
    <w:p>
      <w:pPr>
        <w:pStyle w:val="BodyText"/>
      </w:pPr>
      <w:r>
        <w:t xml:space="preserve">For the stress models above, the assigned BCG tiers for each index were combined using a ranking system to create a single integer that represented an overall BCG condition reflected by both biological indices. The general approach assumed strict independent applicability between the two indices, such that combined categories were assigned through best judgment (as opposed to averaging, best prevails, etc.). The combined BCG categories ranged as integers from 5 to -5, with higher values indicating overall unaltered biological condtion. For example, a site with ASCI and CSCI scores with BCG bins both equal to 1 was assigned a value of 5 to represent the combined biological condition. The overall determination of a site having categorically altered or unaltered biology based on the combined integers was based on a breakpoint of zero, i.e., sites with combined scores from 1 to 5 were unaltered and sites from 0 to -5 were altered for both indices. This final category was then used in the binomial models above as the biological response endpoint.</w:t>
      </w:r>
    </w:p>
    <w:p>
      <w:pPr>
        <w:pStyle w:val="BodyText"/>
      </w:pPr>
      <w:r>
        <w:t xml:space="preserve">The empirical framework for the binomial models and BCG combined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For example, the overall SQI categories describe the four possible combinations of biology and stressors at a site from the binary categories of altered/unaltered biology and stressed/unstressed conditions. For the biological condition categories, the four possible outputs for a site were based on the four combinations from the binary categories of high/low CSCI and high/low ASCI. Finally, the possible stressor condition categories for a site were based on the four outcomes of the binary combinations of high/low chemistry stress and high/low physical habitat stress. Because stress condition was multiplicative, a fifth category for the stressor condition category was also possible where the probability of overall stress (</w:t>
      </w:r>
      <m:oMath>
        <m:r>
          <m:t>p</m:t>
        </m:r>
        <m:r>
          <m:t>O</m:t>
        </m:r>
        <m:r>
          <m:t>v</m:t>
        </m:r>
        <m:r>
          <m:t>e</m:t>
        </m:r>
        <m:r>
          <m:t>r</m:t>
        </m:r>
        <m:r>
          <m:t>a</m:t>
        </m:r>
        <m:r>
          <m:t>l</m:t>
        </m:r>
        <m:r>
          <m:t>l</m:t>
        </m:r>
      </m:oMath>
      <w:r>
        <w:t xml:space="preserve">) exceeded the defined threshold for high/low stress even though the individual components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were below the threshold. Thresholds for biological indices that defined high/low condition were based on the tenth percentile distribution of scores at reference sites for each index. Thresholds for high/low stress were conservative, whereby exceedance of a 33% likelihood of biological alteration for any of the stress measures was considered high likelihood.</w:t>
      </w:r>
    </w:p>
    <w:p>
      <w:pPr>
        <w:pStyle w:val="Heading2"/>
      </w:pPr>
      <w:bookmarkStart w:id="28" w:name="application"/>
      <w:r>
        <w:t xml:space="preserve">Application</w:t>
      </w:r>
      <w:bookmarkEnd w:id="28"/>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in the region. The SMC initiated a regional monitoring program in 2009 to assist, in part, with the permitting process among dischargers from the member agencies. Central monitoring questions focus on assessing biological condition, identifying stressors associated with condition, and evaluating trends over time. This dataset represents the most comprehensive and only probailistic source of perennial stream data in Southern California. Because the SQI requires synoptic biological, chemistry, and physical habitat data, the final dataset used for model calibration represents a subset of the SMC dataset where all three components were simultaneously collected. This included 263 sites, 75% of which were used for model calibration. Sampling dates ranged from 2008 to 2015 with relatively even distribution of samples between years. Most sample events occurred in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were caused by changing the categorical thresholds that defined which categories for the SQI were assigned to each site. For example, the percentage of sites ranked as healthy and unstressed was compared by evaluating a change in the biological threshold for altered/unaltered biology, e.g., at 1%, 10%, or 30% of reference scores for each index.</w:t>
      </w:r>
    </w:p>
    <w:p>
      <w:pPr>
        <w:pStyle w:val="Heading1"/>
      </w:pPr>
      <w:bookmarkStart w:id="29" w:name="results"/>
      <w:r>
        <w:t xml:space="preserve">Results</w:t>
      </w:r>
      <w:bookmarkEnd w:id="29"/>
    </w:p>
    <w:p>
      <w:pPr>
        <w:pStyle w:val="FirstParagraph"/>
      </w:pPr>
      <w:r>
        <w:t xml:space="preserve">Among all sites, the overall SQI categorized a majority as having altered biology under high stress conditions (impacted and stressed, 75% of sites, Table</w:t>
      </w:r>
      <w:r>
        <w:t xml:space="preserve"> </w:t>
      </w:r>
      <w:r>
        <w:t xml:space="preserve">1</w:t>
      </w:r>
      <w:r>
        <w:t xml:space="preserve">). Just over 5% of sites were in the opposite category of unaltered biology in low stress conditions (healthy and unstressed). For the remaining two categories of the overall SQI, nearly 20% of sites had unaltered biology but were under high stress conditions (healthy and resilient), whereas less than 1% of sites had altered biology not related to physical or chemical stressors (impacted by unkown stress). For the biological condition category, sites with altered conditions were more often altered for both CSCI and ASCI scores (47%). For sites with one low scoring index, more sites were altered for the ASCI (23%) than the CSCI (7%). Less than a quarter of all sites had unaltered biology (23%). For stress conditions, over 75% of sites were stressed by both chemistry and physical habitat stressors. More sites were stressed by habitat degradation (11%) than water chemistry (4%) if only one stressor was present. Only 6% of sites had low stress, wheres 3% of sites were impacted by the additive effect of both low chemistry and physical habitat stressors.</w:t>
      </w:r>
    </w:p>
    <w:p>
      <w:pPr>
        <w:pStyle w:val="BodyText"/>
      </w:pPr>
      <w:r>
        <w:t xml:space="preserve">Spatial patterns among SQI categories in Southern California generally followed elevation and land use gradients (Figure</w:t>
      </w:r>
      <w:r>
        <w:t xml:space="preserve"> </w:t>
      </w:r>
      <w:r>
        <w:t xml:space="preserve">3</w:t>
      </w:r>
      <w:r>
        <w:t xml:space="preserve">). More altered biological communities and high stress conditions were observed toward coastal areas in the lower watersheds and where urbanization is highest (e.g., Los Angeles, Orange County, Ventura, San Diego). Sites with altered biological condition showed similar spatial patterns as the overall SQI, although sites altered only for the ASCI were more often observed at mid-elevation in northern and southern locations in the study area. Stress condition patterns were similar to biology although low stress conditions were confined to the extreme northeast region of the study area, whereas healthy biological conditions were observed at a wider range of locations but still generally confined to high elevation. High stress conditions were also observed across a wider elevation gradient than biological alteration, i.e., resilient biological comunities in the presence of high stress were not uncommon (Table</w:t>
      </w:r>
      <w:r>
        <w:t xml:space="preserve"> </w:t>
      </w:r>
      <w:r>
        <w:t xml:space="preserve">1</w:t>
      </w:r>
      <w:r>
        <w:t xml:space="preserve">).</w:t>
      </w:r>
    </w:p>
    <w:p>
      <w:pPr>
        <w:pStyle w:val="BodyText"/>
      </w:pPr>
      <w:r>
        <w:t xml:space="preserve">The underlying empirical models provided insight into instream characteristics that were related to he likelihood of biological alteration (Figures</w:t>
      </w:r>
      <w:r>
        <w:t xml:space="preserve"> </w:t>
      </w:r>
      <w:r>
        <w:t xml:space="preserve">4</w:t>
      </w:r>
      <w:r>
        <w:t xml:space="preserve">,</w:t>
      </w:r>
      <w:r>
        <w:t xml:space="preserve"> </w:t>
      </w:r>
      <w:r>
        <w:t xml:space="preserve">5</w:t>
      </w:r>
      <w:r>
        <w:t xml:space="preserve">). Seventy percent of sites (n = 171) had a greater than 50% likelihood of biological alteration from water chemistry stressors and 79% (n = 187) had a greater than 50% likelihood of biological alteration from physical habitat stressors (Figure</w:t>
      </w:r>
      <w:r>
        <w:t xml:space="preserve"> </w:t>
      </w:r>
      <w:r>
        <w:t xml:space="preserve">4</w:t>
      </w:r>
      <w:r>
        <w:t xml:space="preserve">). Collectively, 90% of sites had a greater than 50% likelihood of biological alteration from the overall stress of both chemistry and physical habitat stressors.</w:t>
      </w:r>
    </w:p>
    <w:p>
      <w:pPr>
        <w:pStyle w:val="BodyText"/>
      </w:pPr>
      <w:r>
        <w:t xml:space="preserve">Figure</w:t>
      </w:r>
      <w:r>
        <w:t xml:space="preserve"> </w:t>
      </w:r>
      <w:r>
        <w:t xml:space="preserve">5</w:t>
      </w:r>
      <w:r>
        <w:t xml:space="preserve"> </w:t>
      </w:r>
      <w:r>
        <w:t xml:space="preserve">demonstrates how the individual components for each stressor model were related to likelihood of alteration. These partial dependency plots were created by estimating the likelihood of alteration across a range of values for each predictor while holding other predictors constant. For each plot, the variables not on the x-axis were held at approximate values that were associated with low stress to better understand how biological alteration may be related to each predictor. For water chemistry stressors, all were positively associated with likelihood of alteration, particularly total phosphorus which had the steepest increase in likelihood per unit increase of nutrients. Associations of biological alteration with physical habitat predictors were more variable. The strongest relationship was observed with increases in CRAM scores, where likelihood of alteration decreased sharply with CRAM scores greater than 50. Other predictors showed expected associations with alteration but were not as strong as for CRAM, e.g., increases in substrate diversity were associated with improved biological condition. Percent sands and fines was the only physical habitat variable that showed a positive assocation with likelihood of biological alteration.</w:t>
      </w:r>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0" w:name="figures"/>
      <w:r>
        <w:t xml:space="preserve">Figures</w:t>
      </w:r>
      <w:bookmarkEnd w:id="30"/>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31"/>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32"/>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CaptionedFigure"/>
      </w:pPr>
      <w:r>
        <w:drawing>
          <wp:inline>
            <wp:extent cx="5943600" cy="5943600"/>
            <wp:effectExtent b="0" l="0" r="0" t="0"/>
            <wp:docPr descr="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 title="" id="1" name="Picture"/>
            <a:graphic>
              <a:graphicData uri="http://schemas.openxmlformats.org/drawingml/2006/picture">
                <pic:pic>
                  <pic:nvPicPr>
                    <pic:cNvPr descr="figs/sqi_map.png" id="0"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Categorical site descriptions for the Stream Quality Index (SQI) at monitoring sites in Southern California. The overall SQI (top) is described as the possible outcomes from biological (middle) and stress conditions (bottom). The biological conditions are described by the possible outcomes from the CSCI and ASCI. The stress conditions are described by the possible outcomes from the chemistry and habitat stressors.</w:t>
      </w:r>
    </w:p>
    <w:p>
      <w:pPr>
        <w:pStyle w:val="CaptionedFigure"/>
      </w:pPr>
      <w:r>
        <w:drawing>
          <wp:inline>
            <wp:extent cx="4125112" cy="4583458"/>
            <wp:effectExtent b="0" l="0" r="0" t="0"/>
            <wp:docPr descr="Figure 4 Relationship between stress models for water chemistry (pChem, eqn. (1)) and physical habitat (pHab, eqn. (2). Stress models for water chemistry and physical habitat were created based on the likelihood of biological alteration for the observed stress measures. The overall stress meaures (pOverall, eqn. (3)) is the product of both stress models. Points represent estimated stress at a single site." title="" id="1" name="Picture"/>
            <a:graphic>
              <a:graphicData uri="http://schemas.openxmlformats.org/drawingml/2006/picture">
                <pic:pic>
                  <pic:nvPicPr>
                    <pic:cNvPr descr="figs/str_lik.png" id="0" name="Picture"/>
                    <pic:cNvPicPr>
                      <a:picLocks noChangeArrowheads="1" noChangeAspect="1"/>
                    </pic:cNvPicPr>
                  </pic:nvPicPr>
                  <pic:blipFill>
                    <a:blip r:embed="rId34"/>
                    <a:stretch>
                      <a:fillRect/>
                    </a:stretch>
                  </pic:blipFill>
                  <pic:spPr bwMode="auto">
                    <a:xfrm>
                      <a:off x="0" y="0"/>
                      <a:ext cx="4125112" cy="4583458"/>
                    </a:xfrm>
                    <a:prstGeom prst="rect">
                      <a:avLst/>
                    </a:prstGeom>
                    <a:noFill/>
                    <a:ln w="9525">
                      <a:noFill/>
                      <a:headEnd/>
                      <a:tailEnd/>
                    </a:ln>
                  </pic:spPr>
                </pic:pic>
              </a:graphicData>
            </a:graphic>
          </wp:inline>
        </w:drawing>
      </w:r>
    </w:p>
    <w:p>
      <w:pPr>
        <w:pStyle w:val="ImageCaption"/>
      </w:pPr>
      <w:r>
        <w:t xml:space="preserve">Figure 4 Relationship between stress models for water chemistry (</w:t>
      </w:r>
      <w:r>
        <w:rPr>
          <w:i/>
        </w:rPr>
        <w:t xml:space="preserve">pChem</w:t>
      </w:r>
      <w:r>
        <w:t xml:space="preserve">, eqn. (1)) and physical habitat (</w:t>
      </w:r>
      <w:r>
        <w:rPr>
          <w:i/>
        </w:rPr>
        <w:t xml:space="preserve">pHab</w:t>
      </w:r>
      <w:r>
        <w:t xml:space="preserve">, eqn. (2). Stress models for water chemistry and physical habitat were created based on the likelihood of biological alteration for the observed stress measures. The overall stress meaures (</w:t>
      </w:r>
      <w:r>
        <w:rPr>
          <w:i/>
        </w:rPr>
        <w:t xml:space="preserve">pOverall</w:t>
      </w:r>
      <w:r>
        <w:t xml:space="preserve">, eqn. (3)) is the product of both stress models. Points represent estimated stress at a single site.</w:t>
      </w:r>
    </w:p>
    <w:p>
      <w:pPr>
        <w:pStyle w:val="CaptionedFigure"/>
      </w:pPr>
      <w:r>
        <w:drawing>
          <wp:inline>
            <wp:extent cx="5943600" cy="3241963"/>
            <wp:effectExtent b="0" l="0" r="0" t="0"/>
            <wp:docPr descr="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 title="" id="1" name="Picture"/>
            <a:graphic>
              <a:graphicData uri="http://schemas.openxmlformats.org/drawingml/2006/picture">
                <pic:pic>
                  <pic:nvPicPr>
                    <pic:cNvPr descr="figs/rsp_crv.png" id="0" name="Picture"/>
                    <pic:cNvPicPr>
                      <a:picLocks noChangeArrowheads="1" noChangeAspect="1"/>
                    </pic:cNvPicPr>
                  </pic:nvPicPr>
                  <pic:blipFill>
                    <a:blip r:embed="rId35"/>
                    <a:stretch>
                      <a:fillRect/>
                    </a:stretch>
                  </pic:blipFill>
                  <pic:spPr bwMode="auto">
                    <a:xfrm>
                      <a:off x="0" y="0"/>
                      <a:ext cx="5943600" cy="3241963"/>
                    </a:xfrm>
                    <a:prstGeom prst="rect">
                      <a:avLst/>
                    </a:prstGeom>
                    <a:noFill/>
                    <a:ln w="9525">
                      <a:noFill/>
                      <a:headEnd/>
                      <a:tailEnd/>
                    </a:ln>
                  </pic:spPr>
                </pic:pic>
              </a:graphicData>
            </a:graphic>
          </wp:inline>
        </w:drawing>
      </w:r>
    </w:p>
    <w:p>
      <w:pPr>
        <w:pStyle w:val="ImageCaption"/>
      </w:pPr>
      <w:r>
        <w:t xml:space="preserve">Figure 5 Modelled likelihood of biological alteration from water quality (top) and physical habitat stressors (bottom). Curves are the binomial likelihood (+/- standard error) of biological condition being altered (as measured by macroinvertebrate and algal indices) across the range of observed values for water quality and physical habitat stressors on the x-axes. The water chemistry and physical habitat stress plots are derived from equations (1) and (2). Other variables in each model not on the x-axis for each plot are held constant at values for low stress conditions.</w:t>
      </w:r>
    </w:p>
    <w:p>
      <w:pPr>
        <w:pStyle w:val="Heading1"/>
      </w:pPr>
      <w:bookmarkStart w:id="36" w:name="tables"/>
      <w:r>
        <w:t xml:space="preserve">Tables</w:t>
      </w:r>
      <w:bookmarkEnd w:id="36"/>
    </w:p>
    <w:p>
      <w:pPr>
        <w:pStyle w:val="TableCaption"/>
      </w:pPr>
      <w:r>
        <w:t xml:space="preserve">Table 1 Counts of sites in each of the categorical outputs from the SQI. For every SQI output (biological condition, overall SQI, stress condition), a site is categorized as one of four possible outcomes.</w:t>
      </w:r>
    </w:p>
    <w:tbl>
      <w:tblPr>
        <w:tblStyle w:val="Table"/>
        <w:tblW w:type="pct" w:w="0.0"/>
        <w:tblLook w:firstRow="1"/>
        <w:tblCaption w:val="Table 1 Counts of sites in each of the categorical outputs from the SQI. For every SQI output (biological condition, overall SQI, stress condition), a site is categorized as one of four possible outcomes."/>
      </w:tblPr>
      <w:tblGrid/>
      <w:tr>
        <w:trPr>
          <w:cnfStyle w:firstRow="1"/>
        </w:trPr>
        <w:tc>
          <w:tcPr>
            <w:tcBorders>
              <w:bottom w:val="single"/>
            </w:tcBorders>
            <w:vAlign w:val="bottom"/>
          </w:tcPr>
          <w:p>
            <w:pPr>
              <w:pStyle w:val="Compact"/>
              <w:jc w:val="left"/>
            </w:pPr>
            <w:r>
              <w:t xml:space="preserve">SQI output</w:t>
            </w:r>
          </w:p>
        </w:tc>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Count (percent)</w:t>
            </w:r>
          </w:p>
        </w:tc>
      </w:tr>
      <w:tr>
        <w:tc>
          <w:p>
            <w:pPr>
              <w:pStyle w:val="Compact"/>
              <w:jc w:val="left"/>
            </w:pPr>
            <w:r>
              <w:t xml:space="preserve">Overall SQI</w:t>
            </w:r>
          </w:p>
        </w:tc>
        <w:tc>
          <w:p>
            <w:pPr>
              <w:pStyle w:val="Compact"/>
              <w:jc w:val="left"/>
            </w:pPr>
            <w:r>
              <w:t xml:space="preserve">Healthy and unstressed</w:t>
            </w:r>
          </w:p>
        </w:tc>
        <w:tc>
          <w:p>
            <w:pPr>
              <w:pStyle w:val="Compact"/>
              <w:jc w:val="left"/>
            </w:pPr>
            <w:r>
              <w:t xml:space="preserve">14 (5.9)</w:t>
            </w:r>
          </w:p>
        </w:tc>
      </w:tr>
      <w:tr>
        <w:tc>
          <w:p>
            <w:pPr>
              <w:pStyle w:val="Compact"/>
            </w:pPr>
          </w:p>
        </w:tc>
        <w:tc>
          <w:p>
            <w:pPr>
              <w:pStyle w:val="Compact"/>
              <w:jc w:val="left"/>
            </w:pPr>
            <w:r>
              <w:t xml:space="preserve">Healthy and resilient</w:t>
            </w:r>
          </w:p>
        </w:tc>
        <w:tc>
          <w:p>
            <w:pPr>
              <w:pStyle w:val="Compact"/>
              <w:jc w:val="left"/>
            </w:pPr>
            <w:r>
              <w:t xml:space="preserve">43 (18.1)</w:t>
            </w:r>
          </w:p>
        </w:tc>
      </w:tr>
      <w:tr>
        <w:tc>
          <w:p>
            <w:pPr>
              <w:pStyle w:val="Compact"/>
            </w:pPr>
          </w:p>
        </w:tc>
        <w:tc>
          <w:p>
            <w:pPr>
              <w:pStyle w:val="Compact"/>
              <w:jc w:val="left"/>
            </w:pPr>
            <w:r>
              <w:t xml:space="preserve">Impacted and stressed</w:t>
            </w:r>
          </w:p>
        </w:tc>
        <w:tc>
          <w:p>
            <w:pPr>
              <w:pStyle w:val="Compact"/>
              <w:jc w:val="left"/>
            </w:pPr>
            <w:r>
              <w:t xml:space="preserve">180 (75.6)</w:t>
            </w:r>
          </w:p>
        </w:tc>
      </w:tr>
      <w:tr>
        <w:tc>
          <w:p>
            <w:pPr>
              <w:pStyle w:val="Compact"/>
            </w:pPr>
          </w:p>
        </w:tc>
        <w:tc>
          <w:p>
            <w:pPr>
              <w:pStyle w:val="Compact"/>
              <w:jc w:val="left"/>
            </w:pPr>
            <w:r>
              <w:t xml:space="preserve">Impacted by unknown stress</w:t>
            </w:r>
          </w:p>
        </w:tc>
        <w:tc>
          <w:p>
            <w:pPr>
              <w:pStyle w:val="Compact"/>
              <w:jc w:val="left"/>
            </w:pPr>
            <w:r>
              <w:t xml:space="preserve">1 (0.4)</w:t>
            </w:r>
          </w:p>
        </w:tc>
      </w:tr>
      <w:tr>
        <w:tc>
          <w:p>
            <w:pPr>
              <w:pStyle w:val="Compact"/>
              <w:jc w:val="left"/>
            </w:pPr>
            <w:r>
              <w:t xml:space="preserve">Biological condition</w:t>
            </w:r>
          </w:p>
        </w:tc>
        <w:tc>
          <w:p>
            <w:pPr>
              <w:pStyle w:val="Compact"/>
              <w:jc w:val="left"/>
            </w:pPr>
            <w:r>
              <w:t xml:space="preserve">Healthy</w:t>
            </w:r>
          </w:p>
        </w:tc>
        <w:tc>
          <w:p>
            <w:pPr>
              <w:pStyle w:val="Compact"/>
              <w:jc w:val="left"/>
            </w:pPr>
            <w:r>
              <w:t xml:space="preserve">57 (23.9)</w:t>
            </w:r>
          </w:p>
        </w:tc>
      </w:tr>
      <w:tr>
        <w:tc>
          <w:p>
            <w:pPr>
              <w:pStyle w:val="Compact"/>
            </w:pPr>
          </w:p>
        </w:tc>
        <w:tc>
          <w:p>
            <w:pPr>
              <w:pStyle w:val="Compact"/>
              <w:jc w:val="left"/>
            </w:pPr>
            <w:r>
              <w:t xml:space="preserve">Impacted for ASCI</w:t>
            </w:r>
          </w:p>
        </w:tc>
        <w:tc>
          <w:p>
            <w:pPr>
              <w:pStyle w:val="Compact"/>
              <w:jc w:val="left"/>
            </w:pPr>
            <w:r>
              <w:t xml:space="preserve">54 (22.7)</w:t>
            </w:r>
          </w:p>
        </w:tc>
      </w:tr>
      <w:tr>
        <w:tc>
          <w:p>
            <w:pPr>
              <w:pStyle w:val="Compact"/>
            </w:pPr>
          </w:p>
        </w:tc>
        <w:tc>
          <w:p>
            <w:pPr>
              <w:pStyle w:val="Compact"/>
              <w:jc w:val="left"/>
            </w:pPr>
            <w:r>
              <w:t xml:space="preserve">Impacted for CSCI</w:t>
            </w:r>
          </w:p>
        </w:tc>
        <w:tc>
          <w:p>
            <w:pPr>
              <w:pStyle w:val="Compact"/>
              <w:jc w:val="left"/>
            </w:pPr>
            <w:r>
              <w:t xml:space="preserve">16 (6.7)</w:t>
            </w:r>
          </w:p>
        </w:tc>
      </w:tr>
      <w:tr>
        <w:tc>
          <w:p>
            <w:pPr>
              <w:pStyle w:val="Compact"/>
            </w:pPr>
          </w:p>
        </w:tc>
        <w:tc>
          <w:p>
            <w:pPr>
              <w:pStyle w:val="Compact"/>
              <w:jc w:val="left"/>
            </w:pPr>
            <w:r>
              <w:t xml:space="preserve">Impacted for CSCI and ASCI</w:t>
            </w:r>
          </w:p>
        </w:tc>
        <w:tc>
          <w:p>
            <w:pPr>
              <w:pStyle w:val="Compact"/>
              <w:jc w:val="left"/>
            </w:pPr>
            <w:r>
              <w:t xml:space="preserve">111 (46.6)</w:t>
            </w:r>
          </w:p>
        </w:tc>
      </w:tr>
      <w:tr>
        <w:tc>
          <w:p>
            <w:pPr>
              <w:pStyle w:val="Compact"/>
              <w:jc w:val="left"/>
            </w:pPr>
            <w:r>
              <w:t xml:space="preserve">Stress condition</w:t>
            </w:r>
          </w:p>
        </w:tc>
        <w:tc>
          <w:p>
            <w:pPr>
              <w:pStyle w:val="Compact"/>
              <w:jc w:val="left"/>
            </w:pPr>
            <w:r>
              <w:t xml:space="preserve">Low stress</w:t>
            </w:r>
          </w:p>
        </w:tc>
        <w:tc>
          <w:p>
            <w:pPr>
              <w:pStyle w:val="Compact"/>
              <w:jc w:val="left"/>
            </w:pPr>
            <w:r>
              <w:t xml:space="preserve">15 (6.3)</w:t>
            </w:r>
          </w:p>
        </w:tc>
      </w:tr>
      <w:tr>
        <w:tc>
          <w:p>
            <w:pPr>
              <w:pStyle w:val="Compact"/>
            </w:pPr>
          </w:p>
        </w:tc>
        <w:tc>
          <w:p>
            <w:pPr>
              <w:pStyle w:val="Compact"/>
              <w:jc w:val="left"/>
            </w:pPr>
            <w:r>
              <w:t xml:space="preserve">Stressed by chemistry and habitat degradation</w:t>
            </w:r>
          </w:p>
        </w:tc>
        <w:tc>
          <w:p>
            <w:pPr>
              <w:pStyle w:val="Compact"/>
              <w:jc w:val="left"/>
            </w:pPr>
            <w:r>
              <w:t xml:space="preserve">181 (76.1)</w:t>
            </w:r>
          </w:p>
        </w:tc>
      </w:tr>
      <w:tr>
        <w:tc>
          <w:p>
            <w:pPr>
              <w:pStyle w:val="Compact"/>
            </w:pPr>
          </w:p>
        </w:tc>
        <w:tc>
          <w:p>
            <w:pPr>
              <w:pStyle w:val="Compact"/>
              <w:jc w:val="left"/>
            </w:pPr>
            <w:r>
              <w:t xml:space="preserve">Stressed by chemistry degradation</w:t>
            </w:r>
          </w:p>
        </w:tc>
        <w:tc>
          <w:p>
            <w:pPr>
              <w:pStyle w:val="Compact"/>
              <w:jc w:val="left"/>
            </w:pPr>
            <w:r>
              <w:t xml:space="preserve">10 (4.2)</w:t>
            </w:r>
          </w:p>
        </w:tc>
      </w:tr>
      <w:tr>
        <w:tc>
          <w:p>
            <w:pPr>
              <w:pStyle w:val="Compact"/>
            </w:pPr>
          </w:p>
        </w:tc>
        <w:tc>
          <w:p>
            <w:pPr>
              <w:pStyle w:val="Compact"/>
              <w:jc w:val="left"/>
            </w:pPr>
            <w:r>
              <w:t xml:space="preserve">Stressed by habitat degradation</w:t>
            </w:r>
          </w:p>
        </w:tc>
        <w:tc>
          <w:p>
            <w:pPr>
              <w:pStyle w:val="Compact"/>
              <w:jc w:val="left"/>
            </w:pPr>
            <w:r>
              <w:t xml:space="preserve">25 (10.5)</w:t>
            </w:r>
          </w:p>
        </w:tc>
      </w:tr>
      <w:tr>
        <w:tc>
          <w:p>
            <w:pPr>
              <w:pStyle w:val="Compact"/>
            </w:pPr>
          </w:p>
        </w:tc>
        <w:tc>
          <w:p>
            <w:pPr>
              <w:pStyle w:val="Compact"/>
              <w:jc w:val="left"/>
            </w:pPr>
            <w:r>
              <w:t xml:space="preserve">Stressed by low levels of chemistry or habitat degradation</w:t>
            </w:r>
          </w:p>
        </w:tc>
        <w:tc>
          <w:p>
            <w:pPr>
              <w:pStyle w:val="Compact"/>
              <w:jc w:val="left"/>
            </w:pPr>
            <w:r>
              <w:t xml:space="preserve">7 (2.9)</w:t>
            </w:r>
          </w:p>
        </w:tc>
      </w:tr>
    </w:tbl>
    <w:p>
      <w:pPr>
        <w:pStyle w:val="Heading1"/>
      </w:pPr>
      <w:bookmarkStart w:id="37" w:name="references"/>
      <w:r>
        <w:t xml:space="preserve">References</w:t>
      </w:r>
      <w:bookmarkEnd w:id="37"/>
    </w:p>
    <w:bookmarkStart w:id="56" w:name="refs"/>
    <w:bookmarkStart w:id="39"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(3):566–85.</w:t>
      </w:r>
      <w:r>
        <w:t xml:space="preserve"> </w:t>
      </w:r>
      <w:hyperlink r:id="rId38">
        <w:r>
          <w:rPr>
            <w:rStyle w:val="Hyperlink"/>
          </w:rPr>
          <w:t xml:space="preserve">https://doi.org/10.1899/06-078.1</w:t>
        </w:r>
      </w:hyperlink>
      <w:r>
        <w:t xml:space="preserve">.</w:t>
      </w:r>
    </w:p>
    <w:bookmarkEnd w:id="39"/>
    <w:bookmarkStart w:id="41"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40">
        <w:r>
          <w:rPr>
            <w:rStyle w:val="Hyperlink"/>
          </w:rPr>
          <w:t xml:space="preserve">\url{http://www.cramwetlands.org/documents/}</w:t>
        </w:r>
      </w:hyperlink>
      <w:r>
        <w:t xml:space="preserve">.</w:t>
      </w:r>
    </w:p>
    <w:bookmarkEnd w:id="41"/>
    <w:bookmarkStart w:id="42" w:name="ref-Davies06"/>
    <w:p>
      <w:pPr>
        <w:pStyle w:val="Bibliography"/>
      </w:pPr>
      <w:r>
        <w:t xml:space="preserve">Davies, S. P., and S. K. Jackson. 2006. “The Biological Condition Gradient: A Descriptive Model for Interpreting Change in Aquatic Ecosystems.”</w:t>
      </w:r>
      <w:r>
        <w:t xml:space="preserve"> </w:t>
      </w:r>
      <w:r>
        <w:rPr>
          <w:i/>
        </w:rPr>
        <w:t xml:space="preserve">Ecological Applications</w:t>
      </w:r>
      <w:r>
        <w:t xml:space="preserve"> </w:t>
      </w:r>
      <w:r>
        <w:t xml:space="preserve">16 (4):1251–66.</w:t>
      </w:r>
    </w:p>
    <w:bookmarkEnd w:id="42"/>
    <w:bookmarkStart w:id="43" w:name="ref-Mazor15"/>
    <w:p>
      <w:pPr>
        <w:pStyle w:val="Bibliography"/>
      </w:pPr>
      <w:r>
        <w:t xml:space="preserve">Mazor, R. D. 2015. “Bioassessment of Perennial Streams in Southern California: A Report on the First Five Years of the Stormwater Monitoring Coalitions’s Regional Stream Survey.” 844. Costa Mesa, California: Southern California Coastal Water Research Project.</w:t>
      </w:r>
    </w:p>
    <w:bookmarkEnd w:id="43"/>
    <w:bookmarkStart w:id="44"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44"/>
    <w:bookmarkStart w:id="46"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(1):41–52.</w:t>
      </w:r>
      <w:r>
        <w:t xml:space="preserve"> </w:t>
      </w:r>
      <w:hyperlink r:id="rId45">
        <w:r>
          <w:rPr>
            <w:rStyle w:val="Hyperlink"/>
          </w:rPr>
          <w:t xml:space="preserve">https://doi.org/10.1111/j.1365-2427.1987.tb01027.x</w:t>
        </w:r>
      </w:hyperlink>
      <w:r>
        <w:t xml:space="preserve">.</w:t>
      </w:r>
    </w:p>
    <w:bookmarkEnd w:id="46"/>
    <w:bookmarkStart w:id="47"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47"/>
    <w:bookmarkStart w:id="49"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48">
        <w:r>
          <w:rPr>
            <w:rStyle w:val="Hyperlink"/>
          </w:rPr>
          <w:t xml:space="preserve">https://www.waterboards.ca.gov/water_issues/programs/swamp/bioassessment/docs/physical_habitat_index_technical_memo.pdf</w:t>
        </w:r>
      </w:hyperlink>
      <w:r>
        <w:t xml:space="preserve">.</w:t>
      </w:r>
    </w:p>
    <w:bookmarkEnd w:id="49"/>
    <w:bookmarkStart w:id="51"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(5):459–74.</w:t>
      </w:r>
      <w:r>
        <w:t xml:space="preserve"> </w:t>
      </w:r>
      <w:hyperlink r:id="rId50">
        <w:r>
          <w:rPr>
            <w:rStyle w:val="Hyperlink"/>
          </w:rPr>
          <w:t xml:space="preserve">https://doi.org/10.1007/s11273-011-9230-6</w:t>
        </w:r>
      </w:hyperlink>
      <w:r>
        <w:t xml:space="preserve">.</w:t>
      </w:r>
    </w:p>
    <w:bookmarkEnd w:id="51"/>
    <w:bookmarkStart w:id="53"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52">
        <w:r>
          <w:rPr>
            <w:rStyle w:val="Hyperlink"/>
          </w:rPr>
          <w:t xml:space="preserve">https://doi.org/10.1890/1051-0761(2006)016[1267:SEFTEC]2.0.CO;2</w:t>
        </w:r>
      </w:hyperlink>
      <w:r>
        <w:t xml:space="preserve">.</w:t>
      </w:r>
    </w:p>
    <w:bookmarkEnd w:id="53"/>
    <w:bookmarkStart w:id="54"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54"/>
    <w:bookmarkStart w:id="55" w:name="ref-Wood06"/>
    <w:p>
      <w:pPr>
        <w:pStyle w:val="Bibliography"/>
      </w:pPr>
      <w:r>
        <w:t xml:space="preserve">Wood, S. N. 2006.</w:t>
      </w:r>
      <w:r>
        <w:t xml:space="preserve"> </w:t>
      </w:r>
      <w:r>
        <w:rPr>
          <w:i/>
        </w:rPr>
        <w:t xml:space="preserve">Generalized Additive Models: An Introduction with R</w:t>
      </w:r>
      <w:r>
        <w:t xml:space="preserve">. London, United Kingdom: Chapman; Hall, CRC Press.</w:t>
      </w:r>
    </w:p>
    <w:bookmarkEnd w:id="55"/>
    <w:bookmarkEnd w:id="56"/>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40" Target="\url{http://www.cramwetlands.org/documents/}" TargetMode="External" /><Relationship Type="http://schemas.openxmlformats.org/officeDocument/2006/relationships/hyperlink" Id="rId50" Target="https://doi.org/10.1007/s11273-011-9230-6" TargetMode="External" /><Relationship Type="http://schemas.openxmlformats.org/officeDocument/2006/relationships/hyperlink" Id="rId45" Target="https://doi.org/10.1111/j.1365-2427.1987.tb01027.x" TargetMode="External" /><Relationship Type="http://schemas.openxmlformats.org/officeDocument/2006/relationships/hyperlink" Id="rId52" Target="https://doi.org/10.1890/1051-0761(2006)016[1267:SEFTEC]2.0.CO;2" TargetMode="External" /><Relationship Type="http://schemas.openxmlformats.org/officeDocument/2006/relationships/hyperlink" Id="rId38" Target="https://doi.org/10.1899/06-078.1" TargetMode="External" /><Relationship Type="http://schemas.openxmlformats.org/officeDocument/2006/relationships/hyperlink" Id="rId48"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40" Target="\url{http://www.cramwetlands.org/documents/}" TargetMode="External" /><Relationship Type="http://schemas.openxmlformats.org/officeDocument/2006/relationships/hyperlink" Id="rId50" Target="https://doi.org/10.1007/s11273-011-9230-6" TargetMode="External" /><Relationship Type="http://schemas.openxmlformats.org/officeDocument/2006/relationships/hyperlink" Id="rId45" Target="https://doi.org/10.1111/j.1365-2427.1987.tb01027.x" TargetMode="External" /><Relationship Type="http://schemas.openxmlformats.org/officeDocument/2006/relationships/hyperlink" Id="rId52" Target="https://doi.org/10.1890/1051-0761(2006)016[1267:SEFTEC]2.0.CO;2" TargetMode="External" /><Relationship Type="http://schemas.openxmlformats.org/officeDocument/2006/relationships/hyperlink" Id="rId38" Target="https://doi.org/10.1899/06-078.1" TargetMode="External" /><Relationship Type="http://schemas.openxmlformats.org/officeDocument/2006/relationships/hyperlink" Id="rId48"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Condition Index: A Multi-Indicator Tool For Enhancing Environmental Management Communication</dc:title>
  <dc:creator>Marcus W. Beck (marcusb@sccwrp.org), Raphael D. Mazor (raphaelm@sccwrp.org), Kenneth C. Schiff (kens@sccwrp.org</dc:creator>
  <cp:keywords/>
  <dcterms:created xsi:type="dcterms:W3CDTF">2019-02-15T23:20:26Z</dcterms:created>
  <dcterms:modified xsi:type="dcterms:W3CDTF">2019-02-15T23:20:26Z</dcterms:modified>
</cp:coreProperties>
</file>