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Stream</w:t>
      </w:r>
      <w:r>
        <w:t xml:space="preserve"> </w:t>
      </w:r>
      <w:r>
        <w:t xml:space="preserve">Condition</w:t>
      </w:r>
      <w:r>
        <w:t xml:space="preserve"> </w:t>
      </w:r>
      <w:r>
        <w:t xml:space="preserve">Index:</w:t>
      </w:r>
      <w:r>
        <w:t xml:space="preserve"> </w:t>
      </w:r>
      <w:r>
        <w:t xml:space="preserve">A</w:t>
      </w:r>
      <w:r>
        <w:t xml:space="preserve"> </w:t>
      </w:r>
      <w:r>
        <w:t xml:space="preserve">Multi-Indicator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Enhancing</w:t>
      </w:r>
      <w:r>
        <w:t xml:space="preserve"> </w:t>
      </w:r>
      <w:r>
        <w:t xml:space="preserve">Environmental</w:t>
      </w:r>
      <w:r>
        <w:t xml:space="preserve"> </w:t>
      </w:r>
      <w:r>
        <w:t xml:space="preserve">Management</w:t>
      </w:r>
      <w:r>
        <w:t xml:space="preserve"> </w:t>
      </w:r>
      <w:r>
        <w:t xml:space="preserve">Communication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Kenneth</w:t>
      </w:r>
      <w:r>
        <w:t xml:space="preserve"> </w:t>
      </w:r>
      <w:r>
        <w:t xml:space="preserve">C.</w:t>
      </w:r>
      <w:r>
        <w:t xml:space="preserve"> </w:t>
      </w:r>
      <w:r>
        <w:t xml:space="preserve">Schiff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kens@sccwrp.org</w:t>
        </w:r>
      </w:hyperlink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A cornerstone of the Clean Water Act is to restore and maintain the chemical, physical, and biological integrity of the Nation’s waters. (CWA)</w:t>
      </w:r>
    </w:p>
    <w:p>
      <w:pPr>
        <w:pStyle w:val="Compact"/>
        <w:numPr>
          <w:numId w:val="1002"/>
          <w:ilvl w:val="1"/>
        </w:numPr>
      </w:pPr>
      <w:r>
        <w:t xml:space="preserve">All three lines of evidence are necessary to ensure aquatic life beneficial uses are fully supported (CWA §305b, 303d)</w:t>
      </w:r>
    </w:p>
    <w:p>
      <w:pPr>
        <w:pStyle w:val="Compact"/>
        <w:numPr>
          <w:numId w:val="1002"/>
          <w:ilvl w:val="1"/>
        </w:numPr>
      </w:pPr>
      <w:r>
        <w:t xml:space="preserve">Monitoring physical habitat integrity is necessary to ensure all of the necessary environmental niches are present to support aquatic life (Poff or other Keystone PHab ref)</w:t>
      </w:r>
    </w:p>
    <w:p>
      <w:pPr>
        <w:pStyle w:val="Compact"/>
        <w:numPr>
          <w:numId w:val="1002"/>
          <w:ilvl w:val="1"/>
        </w:numPr>
      </w:pPr>
      <w:r>
        <w:t xml:space="preserve">Monitoring chemical integrity is necessary because even with suitable physical habitat, unbalanced chemical composition can impair aquatic life (EPA Green Book)</w:t>
      </w:r>
    </w:p>
    <w:p>
      <w:pPr>
        <w:pStyle w:val="Compact"/>
        <w:numPr>
          <w:numId w:val="1002"/>
          <w:ilvl w:val="1"/>
        </w:numPr>
      </w:pPr>
      <w:r>
        <w:t xml:space="preserve">Monitoring biological integrity, closest to the beneficial use, is necessary because unmeasured habitat or chemical water quality can impair balanced ecosystems (Stoddard, Ode).</w:t>
      </w:r>
    </w:p>
    <w:p>
      <w:pPr>
        <w:pStyle w:val="Compact"/>
        <w:numPr>
          <w:numId w:val="1001"/>
          <w:ilvl w:val="0"/>
        </w:numPr>
      </w:pPr>
      <w:r>
        <w:t xml:space="preserve">A tremendous amount of effort is spent monitoring all three lines of evidence</w:t>
      </w:r>
    </w:p>
    <w:p>
      <w:pPr>
        <w:pStyle w:val="Compact"/>
        <w:numPr>
          <w:numId w:val="1003"/>
          <w:ilvl w:val="1"/>
        </w:numPr>
      </w:pPr>
      <w:r>
        <w:t xml:space="preserve">Cite some programs here that spend a lot of effort and money on the triad (EPA EMAP, PSA, SMC, Ohio, Maryland, etc)</w:t>
      </w:r>
    </w:p>
    <w:p>
      <w:pPr>
        <w:pStyle w:val="Compact"/>
        <w:numPr>
          <w:numId w:val="1001"/>
          <w:ilvl w:val="0"/>
        </w:numPr>
      </w:pPr>
      <w:r>
        <w:t xml:space="preserve">A common challenge when monitoring multiple indicators is how to communicate the complex physical, chemical, and biological results in a scientifically rigorous, repeatable, yet readily understandable way to non-scientists. (NRC)</w:t>
      </w:r>
    </w:p>
    <w:p>
      <w:pPr>
        <w:pStyle w:val="Compact"/>
        <w:numPr>
          <w:numId w:val="1004"/>
          <w:ilvl w:val="1"/>
        </w:numPr>
      </w:pPr>
      <w:r>
        <w:t xml:space="preserve">Most environmental managers and decision makers are not scientists and don’t understand the intricate, nuanced details of ecological data</w:t>
      </w:r>
    </w:p>
    <w:p>
      <w:pPr>
        <w:pStyle w:val="Compact"/>
        <w:numPr>
          <w:numId w:val="1004"/>
          <w:ilvl w:val="1"/>
        </w:numPr>
      </w:pPr>
      <w:r>
        <w:t xml:space="preserve">Rarely are ecological data black and white, so many of decisions asked of mangers are made in the</w:t>
      </w:r>
      <w:r>
        <w:t xml:space="preserve"> </w:t>
      </w:r>
      <w:r>
        <w:t xml:space="preserve">“</w:t>
      </w:r>
      <w:r>
        <w:t xml:space="preserve">grey zone</w:t>
      </w:r>
      <w:r>
        <w:t xml:space="preserve">”</w:t>
      </w:r>
      <w:r>
        <w:t xml:space="preserve"> </w:t>
      </w:r>
      <w:r>
        <w:t xml:space="preserve">(pick from thousands of refs)</w:t>
      </w:r>
    </w:p>
    <w:p>
      <w:pPr>
        <w:pStyle w:val="Compact"/>
        <w:numPr>
          <w:numId w:val="1004"/>
          <w:ilvl w:val="1"/>
        </w:numPr>
      </w:pPr>
      <w:r>
        <w:t xml:space="preserve">This is particularly true when the different lines of evidence are not in complete agreement</w:t>
      </w:r>
    </w:p>
    <w:p>
      <w:pPr>
        <w:pStyle w:val="Compact"/>
        <w:numPr>
          <w:numId w:val="1001"/>
          <w:ilvl w:val="0"/>
        </w:numPr>
      </w:pPr>
      <w:r>
        <w:t xml:space="preserve">Currently, there are many examples of how to effectively communicate single lines of evidence</w:t>
      </w:r>
    </w:p>
    <w:p>
      <w:pPr>
        <w:pStyle w:val="Compact"/>
        <w:numPr>
          <w:numId w:val="1005"/>
          <w:ilvl w:val="1"/>
        </w:numPr>
      </w:pPr>
      <w:r>
        <w:t xml:space="preserve">IBIs (Karr)</w:t>
      </w:r>
    </w:p>
    <w:p>
      <w:pPr>
        <w:pStyle w:val="Compact"/>
        <w:numPr>
          <w:numId w:val="1005"/>
          <w:ilvl w:val="1"/>
        </w:numPr>
      </w:pPr>
      <w:r>
        <w:t xml:space="preserve">O/E (Hawkins)</w:t>
      </w:r>
    </w:p>
    <w:p>
      <w:pPr>
        <w:pStyle w:val="Compact"/>
        <w:numPr>
          <w:numId w:val="1005"/>
          <w:ilvl w:val="1"/>
        </w:numPr>
      </w:pPr>
      <w:r>
        <w:t xml:space="preserve">Combined IBI and O/E (Mazor)</w:t>
      </w:r>
    </w:p>
    <w:p>
      <w:pPr>
        <w:pStyle w:val="Compact"/>
        <w:numPr>
          <w:numId w:val="1005"/>
          <w:ilvl w:val="1"/>
        </w:numPr>
      </w:pPr>
      <w:r>
        <w:t xml:space="preserve">BRI (Smith) or AMBI (Borja) –if you want to include marine</w:t>
      </w:r>
    </w:p>
    <w:p>
      <w:pPr>
        <w:pStyle w:val="Compact"/>
        <w:numPr>
          <w:numId w:val="1001"/>
          <w:ilvl w:val="0"/>
        </w:numPr>
      </w:pPr>
      <w:r>
        <w:t xml:space="preserve">Ideally, scientists would combine multiple indicators into a single index, although this rarely occurs</w:t>
      </w:r>
    </w:p>
    <w:p>
      <w:pPr>
        <w:pStyle w:val="Compact"/>
        <w:numPr>
          <w:numId w:val="1006"/>
          <w:ilvl w:val="1"/>
        </w:numPr>
      </w:pPr>
      <w:r>
        <w:t xml:space="preserve">Honestly, can’t think of a good one. Maybe you have an example. To me, the SQO is perhaps the best example</w:t>
      </w:r>
    </w:p>
    <w:p>
      <w:pPr>
        <w:pStyle w:val="Compact"/>
        <w:numPr>
          <w:numId w:val="1006"/>
          <w:ilvl w:val="1"/>
        </w:numPr>
      </w:pPr>
      <w:r>
        <w:t xml:space="preserve">Most frequently, the three indicators are individually simplified and presented in groups, leaving managers to decide which is most important.</w:t>
      </w:r>
    </w:p>
    <w:p>
      <w:pPr>
        <w:pStyle w:val="Compact"/>
        <w:numPr>
          <w:numId w:val="1001"/>
          <w:ilvl w:val="0"/>
        </w:numPr>
      </w:pPr>
      <w:r>
        <w:t xml:space="preserve">The goal of this study was to develop the Stream Condition Index, a single index that combines physical, chemical, and biological indicators into a scientifically rigorous, yet easy to understand tool for management decision making.</w:t>
      </w:r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Heading2"/>
      </w:pPr>
      <w:bookmarkStart w:id="25" w:name="general-approach"/>
      <w:r>
        <w:t xml:space="preserve">General Approach</w:t>
      </w:r>
      <w:bookmarkEnd w:id="25"/>
    </w:p>
    <w:p>
      <w:pPr>
        <w:pStyle w:val="Compact"/>
        <w:numPr>
          <w:numId w:val="1007"/>
          <w:ilvl w:val="0"/>
        </w:numPr>
      </w:pPr>
      <w:r>
        <w:t xml:space="preserve">The SQI uses a stressor-response conceptual approach</w:t>
      </w:r>
    </w:p>
    <w:p>
      <w:pPr>
        <w:pStyle w:val="Compact"/>
        <w:numPr>
          <w:numId w:val="1008"/>
          <w:ilvl w:val="1"/>
        </w:numPr>
      </w:pPr>
      <w:r>
        <w:t xml:space="preserve">Stressors include chemistry and physical habitat</w:t>
      </w:r>
    </w:p>
    <w:p>
      <w:pPr>
        <w:pStyle w:val="Compact"/>
        <w:numPr>
          <w:numId w:val="1009"/>
          <w:ilvl w:val="2"/>
        </w:numPr>
      </w:pPr>
      <w:r>
        <w:t xml:space="preserve">PHab can sometimes be considered a response, but we treat it as a stressor</w:t>
      </w:r>
    </w:p>
    <w:p>
      <w:pPr>
        <w:pStyle w:val="Compact"/>
        <w:numPr>
          <w:numId w:val="1008"/>
          <w:ilvl w:val="1"/>
        </w:numPr>
      </w:pPr>
      <w:r>
        <w:t xml:space="preserve">Response includes benthic invertebrates and algae</w:t>
      </w:r>
    </w:p>
    <w:p>
      <w:pPr>
        <w:pStyle w:val="Compact"/>
        <w:numPr>
          <w:numId w:val="1010"/>
          <w:ilvl w:val="2"/>
        </w:numPr>
      </w:pPr>
      <w:r>
        <w:t xml:space="preserve">Multiple taxa groups are critical for balanced outcomes</w:t>
      </w:r>
    </w:p>
    <w:p>
      <w:pPr>
        <w:pStyle w:val="Compact"/>
        <w:numPr>
          <w:numId w:val="1008"/>
          <w:ilvl w:val="1"/>
        </w:numPr>
      </w:pPr>
      <w:r>
        <w:t xml:space="preserve">Focused on So Cal</w:t>
      </w:r>
    </w:p>
    <w:p>
      <w:pPr>
        <w:pStyle w:val="Compact"/>
        <w:numPr>
          <w:numId w:val="1011"/>
          <w:ilvl w:val="2"/>
        </w:numPr>
      </w:pPr>
      <w:r>
        <w:t xml:space="preserve">Lots of data</w:t>
      </w:r>
    </w:p>
    <w:p>
      <w:pPr>
        <w:pStyle w:val="Compact"/>
        <w:numPr>
          <w:numId w:val="1011"/>
          <w:ilvl w:val="2"/>
        </w:numPr>
      </w:pPr>
      <w:r>
        <w:t xml:space="preserve">A wide range of stress and response</w:t>
      </w:r>
    </w:p>
    <w:p>
      <w:pPr>
        <w:pStyle w:val="Compact"/>
        <w:numPr>
          <w:numId w:val="1011"/>
          <w:ilvl w:val="2"/>
        </w:numPr>
      </w:pPr>
      <w:r>
        <w:t xml:space="preserve">Mandate for decision making</w:t>
      </w:r>
    </w:p>
    <w:p>
      <w:pPr>
        <w:pStyle w:val="Compact"/>
        <w:numPr>
          <w:numId w:val="1007"/>
          <w:ilvl w:val="0"/>
        </w:numPr>
      </w:pPr>
      <w:r>
        <w:t xml:space="preserve">Philosophical drivers</w:t>
      </w:r>
    </w:p>
    <w:p>
      <w:pPr>
        <w:pStyle w:val="Compact"/>
        <w:numPr>
          <w:numId w:val="1012"/>
          <w:ilvl w:val="1"/>
        </w:numPr>
      </w:pPr>
      <w:r>
        <w:t xml:space="preserve">Simple single answer at the end to support management decision making (set up for categorical scores at the end)</w:t>
      </w:r>
    </w:p>
    <w:p>
      <w:pPr>
        <w:pStyle w:val="Compact"/>
        <w:numPr>
          <w:numId w:val="1012"/>
          <w:ilvl w:val="1"/>
        </w:numPr>
      </w:pPr>
      <w:r>
        <w:t xml:space="preserve">Must be easily deconstructed so scientists can quickly glean what stressors or responses are driving the final score (Set up for the flowchart and for the web site)</w:t>
      </w:r>
    </w:p>
    <w:p>
      <w:pPr>
        <w:pStyle w:val="Compact"/>
        <w:numPr>
          <w:numId w:val="1012"/>
          <w:ilvl w:val="1"/>
        </w:numPr>
      </w:pPr>
      <w:r>
        <w:t xml:space="preserve">The primary pursuit is stream biological condition (set up to the stressor modeling)</w:t>
      </w:r>
    </w:p>
    <w:p>
      <w:pPr>
        <w:pStyle w:val="Heading2"/>
      </w:pPr>
      <w:bookmarkStart w:id="26" w:name="stressor-components"/>
      <w:r>
        <w:t xml:space="preserve">Stressor Components</w:t>
      </w:r>
      <w:bookmarkEnd w:id="26"/>
    </w:p>
    <w:p>
      <w:pPr>
        <w:pStyle w:val="Compact"/>
        <w:numPr>
          <w:numId w:val="1013"/>
          <w:ilvl w:val="0"/>
        </w:numPr>
      </w:pPr>
      <w:r>
        <w:t xml:space="preserve">Chemical Index</w:t>
      </w:r>
    </w:p>
    <w:p>
      <w:pPr>
        <w:pStyle w:val="Compact"/>
        <w:numPr>
          <w:numId w:val="1014"/>
          <w:ilvl w:val="1"/>
        </w:numPr>
      </w:pPr>
      <w:r>
        <w:t xml:space="preserve">N, P, Cond</w:t>
      </w:r>
    </w:p>
    <w:p>
      <w:pPr>
        <w:pStyle w:val="Compact"/>
        <w:numPr>
          <w:numId w:val="1014"/>
          <w:ilvl w:val="1"/>
        </w:numPr>
      </w:pPr>
      <w:r>
        <w:t xml:space="preserve">Describe modeling</w:t>
      </w:r>
    </w:p>
    <w:p>
      <w:pPr>
        <w:pStyle w:val="Compact"/>
        <w:numPr>
          <w:numId w:val="1014"/>
          <w:ilvl w:val="1"/>
        </w:numPr>
      </w:pPr>
      <w:r>
        <w:t xml:space="preserve">Maybe include details as supplemental material?</w:t>
      </w:r>
    </w:p>
    <w:p>
      <w:pPr>
        <w:pStyle w:val="Compact"/>
        <w:numPr>
          <w:numId w:val="1013"/>
          <w:ilvl w:val="0"/>
        </w:numPr>
      </w:pPr>
      <w:r>
        <w:t xml:space="preserve">Physical Habitat Index</w:t>
      </w:r>
    </w:p>
    <w:p>
      <w:pPr>
        <w:pStyle w:val="Compact"/>
        <w:numPr>
          <w:numId w:val="1015"/>
          <w:ilvl w:val="1"/>
        </w:numPr>
      </w:pPr>
      <w:r>
        <w:t xml:space="preserve">General description (Cite PIBI)</w:t>
      </w:r>
    </w:p>
    <w:p>
      <w:pPr>
        <w:pStyle w:val="Compact"/>
        <w:numPr>
          <w:numId w:val="1015"/>
          <w:ilvl w:val="1"/>
        </w:numPr>
      </w:pPr>
      <w:r>
        <w:t xml:space="preserve">CRAM</w:t>
      </w:r>
    </w:p>
    <w:p>
      <w:pPr>
        <w:pStyle w:val="Compact"/>
        <w:numPr>
          <w:numId w:val="1015"/>
          <w:ilvl w:val="1"/>
        </w:numPr>
      </w:pPr>
      <w:r>
        <w:t xml:space="preserve">PHab</w:t>
      </w:r>
    </w:p>
    <w:p>
      <w:pPr>
        <w:pStyle w:val="Heading2"/>
      </w:pPr>
      <w:bookmarkStart w:id="27" w:name="response-components"/>
      <w:r>
        <w:t xml:space="preserve">Response Components</w:t>
      </w:r>
      <w:bookmarkEnd w:id="27"/>
    </w:p>
    <w:p>
      <w:pPr>
        <w:pStyle w:val="Compact"/>
        <w:numPr>
          <w:numId w:val="1016"/>
          <w:ilvl w:val="0"/>
        </w:numPr>
      </w:pPr>
      <w:r>
        <w:t xml:space="preserve">Invertebrate index, CSCI</w:t>
      </w:r>
    </w:p>
    <w:p>
      <w:pPr>
        <w:pStyle w:val="Compact"/>
        <w:numPr>
          <w:numId w:val="1017"/>
          <w:ilvl w:val="1"/>
        </w:numPr>
      </w:pPr>
      <w:r>
        <w:t xml:space="preserve">General description (Cite Mazor)</w:t>
      </w:r>
    </w:p>
    <w:p>
      <w:pPr>
        <w:pStyle w:val="Compact"/>
        <w:numPr>
          <w:numId w:val="1016"/>
          <w:ilvl w:val="0"/>
        </w:numPr>
      </w:pPr>
      <w:r>
        <w:t xml:space="preserve">Algae index, ASCI</w:t>
      </w:r>
    </w:p>
    <w:p>
      <w:pPr>
        <w:pStyle w:val="Compact"/>
        <w:numPr>
          <w:numId w:val="1018"/>
          <w:ilvl w:val="1"/>
        </w:numPr>
      </w:pPr>
      <w:r>
        <w:t xml:space="preserve">General description (Cite Theroux)</w:t>
      </w:r>
    </w:p>
    <w:p>
      <w:pPr>
        <w:pStyle w:val="Heading2"/>
      </w:pPr>
      <w:bookmarkStart w:id="28" w:name="stream-condition-index"/>
      <w:r>
        <w:t xml:space="preserve">Stream Condition Index</w:t>
      </w:r>
      <w:bookmarkEnd w:id="28"/>
    </w:p>
    <w:p>
      <w:pPr>
        <w:pStyle w:val="Compact"/>
        <w:numPr>
          <w:numId w:val="1019"/>
          <w:ilvl w:val="0"/>
        </w:numPr>
      </w:pPr>
      <w:r>
        <w:t xml:space="preserve">Flow chart description</w:t>
      </w:r>
    </w:p>
    <w:p>
      <w:pPr>
        <w:pStyle w:val="Compact"/>
        <w:numPr>
          <w:numId w:val="1019"/>
          <w:ilvl w:val="0"/>
        </w:numPr>
      </w:pPr>
      <w:r>
        <w:t xml:space="preserve">Combining stressors</w:t>
      </w:r>
    </w:p>
    <w:p>
      <w:pPr>
        <w:pStyle w:val="Compact"/>
        <w:numPr>
          <w:numId w:val="1019"/>
          <w:ilvl w:val="0"/>
        </w:numPr>
      </w:pPr>
      <w:r>
        <w:t xml:space="preserve">Combining responses</w:t>
      </w:r>
    </w:p>
    <w:p>
      <w:pPr>
        <w:pStyle w:val="Compact"/>
        <w:numPr>
          <w:numId w:val="1019"/>
          <w:ilvl w:val="0"/>
        </w:numPr>
      </w:pPr>
      <w:r>
        <w:t xml:space="preserve">Combining stress and Response</w:t>
      </w:r>
    </w:p>
    <w:p>
      <w:pPr>
        <w:pStyle w:val="Compact"/>
        <w:numPr>
          <w:numId w:val="1019"/>
          <w:ilvl w:val="0"/>
        </w:numPr>
      </w:pPr>
      <w:r>
        <w:t xml:space="preserve">Linking final score to management actions (the categorical descriptions)</w:t>
      </w:r>
    </w:p>
    <w:p>
      <w:pPr>
        <w:pStyle w:val="Heading2"/>
      </w:pPr>
      <w:bookmarkStart w:id="29" w:name="application"/>
      <w:r>
        <w:t xml:space="preserve">Application</w:t>
      </w:r>
      <w:bookmarkEnd w:id="29"/>
    </w:p>
    <w:p>
      <w:pPr>
        <w:pStyle w:val="Compact"/>
        <w:numPr>
          <w:numId w:val="1020"/>
          <w:ilvl w:val="0"/>
        </w:numPr>
      </w:pPr>
      <w:r>
        <w:t xml:space="preserve">SMC data set</w:t>
      </w:r>
    </w:p>
    <w:p>
      <w:pPr>
        <w:pStyle w:val="Compact"/>
        <w:numPr>
          <w:numId w:val="1020"/>
          <w:ilvl w:val="0"/>
        </w:numPr>
      </w:pPr>
      <w:r>
        <w:t xml:space="preserve">Evaluation parameters/Performance metrics</w:t>
      </w:r>
    </w:p>
    <w:p>
      <w:pPr>
        <w:pStyle w:val="Compact"/>
        <w:numPr>
          <w:numId w:val="1020"/>
          <w:ilvl w:val="0"/>
        </w:numPr>
      </w:pPr>
      <w:r>
        <w:t xml:space="preserve">Web app (or leave this for discussion</w:t>
      </w:r>
    </w:p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Compact"/>
        <w:numPr>
          <w:numId w:val="1021"/>
          <w:ilvl w:val="0"/>
        </w:numPr>
      </w:pPr>
      <w:r>
        <w:t xml:space="preserve">SQI performance metrics</w:t>
      </w:r>
    </w:p>
    <w:p>
      <w:pPr>
        <w:pStyle w:val="Compact"/>
        <w:numPr>
          <w:numId w:val="1022"/>
          <w:ilvl w:val="1"/>
        </w:numPr>
      </w:pPr>
      <w:r>
        <w:t xml:space="preserve">Precision</w:t>
      </w:r>
    </w:p>
    <w:p>
      <w:pPr>
        <w:pStyle w:val="Compact"/>
        <w:numPr>
          <w:numId w:val="1022"/>
          <w:ilvl w:val="1"/>
        </w:numPr>
      </w:pPr>
      <w:r>
        <w:t xml:space="preserve">Any others?</w:t>
      </w:r>
    </w:p>
    <w:p>
      <w:pPr>
        <w:pStyle w:val="Compact"/>
        <w:numPr>
          <w:numId w:val="1021"/>
          <w:ilvl w:val="0"/>
        </w:numPr>
      </w:pPr>
      <w:r>
        <w:t xml:space="preserve">Percent So Cal stream miles or site frequency in each category</w:t>
      </w:r>
    </w:p>
    <w:p>
      <w:pPr>
        <w:pStyle w:val="Compact"/>
        <w:numPr>
          <w:numId w:val="1023"/>
          <w:ilvl w:val="1"/>
        </w:numPr>
      </w:pPr>
      <w:r>
        <w:t xml:space="preserve">As a set up for the value of the categorical scoring</w:t>
      </w:r>
    </w:p>
    <w:p>
      <w:pPr>
        <w:pStyle w:val="Compact"/>
        <w:numPr>
          <w:numId w:val="1021"/>
          <w:ilvl w:val="0"/>
        </w:numPr>
      </w:pPr>
      <w:r>
        <w:t xml:space="preserve">Overall agreement among stressor indicators</w:t>
      </w:r>
    </w:p>
    <w:p>
      <w:pPr>
        <w:pStyle w:val="Compact"/>
        <w:numPr>
          <w:numId w:val="1024"/>
          <w:ilvl w:val="1"/>
        </w:numPr>
      </w:pPr>
      <w:r>
        <w:t xml:space="preserve">As a set up for do we need multiple indicators?</w:t>
      </w:r>
    </w:p>
    <w:p>
      <w:pPr>
        <w:pStyle w:val="Compact"/>
        <w:numPr>
          <w:numId w:val="1021"/>
          <w:ilvl w:val="0"/>
        </w:numPr>
      </w:pPr>
      <w:r>
        <w:t xml:space="preserve">Overall agreement among response indicators</w:t>
      </w:r>
    </w:p>
    <w:p>
      <w:pPr>
        <w:pStyle w:val="Compact"/>
        <w:numPr>
          <w:numId w:val="1025"/>
          <w:ilvl w:val="1"/>
        </w:numPr>
      </w:pPr>
      <w:r>
        <w:t xml:space="preserve">As a set up for do we need multiple indicators?</w:t>
      </w:r>
    </w:p>
    <w:p>
      <w:pPr>
        <w:pStyle w:val="Compact"/>
        <w:numPr>
          <w:numId w:val="1021"/>
          <w:ilvl w:val="0"/>
        </w:numPr>
      </w:pPr>
      <w:r>
        <w:t xml:space="preserve">SQI trends either overall or at example sites</w:t>
      </w:r>
    </w:p>
    <w:p>
      <w:pPr>
        <w:pStyle w:val="Heading1"/>
      </w:pPr>
      <w:bookmarkStart w:id="31" w:name="discussion"/>
      <w:r>
        <w:t xml:space="preserve">Discussion</w:t>
      </w:r>
      <w:bookmarkEnd w:id="31"/>
    </w:p>
    <w:p>
      <w:pPr>
        <w:pStyle w:val="Compact"/>
        <w:numPr>
          <w:numId w:val="1026"/>
          <w:ilvl w:val="0"/>
        </w:numPr>
      </w:pPr>
      <w:r>
        <w:t xml:space="preserve">The SQI provides a management tool that is easily understandable</w:t>
      </w:r>
    </w:p>
    <w:p>
      <w:pPr>
        <w:pStyle w:val="Compact"/>
        <w:numPr>
          <w:numId w:val="1027"/>
          <w:ilvl w:val="1"/>
        </w:numPr>
      </w:pPr>
      <w:r>
        <w:t xml:space="preserve">The categories are descriptive of the outcomes</w:t>
      </w:r>
    </w:p>
    <w:p>
      <w:pPr>
        <w:pStyle w:val="Compact"/>
        <w:numPr>
          <w:numId w:val="1027"/>
          <w:ilvl w:val="1"/>
        </w:numPr>
      </w:pPr>
      <w:r>
        <w:t xml:space="preserve">Particularly important in a place like southern California where priority setting is critical</w:t>
      </w:r>
    </w:p>
    <w:p>
      <w:pPr>
        <w:pStyle w:val="Compact"/>
        <w:numPr>
          <w:numId w:val="1026"/>
          <w:ilvl w:val="0"/>
        </w:numPr>
      </w:pPr>
      <w:r>
        <w:t xml:space="preserve">The SQI is technically robust and is easily deconstructed for scientists to decipher details</w:t>
      </w:r>
    </w:p>
    <w:p>
      <w:pPr>
        <w:pStyle w:val="Compact"/>
        <w:numPr>
          <w:numId w:val="1028"/>
          <w:ilvl w:val="1"/>
        </w:numPr>
      </w:pPr>
      <w:r>
        <w:t xml:space="preserve">Can quickly reach individual stressor or response values/data</w:t>
      </w:r>
    </w:p>
    <w:p>
      <w:pPr>
        <w:pStyle w:val="Compact"/>
        <w:numPr>
          <w:numId w:val="1026"/>
          <w:ilvl w:val="0"/>
        </w:numPr>
      </w:pPr>
      <w:r>
        <w:t xml:space="preserve">The SQI utilizes a relatively new approach for scoring stress</w:t>
      </w:r>
    </w:p>
    <w:p>
      <w:pPr>
        <w:pStyle w:val="Compact"/>
        <w:numPr>
          <w:numId w:val="1029"/>
          <w:ilvl w:val="1"/>
        </w:numPr>
      </w:pPr>
      <w:r>
        <w:t xml:space="preserve">Examples where pPIBI or pChem exist in the literature</w:t>
      </w:r>
    </w:p>
    <w:p>
      <w:pPr>
        <w:pStyle w:val="Compact"/>
        <w:numPr>
          <w:numId w:val="1029"/>
          <w:ilvl w:val="1"/>
        </w:numPr>
      </w:pPr>
      <w:r>
        <w:t xml:space="preserve">How the RF model varies relative to other chemical magniture&amp;frequency stressor scores (i.e, Canadian tool, RB3)</w:t>
      </w:r>
    </w:p>
    <w:p>
      <w:pPr>
        <w:pStyle w:val="Compact"/>
        <w:numPr>
          <w:numId w:val="1029"/>
          <w:ilvl w:val="1"/>
        </w:numPr>
      </w:pPr>
      <w:r>
        <w:t xml:space="preserve">No previous PHab tool</w:t>
      </w:r>
    </w:p>
    <w:p>
      <w:pPr>
        <w:pStyle w:val="Compact"/>
        <w:numPr>
          <w:numId w:val="1026"/>
          <w:ilvl w:val="0"/>
        </w:numPr>
      </w:pPr>
      <w:r>
        <w:t xml:space="preserve">Drawbacks to the SQI</w:t>
      </w:r>
    </w:p>
    <w:p>
      <w:pPr>
        <w:pStyle w:val="Compact"/>
        <w:numPr>
          <w:numId w:val="1030"/>
          <w:ilvl w:val="1"/>
        </w:numPr>
      </w:pPr>
      <w:r>
        <w:t xml:space="preserve">Does not include all stressors (i.e., all chemicals, flow modification, etc)</w:t>
      </w:r>
    </w:p>
    <w:p>
      <w:pPr>
        <w:pStyle w:val="Compact"/>
        <w:numPr>
          <w:numId w:val="1030"/>
          <w:ilvl w:val="1"/>
        </w:numPr>
      </w:pPr>
      <w:r>
        <w:t xml:space="preserve">Does not include all responses (i.e., vertebrates, etc)</w:t>
      </w:r>
    </w:p>
    <w:p>
      <w:pPr>
        <w:pStyle w:val="Compact"/>
        <w:numPr>
          <w:numId w:val="1030"/>
          <w:ilvl w:val="1"/>
        </w:numPr>
      </w:pPr>
      <w:r>
        <w:t xml:space="preserve">The approach can/cannot incorporate these variables in other places/with more data?</w:t>
      </w:r>
    </w:p>
    <w:p>
      <w:pPr>
        <w:pStyle w:val="Compact"/>
        <w:numPr>
          <w:numId w:val="1026"/>
          <w:ilvl w:val="0"/>
        </w:numPr>
      </w:pPr>
      <w:r>
        <w:t xml:space="preserve">The utility of the SQI is enhanced with the web application</w:t>
      </w:r>
    </w:p>
    <w:p>
      <w:pPr>
        <w:pStyle w:val="Compact"/>
        <w:numPr>
          <w:numId w:val="1031"/>
          <w:ilvl w:val="1"/>
        </w:numPr>
      </w:pPr>
      <w:r>
        <w:t xml:space="preserve">Drop and calculate</w:t>
      </w:r>
    </w:p>
    <w:p>
      <w:pPr>
        <w:pStyle w:val="Compact"/>
        <w:numPr>
          <w:numId w:val="1031"/>
          <w:ilvl w:val="1"/>
        </w:numPr>
      </w:pPr>
      <w:r>
        <w:t xml:space="preserve">Spatial scaling</w:t>
      </w:r>
    </w:p>
    <w:p>
      <w:pPr>
        <w:pStyle w:val="Compact"/>
        <w:numPr>
          <w:numId w:val="1031"/>
          <w:ilvl w:val="1"/>
        </w:numPr>
      </w:pPr>
      <w:r>
        <w:t xml:space="preserve">Instantaneous data dives</w:t>
      </w:r>
    </w:p>
    <w:p>
      <w:pPr>
        <w:pStyle w:val="Compact"/>
        <w:numPr>
          <w:numId w:val="1031"/>
          <w:ilvl w:val="1"/>
        </w:numPr>
      </w:pPr>
      <w:r>
        <w:t xml:space="preserve">The restoration calculator tool</w:t>
      </w:r>
    </w:p>
    <w:p>
      <w:pPr>
        <w:pStyle w:val="Compact"/>
        <w:numPr>
          <w:numId w:val="1031"/>
          <w:ilvl w:val="1"/>
        </w:numPr>
      </w:pPr>
      <w:r>
        <w:t xml:space="preserve">(optional) Linkage to the SCAPE for</w:t>
      </w:r>
      <w:r>
        <w:t xml:space="preserve"> </w:t>
      </w:r>
      <w:r>
        <w:t xml:space="preserve">“</w:t>
      </w:r>
      <w:r>
        <w:t xml:space="preserve">restoration</w:t>
      </w:r>
      <w:r>
        <w:t xml:space="preserve">”</w:t>
      </w:r>
      <w:r>
        <w:t xml:space="preserve"> </w:t>
      </w:r>
      <w:r>
        <w:t xml:space="preserve">and RSCA tools for</w:t>
      </w:r>
      <w:r>
        <w:t xml:space="preserve"> </w:t>
      </w:r>
      <w:r>
        <w:t xml:space="preserve">“</w:t>
      </w:r>
      <w:r>
        <w:t xml:space="preserve">causal assessment</w:t>
      </w:r>
      <w:r>
        <w:t xml:space="preserve">”</w:t>
      </w:r>
      <w:r>
        <w:t xml:space="preserve"> </w:t>
      </w:r>
      <w:r>
        <w:t xml:space="preserve">categories</w:t>
      </w:r>
    </w:p>
    <w:sectPr w:rsidR="00537D25" w:rsidRPr="00D40009" w:rsidSect="003C73CD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2" Target="mailto:kens@sccwrp.org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1" Target="mailto:raphaelm@sccwr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kens@sccwrp.org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1" Target="mailto:raphaelm@sccwr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Stream Condition Index: A Multi-Indicator Tool For Enhancing Environmental Management Communication</dc:title>
  <dc:creator>Marcus W. Beck (marcusb@sccwrp.org), Raphael D. Mazor (raphaelm@sccwrp.org), Kenneth C. Schiff (kens@sccwrp.org</dc:creator>
  <cp:keywords/>
  <dcterms:created xsi:type="dcterms:W3CDTF">2019-03-07T20:36:14Z</dcterms:created>
  <dcterms:modified xsi:type="dcterms:W3CDTF">2019-03-07T20:36:14Z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-citations">
    <vt:lpwstr>True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