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67FB1" w14:textId="686587C7" w:rsidR="00E027A3" w:rsidRPr="00E027A3" w:rsidRDefault="00E027A3" w:rsidP="00E027A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Stream Quality Index (SQI) integrates</w:t>
      </w:r>
      <w:r w:rsidRPr="00E027A3">
        <w:rPr>
          <w:rFonts w:ascii="Times New Roman" w:hAnsi="Times New Roman" w:cs="Times New Roman"/>
          <w:sz w:val="24"/>
          <w:szCs w:val="24"/>
        </w:rPr>
        <w:t xml:space="preserve"> biological, physical, and chemical data</w:t>
      </w:r>
    </w:p>
    <w:p w14:paraId="069D5A4F" w14:textId="742CACAD" w:rsidR="00E027A3" w:rsidRPr="00E027A3" w:rsidRDefault="00E027A3" w:rsidP="00E027A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E027A3">
        <w:rPr>
          <w:rFonts w:ascii="Times New Roman" w:hAnsi="Times New Roman" w:cs="Times New Roman"/>
          <w:sz w:val="24"/>
          <w:szCs w:val="24"/>
        </w:rPr>
        <w:t>Links scores to management options for maintaining or improving watershed health</w:t>
      </w:r>
    </w:p>
    <w:p w14:paraId="5D9E343B" w14:textId="40FC70C3" w:rsidR="00E027A3" w:rsidRPr="00E027A3" w:rsidRDefault="00E027A3" w:rsidP="00E027A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E027A3">
        <w:rPr>
          <w:rFonts w:ascii="Times New Roman" w:hAnsi="Times New Roman" w:cs="Times New Roman"/>
          <w:sz w:val="24"/>
          <w:szCs w:val="24"/>
        </w:rPr>
        <w:t>Summarizes biological condition and relat</w:t>
      </w:r>
      <w:bookmarkStart w:id="0" w:name="_GoBack"/>
      <w:bookmarkEnd w:id="0"/>
      <w:r w:rsidRPr="00E027A3">
        <w:rPr>
          <w:rFonts w:ascii="Times New Roman" w:hAnsi="Times New Roman" w:cs="Times New Roman"/>
          <w:sz w:val="24"/>
          <w:szCs w:val="24"/>
        </w:rPr>
        <w:t>es biology to likely vs. unlikely stressors</w:t>
      </w:r>
    </w:p>
    <w:p w14:paraId="1946A9BB" w14:textId="7980BBD5" w:rsidR="00E027A3" w:rsidRPr="00E027A3" w:rsidRDefault="00E027A3" w:rsidP="00E027A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E027A3">
        <w:rPr>
          <w:rFonts w:ascii="Times New Roman" w:hAnsi="Times New Roman" w:cs="Times New Roman"/>
          <w:sz w:val="24"/>
          <w:szCs w:val="24"/>
        </w:rPr>
        <w:t>Preserves underlying data to help identify which factors could be driving condition</w:t>
      </w:r>
    </w:p>
    <w:p w14:paraId="46EA2CCC" w14:textId="284324AC" w:rsidR="00E027A3" w:rsidRPr="00121471" w:rsidRDefault="00E027A3" w:rsidP="00E027A3">
      <w:pPr>
        <w:pStyle w:val="ListParagraph"/>
        <w:numPr>
          <w:ilvl w:val="0"/>
          <w:numId w:val="1"/>
        </w:numPr>
        <w:spacing w:after="120"/>
      </w:pPr>
      <w:r w:rsidRPr="00E027A3">
        <w:rPr>
          <w:rFonts w:ascii="Times New Roman" w:hAnsi="Times New Roman" w:cs="Times New Roman"/>
          <w:sz w:val="24"/>
          <w:szCs w:val="24"/>
        </w:rPr>
        <w:t>Includes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27A3">
        <w:rPr>
          <w:rFonts w:ascii="Times New Roman" w:hAnsi="Times New Roman" w:cs="Times New Roman"/>
          <w:sz w:val="24"/>
          <w:szCs w:val="24"/>
        </w:rPr>
        <w:t xml:space="preserve">web application to calculate SQI scores and access regional data </w:t>
      </w:r>
    </w:p>
    <w:p w14:paraId="32DDC109" w14:textId="77777777" w:rsidR="00C95648" w:rsidRDefault="00C95648"/>
    <w:sectPr w:rsidR="00C95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54E3F"/>
    <w:multiLevelType w:val="hybridMultilevel"/>
    <w:tmpl w:val="9B827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1D"/>
    <w:rsid w:val="00432F1D"/>
    <w:rsid w:val="00C95648"/>
    <w:rsid w:val="00E0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3D0B"/>
  <w15:chartTrackingRefBased/>
  <w15:docId w15:val="{A6C5E1D8-CA69-49AF-B74E-560BEB2B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7A3"/>
    <w:pPr>
      <w:spacing w:after="200" w:line="240" w:lineRule="auto"/>
    </w:pPr>
    <w:rPr>
      <w:rFonts w:cs="Arial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Beck</dc:creator>
  <cp:keywords/>
  <dc:description/>
  <cp:lastModifiedBy>Marcus Beck</cp:lastModifiedBy>
  <cp:revision>2</cp:revision>
  <dcterms:created xsi:type="dcterms:W3CDTF">2019-07-17T22:20:00Z</dcterms:created>
  <dcterms:modified xsi:type="dcterms:W3CDTF">2019-07-17T22:25:00Z</dcterms:modified>
</cp:coreProperties>
</file>