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60"/>
        <w:jc w:val="center"/>
      </w:pPr>
      <w:r>
        <w:rPr>
          <w:b/>
          <w:bCs/>
          <w:color w:val="1F3864"/>
          <w:sz w:val="76"/>
          <w:szCs w:val="76"/>
        </w:rPr>
        <w:t xml:space="preserve">SQOUnified</w:t>
      </w:r>
    </w:p>
    <w:p>
      <w:pPr>
        <w:spacing w:after="300"/>
        <w:jc w:val="center"/>
      </w:pPr>
      <w:r>
        <w:rPr>
          <w:color w:val="2E5A88"/>
          <w:sz w:val="30"/>
          <w:szCs w:val="30"/>
        </w:rPr>
        <w:t xml:space="preserve">An R Package for Sediment Quality Objective Assessment</w:t>
      </w:r>
    </w:p>
    <w:p>
      <w:pPr>
        <w:spacing w:after="120"/>
        <w:jc w:val="center"/>
      </w:pPr>
      <w:r>
        <w:rPr>
          <w:i/>
          <w:iCs/>
          <w:color w:val="555555"/>
          <w:sz w:val="24"/>
          <w:szCs w:val="24"/>
        </w:rPr>
        <w:t xml:space="preserve">Guide for Package Users</w:t>
      </w:r>
    </w:p>
    <w:p>
      <w:pPr>
        <w:spacing w:after="80"/>
        <w:jc w:val="center"/>
      </w:pPr>
      <w:r>
        <w:rPr>
          <w:color w:val="555555"/>
          <w:sz w:val="22"/>
          <w:szCs w:val="22"/>
        </w:rPr>
        <w:t xml:space="preserve">Version 0.10.19</w:t>
      </w:r>
    </w:p>
    <w:p>
      <w:pPr>
        <w:jc w:val="center"/>
      </w:pPr>
      <w:r>
        <w:rPr>
          <w:color w:val="888888"/>
          <w:sz w:val="20"/>
          <w:szCs w:val="20"/>
        </w:rPr>
        <w:t xml:space="preserve">Southern California Coastal Water Research Project (SCCWRP)</w:t>
      </w:r>
    </w:p>
    <w:p>
      <w:r>
        <w:br w:type="page"/>
      </w:r>
    </w:p>
    <w:p>
      <w:pPr>
        <w:pStyle w:val="Heading1"/>
        <w:spacing w:after="140" w:before="320"/>
      </w:pPr>
      <w:r>
        <w:t xml:space="preserve">Contents</w:t>
      </w:r>
    </w:p>
    <w:p>
      <w:pPr>
        <w:tabs>
          <w:tab w:val="right" w:pos="9740" w:leader="dot"/>
        </w:tabs>
        <w:spacing w:after="70" w:before="40" w:line="264"/>
        <w:ind w:left="0"/>
      </w:pPr>
      <w:r>
        <w:rPr>
          <w:b/>
          <w:bCs/>
          <w:color w:val="1F3864"/>
          <w:sz w:val="21"/>
          <w:szCs w:val="21"/>
        </w:rPr>
        <w:t xml:space="preserve">1.  Overview</w:t>
      </w:r>
      <w:r>
        <w:rPr>
          <w:sz w:val="21"/>
          <w:szCs w:val="21"/>
        </w:rPr>
        <w:tab/>
      </w:r>
      <w:r>
        <w:rPr>
          <w:b/>
          <w:bCs/>
          <w:color w:val="1F3864"/>
          <w:sz w:val="21"/>
          <w:szCs w:val="21"/>
        </w:rPr>
        <w:t xml:space="preserve">3</w:t>
      </w:r>
    </w:p>
    <w:p>
      <w:pPr>
        <w:tabs>
          <w:tab w:val="right" w:pos="9740" w:leader="dot"/>
        </w:tabs>
        <w:spacing w:after="40" w:before="0" w:line="264"/>
        <w:ind w:left="380"/>
      </w:pPr>
      <w:r>
        <w:rPr>
          <w:b w:val="false"/>
          <w:bCs w:val="false"/>
          <w:color w:val="3A3A3A"/>
          <w:sz w:val="20"/>
          <w:szCs w:val="20"/>
        </w:rPr>
        <w:t xml:space="preserve">1.1  The three lines of evidence</w:t>
      </w:r>
      <w:r>
        <w:rPr>
          <w:sz w:val="20"/>
          <w:szCs w:val="20"/>
        </w:rPr>
        <w:tab/>
      </w:r>
      <w:r>
        <w:rPr>
          <w:b w:val="false"/>
          <w:bCs w:val="false"/>
          <w:color w:val="3A3A3A"/>
          <w:sz w:val="20"/>
          <w:szCs w:val="20"/>
        </w:rPr>
        <w:t xml:space="preserve">3</w:t>
      </w:r>
    </w:p>
    <w:p>
      <w:pPr>
        <w:tabs>
          <w:tab w:val="right" w:pos="9740" w:leader="dot"/>
        </w:tabs>
        <w:spacing w:after="40" w:before="0" w:line="264"/>
        <w:ind w:left="380"/>
      </w:pPr>
      <w:r>
        <w:rPr>
          <w:b w:val="false"/>
          <w:bCs w:val="false"/>
          <w:color w:val="3A3A3A"/>
          <w:sz w:val="20"/>
          <w:szCs w:val="20"/>
        </w:rPr>
        <w:t xml:space="preserve">1.2  A note on the experts named in this guide</w:t>
      </w:r>
      <w:r>
        <w:rPr>
          <w:sz w:val="20"/>
          <w:szCs w:val="20"/>
        </w:rPr>
        <w:tab/>
      </w:r>
      <w:r>
        <w:rPr>
          <w:b w:val="false"/>
          <w:bCs w:val="false"/>
          <w:color w:val="3A3A3A"/>
          <w:sz w:val="20"/>
          <w:szCs w:val="20"/>
        </w:rPr>
        <w:t xml:space="preserve">3</w:t>
      </w:r>
    </w:p>
    <w:p>
      <w:pPr>
        <w:tabs>
          <w:tab w:val="right" w:pos="9740" w:leader="dot"/>
        </w:tabs>
        <w:spacing w:after="70" w:before="40" w:line="264"/>
        <w:ind w:left="0"/>
      </w:pPr>
      <w:r>
        <w:rPr>
          <w:b/>
          <w:bCs/>
          <w:color w:val="1F3864"/>
          <w:sz w:val="21"/>
          <w:szCs w:val="21"/>
        </w:rPr>
        <w:t xml:space="preserve">2.  Installation</w:t>
      </w:r>
      <w:r>
        <w:rPr>
          <w:sz w:val="21"/>
          <w:szCs w:val="21"/>
        </w:rPr>
        <w:tab/>
      </w:r>
      <w:r>
        <w:rPr>
          <w:b/>
          <w:bCs/>
          <w:color w:val="1F3864"/>
          <w:sz w:val="21"/>
          <w:szCs w:val="21"/>
        </w:rPr>
        <w:t xml:space="preserve">3</w:t>
      </w:r>
    </w:p>
    <w:p>
      <w:pPr>
        <w:tabs>
          <w:tab w:val="right" w:pos="9740" w:leader="dot"/>
        </w:tabs>
        <w:spacing w:after="70" w:before="40" w:line="264"/>
        <w:ind w:left="0"/>
      </w:pPr>
      <w:r>
        <w:rPr>
          <w:b/>
          <w:bCs/>
          <w:color w:val="1F3864"/>
          <w:sz w:val="21"/>
          <w:szCs w:val="21"/>
        </w:rPr>
        <w:t xml:space="preserve">3.  Quick Start</w:t>
      </w:r>
      <w:r>
        <w:rPr>
          <w:sz w:val="21"/>
          <w:szCs w:val="21"/>
        </w:rPr>
        <w:tab/>
      </w:r>
      <w:r>
        <w:rPr>
          <w:b/>
          <w:bCs/>
          <w:color w:val="1F3864"/>
          <w:sz w:val="21"/>
          <w:szCs w:val="21"/>
        </w:rPr>
        <w:t xml:space="preserve">4</w:t>
      </w:r>
    </w:p>
    <w:p>
      <w:pPr>
        <w:tabs>
          <w:tab w:val="right" w:pos="9740" w:leader="dot"/>
        </w:tabs>
        <w:spacing w:after="70" w:before="40" w:line="264"/>
        <w:ind w:left="0"/>
      </w:pPr>
      <w:r>
        <w:rPr>
          <w:b/>
          <w:bCs/>
          <w:color w:val="1F3864"/>
          <w:sz w:val="21"/>
          <w:szCs w:val="21"/>
        </w:rPr>
        <w:t xml:space="preserve">4.  Input Data Requirements</w:t>
      </w:r>
      <w:r>
        <w:rPr>
          <w:sz w:val="21"/>
          <w:szCs w:val="21"/>
        </w:rPr>
        <w:tab/>
      </w:r>
      <w:r>
        <w:rPr>
          <w:b/>
          <w:bCs/>
          <w:color w:val="1F3864"/>
          <w:sz w:val="21"/>
          <w:szCs w:val="21"/>
        </w:rPr>
        <w:t xml:space="preserve">4</w:t>
      </w:r>
    </w:p>
    <w:p>
      <w:pPr>
        <w:tabs>
          <w:tab w:val="right" w:pos="9740" w:leader="dot"/>
        </w:tabs>
        <w:spacing w:after="40" w:before="0" w:line="264"/>
        <w:ind w:left="380"/>
      </w:pPr>
      <w:r>
        <w:rPr>
          <w:b w:val="false"/>
          <w:bCs w:val="false"/>
          <w:color w:val="3A3A3A"/>
          <w:sz w:val="20"/>
          <w:szCs w:val="20"/>
        </w:rPr>
        <w:t xml:space="preserve">4.1  Benthic (bay/estuary)</w:t>
      </w:r>
      <w:r>
        <w:rPr>
          <w:sz w:val="20"/>
          <w:szCs w:val="20"/>
        </w:rPr>
        <w:tab/>
      </w:r>
      <w:r>
        <w:rPr>
          <w:b w:val="false"/>
          <w:bCs w:val="false"/>
          <w:color w:val="3A3A3A"/>
          <w:sz w:val="20"/>
          <w:szCs w:val="20"/>
        </w:rPr>
        <w:t xml:space="preserve">4</w:t>
      </w:r>
    </w:p>
    <w:p>
      <w:pPr>
        <w:tabs>
          <w:tab w:val="right" w:pos="9740" w:leader="dot"/>
        </w:tabs>
        <w:spacing w:after="40" w:before="0" w:line="264"/>
        <w:ind w:left="380"/>
      </w:pPr>
      <w:r>
        <w:rPr>
          <w:b w:val="false"/>
          <w:bCs w:val="false"/>
          <w:color w:val="3A3A3A"/>
          <w:sz w:val="20"/>
          <w:szCs w:val="20"/>
        </w:rPr>
        <w:t xml:space="preserve">4.2  Chemistry</w:t>
      </w:r>
      <w:r>
        <w:rPr>
          <w:sz w:val="20"/>
          <w:szCs w:val="20"/>
        </w:rPr>
        <w:tab/>
      </w:r>
      <w:r>
        <w:rPr>
          <w:b w:val="false"/>
          <w:bCs w:val="false"/>
          <w:color w:val="3A3A3A"/>
          <w:sz w:val="20"/>
          <w:szCs w:val="20"/>
        </w:rPr>
        <w:t xml:space="preserve">4</w:t>
      </w:r>
    </w:p>
    <w:p>
      <w:pPr>
        <w:tabs>
          <w:tab w:val="right" w:pos="9740" w:leader="dot"/>
        </w:tabs>
        <w:spacing w:after="40" w:before="0" w:line="264"/>
        <w:ind w:left="380"/>
      </w:pPr>
      <w:r>
        <w:rPr>
          <w:b w:val="false"/>
          <w:bCs w:val="false"/>
          <w:color w:val="3A3A3A"/>
          <w:sz w:val="20"/>
          <w:szCs w:val="20"/>
        </w:rPr>
        <w:t xml:space="preserve">4.3  Offshore benthic</w:t>
      </w:r>
      <w:r>
        <w:rPr>
          <w:sz w:val="20"/>
          <w:szCs w:val="20"/>
        </w:rPr>
        <w:tab/>
      </w:r>
      <w:r>
        <w:rPr>
          <w:b w:val="false"/>
          <w:bCs w:val="false"/>
          <w:color w:val="3A3A3A"/>
          <w:sz w:val="20"/>
          <w:szCs w:val="20"/>
        </w:rPr>
        <w:t xml:space="preserve">5</w:t>
      </w:r>
    </w:p>
    <w:p>
      <w:pPr>
        <w:tabs>
          <w:tab w:val="right" w:pos="9740" w:leader="dot"/>
        </w:tabs>
        <w:spacing w:after="40" w:before="0" w:line="264"/>
        <w:ind w:left="380"/>
      </w:pPr>
      <w:r>
        <w:rPr>
          <w:b w:val="false"/>
          <w:bCs w:val="false"/>
          <w:color w:val="3A3A3A"/>
          <w:sz w:val="20"/>
          <w:szCs w:val="20"/>
        </w:rPr>
        <w:t xml:space="preserve">4.4  Toxicity</w:t>
      </w:r>
      <w:r>
        <w:rPr>
          <w:sz w:val="20"/>
          <w:szCs w:val="20"/>
        </w:rPr>
        <w:tab/>
      </w:r>
      <w:r>
        <w:rPr>
          <w:b w:val="false"/>
          <w:bCs w:val="false"/>
          <w:color w:val="3A3A3A"/>
          <w:sz w:val="20"/>
          <w:szCs w:val="20"/>
        </w:rPr>
        <w:t xml:space="preserve">5</w:t>
      </w:r>
    </w:p>
    <w:p>
      <w:pPr>
        <w:tabs>
          <w:tab w:val="right" w:pos="9740" w:leader="dot"/>
        </w:tabs>
        <w:spacing w:after="70" w:before="40" w:line="264"/>
        <w:ind w:left="0"/>
      </w:pPr>
      <w:r>
        <w:rPr>
          <w:b/>
          <w:bCs/>
          <w:color w:val="1F3864"/>
          <w:sz w:val="21"/>
          <w:szCs w:val="21"/>
        </w:rPr>
        <w:t xml:space="preserve">5.  Benthic Line of Evidence</w:t>
      </w:r>
      <w:r>
        <w:rPr>
          <w:sz w:val="21"/>
          <w:szCs w:val="21"/>
        </w:rPr>
        <w:tab/>
      </w:r>
      <w:r>
        <w:rPr>
          <w:b/>
          <w:bCs/>
          <w:color w:val="1F3864"/>
          <w:sz w:val="21"/>
          <w:szCs w:val="21"/>
        </w:rPr>
        <w:t xml:space="preserve">6</w:t>
      </w:r>
    </w:p>
    <w:p>
      <w:pPr>
        <w:tabs>
          <w:tab w:val="right" w:pos="9740" w:leader="dot"/>
        </w:tabs>
        <w:spacing w:after="40" w:before="0" w:line="264"/>
        <w:ind w:left="380"/>
      </w:pPr>
      <w:r>
        <w:rPr>
          <w:b w:val="false"/>
          <w:bCs w:val="false"/>
          <w:color w:val="3A3A3A"/>
          <w:sz w:val="20"/>
          <w:szCs w:val="20"/>
        </w:rPr>
        <w:t xml:space="preserve">5.1  Expert &amp; committee decisions (Benthic)</w:t>
      </w:r>
      <w:r>
        <w:rPr>
          <w:sz w:val="20"/>
          <w:szCs w:val="20"/>
        </w:rPr>
        <w:tab/>
      </w:r>
      <w:r>
        <w:rPr>
          <w:b w:val="false"/>
          <w:bCs w:val="false"/>
          <w:color w:val="3A3A3A"/>
          <w:sz w:val="20"/>
          <w:szCs w:val="20"/>
        </w:rPr>
        <w:t xml:space="preserve">6</w:t>
      </w:r>
    </w:p>
    <w:p>
      <w:pPr>
        <w:tabs>
          <w:tab w:val="right" w:pos="9740" w:leader="dot"/>
        </w:tabs>
        <w:spacing w:after="70" w:before="40" w:line="264"/>
        <w:ind w:left="0"/>
      </w:pPr>
      <w:r>
        <w:rPr>
          <w:b/>
          <w:bCs/>
          <w:color w:val="1F3864"/>
          <w:sz w:val="21"/>
          <w:szCs w:val="21"/>
        </w:rPr>
        <w:t xml:space="preserve">6.  Chemistry Line of Evidence</w:t>
      </w:r>
      <w:r>
        <w:rPr>
          <w:sz w:val="21"/>
          <w:szCs w:val="21"/>
        </w:rPr>
        <w:tab/>
      </w:r>
      <w:r>
        <w:rPr>
          <w:b/>
          <w:bCs/>
          <w:color w:val="1F3864"/>
          <w:sz w:val="21"/>
          <w:szCs w:val="21"/>
        </w:rPr>
        <w:t xml:space="preserve">8</w:t>
      </w:r>
    </w:p>
    <w:p>
      <w:pPr>
        <w:tabs>
          <w:tab w:val="right" w:pos="9740" w:leader="dot"/>
        </w:tabs>
        <w:spacing w:after="40" w:before="0" w:line="264"/>
        <w:ind w:left="380"/>
      </w:pPr>
      <w:r>
        <w:rPr>
          <w:b w:val="false"/>
          <w:bCs w:val="false"/>
          <w:color w:val="3A3A3A"/>
          <w:sz w:val="20"/>
          <w:szCs w:val="20"/>
        </w:rPr>
        <w:t xml:space="preserve">6.1  Expert decisions (Chemistry)</w:t>
      </w:r>
      <w:r>
        <w:rPr>
          <w:sz w:val="20"/>
          <w:szCs w:val="20"/>
        </w:rPr>
        <w:tab/>
      </w:r>
      <w:r>
        <w:rPr>
          <w:b w:val="false"/>
          <w:bCs w:val="false"/>
          <w:color w:val="3A3A3A"/>
          <w:sz w:val="20"/>
          <w:szCs w:val="20"/>
        </w:rPr>
        <w:t xml:space="preserve">8</w:t>
      </w:r>
    </w:p>
    <w:p>
      <w:pPr>
        <w:tabs>
          <w:tab w:val="right" w:pos="9740" w:leader="dot"/>
        </w:tabs>
        <w:spacing w:after="70" w:before="40" w:line="264"/>
        <w:ind w:left="0"/>
      </w:pPr>
      <w:r>
        <w:rPr>
          <w:b/>
          <w:bCs/>
          <w:color w:val="1F3864"/>
          <w:sz w:val="21"/>
          <w:szCs w:val="21"/>
        </w:rPr>
        <w:t xml:space="preserve">7.  Toxicity Line of Evidence</w:t>
      </w:r>
      <w:r>
        <w:rPr>
          <w:sz w:val="21"/>
          <w:szCs w:val="21"/>
        </w:rPr>
        <w:tab/>
      </w:r>
      <w:r>
        <w:rPr>
          <w:b/>
          <w:bCs/>
          <w:color w:val="1F3864"/>
          <w:sz w:val="21"/>
          <w:szCs w:val="21"/>
        </w:rPr>
        <w:t xml:space="preserve">10</w:t>
      </w:r>
    </w:p>
    <w:p>
      <w:pPr>
        <w:tabs>
          <w:tab w:val="right" w:pos="9740" w:leader="dot"/>
        </w:tabs>
        <w:spacing w:after="40" w:before="0" w:line="264"/>
        <w:ind w:left="380"/>
      </w:pPr>
      <w:r>
        <w:rPr>
          <w:b w:val="false"/>
          <w:bCs w:val="false"/>
          <w:color w:val="3A3A3A"/>
          <w:sz w:val="20"/>
          <w:szCs w:val="20"/>
        </w:rPr>
        <w:t xml:space="preserve">7.1  Expert decisions (Toxicity)</w:t>
      </w:r>
      <w:r>
        <w:rPr>
          <w:sz w:val="20"/>
          <w:szCs w:val="20"/>
        </w:rPr>
        <w:tab/>
      </w:r>
      <w:r>
        <w:rPr>
          <w:b w:val="false"/>
          <w:bCs w:val="false"/>
          <w:color w:val="3A3A3A"/>
          <w:sz w:val="20"/>
          <w:szCs w:val="20"/>
        </w:rPr>
        <w:t xml:space="preserve">10</w:t>
      </w:r>
    </w:p>
    <w:p>
      <w:pPr>
        <w:tabs>
          <w:tab w:val="right" w:pos="9740" w:leader="dot"/>
        </w:tabs>
        <w:spacing w:after="70" w:before="40" w:line="264"/>
        <w:ind w:left="0"/>
      </w:pPr>
      <w:r>
        <w:rPr>
          <w:b/>
          <w:bCs/>
          <w:color w:val="1F3864"/>
          <w:sz w:val="21"/>
          <w:szCs w:val="21"/>
        </w:rPr>
        <w:t xml:space="preserve">8.  Integrated Site Assessment</w:t>
      </w:r>
      <w:r>
        <w:rPr>
          <w:sz w:val="21"/>
          <w:szCs w:val="21"/>
        </w:rPr>
        <w:tab/>
      </w:r>
      <w:r>
        <w:rPr>
          <w:b/>
          <w:bCs/>
          <w:color w:val="1F3864"/>
          <w:sz w:val="21"/>
          <w:szCs w:val="21"/>
        </w:rPr>
        <w:t xml:space="preserve">13</w:t>
      </w:r>
    </w:p>
    <w:p>
      <w:pPr>
        <w:tabs>
          <w:tab w:val="right" w:pos="9740" w:leader="dot"/>
        </w:tabs>
        <w:spacing w:after="40" w:before="0" w:line="264"/>
        <w:ind w:left="380"/>
      </w:pPr>
      <w:r>
        <w:rPr>
          <w:b w:val="false"/>
          <w:bCs w:val="false"/>
          <w:color w:val="3A3A3A"/>
          <w:sz w:val="20"/>
          <w:szCs w:val="20"/>
        </w:rPr>
        <w:t xml:space="preserve">8.1  Decisions in the integration logic</w:t>
      </w:r>
      <w:r>
        <w:rPr>
          <w:sz w:val="20"/>
          <w:szCs w:val="20"/>
        </w:rPr>
        <w:tab/>
      </w:r>
      <w:r>
        <w:rPr>
          <w:b w:val="false"/>
          <w:bCs w:val="false"/>
          <w:color w:val="3A3A3A"/>
          <w:sz w:val="20"/>
          <w:szCs w:val="20"/>
        </w:rPr>
        <w:t xml:space="preserve">13</w:t>
      </w:r>
    </w:p>
    <w:p>
      <w:pPr>
        <w:tabs>
          <w:tab w:val="right" w:pos="9740" w:leader="dot"/>
        </w:tabs>
        <w:spacing w:after="70" w:before="40" w:line="264"/>
        <w:ind w:left="0"/>
      </w:pPr>
      <w:r>
        <w:rPr>
          <w:b/>
          <w:bCs/>
          <w:color w:val="1F3864"/>
          <w:sz w:val="21"/>
          <w:szCs w:val="21"/>
        </w:rPr>
        <w:t xml:space="preserve">9.  Example Workflow</w:t>
      </w:r>
      <w:r>
        <w:rPr>
          <w:sz w:val="21"/>
          <w:szCs w:val="21"/>
        </w:rPr>
        <w:tab/>
      </w:r>
      <w:r>
        <w:rPr>
          <w:b/>
          <w:bCs/>
          <w:color w:val="1F3864"/>
          <w:sz w:val="21"/>
          <w:szCs w:val="21"/>
        </w:rPr>
        <w:t xml:space="preserve">13</w:t>
      </w:r>
    </w:p>
    <w:p>
      <w:pPr>
        <w:tabs>
          <w:tab w:val="right" w:pos="9740" w:leader="dot"/>
        </w:tabs>
        <w:spacing w:after="70" w:before="40" w:line="264"/>
        <w:ind w:left="0"/>
      </w:pPr>
      <w:r>
        <w:rPr>
          <w:b/>
          <w:bCs/>
          <w:color w:val="1F3864"/>
          <w:sz w:val="21"/>
          <w:szCs w:val="21"/>
        </w:rPr>
        <w:t xml:space="preserve">10.  Bundled Example Datasets</w:t>
      </w:r>
      <w:r>
        <w:rPr>
          <w:sz w:val="21"/>
          <w:szCs w:val="21"/>
        </w:rPr>
        <w:tab/>
      </w:r>
      <w:r>
        <w:rPr>
          <w:b/>
          <w:bCs/>
          <w:color w:val="1F3864"/>
          <w:sz w:val="21"/>
          <w:szCs w:val="21"/>
        </w:rPr>
        <w:t xml:space="preserve">13</w:t>
      </w:r>
    </w:p>
    <w:p>
      <w:pPr>
        <w:tabs>
          <w:tab w:val="right" w:pos="9740" w:leader="dot"/>
        </w:tabs>
        <w:spacing w:after="70" w:before="40" w:line="264"/>
        <w:ind w:left="0"/>
      </w:pPr>
      <w:r>
        <w:rPr>
          <w:b/>
          <w:bCs/>
          <w:color w:val="1F3864"/>
          <w:sz w:val="21"/>
          <w:szCs w:val="21"/>
        </w:rPr>
        <w:t xml:space="preserve">11.  The Auditing Log</w:t>
      </w:r>
      <w:r>
        <w:rPr>
          <w:sz w:val="21"/>
          <w:szCs w:val="21"/>
        </w:rPr>
        <w:tab/>
      </w:r>
      <w:r>
        <w:rPr>
          <w:b/>
          <w:bCs/>
          <w:color w:val="1F3864"/>
          <w:sz w:val="21"/>
          <w:szCs w:val="21"/>
        </w:rPr>
        <w:t xml:space="preserve">14</w:t>
      </w:r>
    </w:p>
    <w:p>
      <w:pPr>
        <w:tabs>
          <w:tab w:val="right" w:pos="9740" w:leader="dot"/>
        </w:tabs>
        <w:spacing w:after="70" w:before="40" w:line="264"/>
        <w:ind w:left="0"/>
      </w:pPr>
      <w:r>
        <w:rPr>
          <w:b/>
          <w:bCs/>
          <w:color w:val="1F3864"/>
          <w:sz w:val="21"/>
          <w:szCs w:val="21"/>
        </w:rPr>
        <w:t xml:space="preserve">12.  Getting Help &amp; Contributing</w:t>
      </w:r>
      <w:r>
        <w:rPr>
          <w:sz w:val="21"/>
          <w:szCs w:val="21"/>
        </w:rPr>
        <w:tab/>
      </w:r>
      <w:r>
        <w:rPr>
          <w:b/>
          <w:bCs/>
          <w:color w:val="1F3864"/>
          <w:sz w:val="21"/>
          <w:szCs w:val="21"/>
        </w:rPr>
        <w:t xml:space="preserve">14</w:t>
      </w:r>
    </w:p>
    <w:p>
      <w:r>
        <w:br w:type="page"/>
      </w:r>
    </w:p>
    <w:p>
      <w:pPr>
        <w:pStyle w:val="Heading1"/>
        <w:spacing w:after="140" w:before="320"/>
      </w:pPr>
      <w:r>
        <w:t xml:space="preserve">1. Overview</w:t>
      </w:r>
    </w:p>
    <w:p>
      <w:pPr>
        <w:spacing w:after="140" w:line="276"/>
      </w:pPr>
      <w:r>
        <w:t xml:space="preserve">The </w:t>
      </w:r>
      <w:r>
        <w:rPr>
          <w:rFonts w:ascii="Consolas" w:cs="Consolas" w:eastAsia="Consolas" w:hAnsi="Consolas"/>
          <w:sz w:val="19"/>
          <w:szCs w:val="19"/>
        </w:rPr>
        <w:t xml:space="preserve">SQOUnified</w:t>
      </w:r>
      <w:r>
        <w:t xml:space="preserve"> R package calculates sediment quality assessments from up to three independent </w:t>
      </w:r>
      <w:r>
        <w:rPr>
          <w:b/>
          <w:bCs/>
        </w:rPr>
        <w:t xml:space="preserve">lines of evidence (LOE)</w:t>
      </w:r>
      <w:r>
        <w:t xml:space="preserve"> — benthic community condition, sediment chemistry, and sediment toxicity — and integrates them into a single overall site assessment. It implements the methods described in the </w:t>
      </w:r>
      <w:r>
        <w:rPr>
          <w:b/>
          <w:bCs/>
        </w:rPr>
        <w:t xml:space="preserve">California Sediment Quality Objectives (CASQO) Technical Manual</w:t>
      </w:r>
      <w:r>
        <w:t xml:space="preserve"> (Bay et al., 3rd Edition, June 2021).</w:t>
      </w:r>
    </w:p>
    <w:p>
      <w:pPr>
        <w:spacing w:after="140" w:line="276"/>
      </w:pPr>
      <w:r>
        <w:rPr>
          <w:b/>
          <w:bCs/>
        </w:rPr>
        <w:t xml:space="preserve">The CASQO Technical Manual is the governing standard for all scoring and category decisions in this package. </w:t>
      </w:r>
      <w:r>
        <w:t xml:space="preserve">The manual is cited throughout the source code (by page number) so that every threshold and formula is traceable back to it.</w:t>
      </w:r>
    </w:p>
    <w:p>
      <w:pPr>
        <w:spacing w:after="140" w:line="276"/>
      </w:pPr>
      <w:r>
        <w:t xml:space="preserve">A small number of decisions, however, are </w:t>
      </w:r>
      <w:r>
        <w:rPr>
          <w:b/>
          <w:bCs/>
        </w:rPr>
        <w:t xml:space="preserve">not</w:t>
      </w:r>
      <w:r>
        <w:t xml:space="preserve"> specified in the manual — mostly about how to handle edge cases and imperfect data (missing detection limits, replicate selection, rounding, missing tests). In those cases the choice was made by subject-matter experts at SCCWRP, and the source code records who made each call and when. This guide documents those decisions explicitly, in an </w:t>
      </w:r>
      <w:r>
        <w:rPr>
          <w:b/>
          <w:bCs/>
        </w:rPr>
        <w:t xml:space="preserve">Expert Decisions</w:t>
      </w:r>
      <w:r>
        <w:t xml:space="preserve"> subsection within each line-of-evidence section, so the reasoning behind the numbers is transparent and attributable.</w:t>
      </w:r>
    </w:p>
    <w:p>
      <w:pPr>
        <w:pStyle w:val="Heading2"/>
        <w:spacing w:after="100" w:before="240"/>
      </w:pPr>
      <w:r>
        <w:t xml:space="preserve">1.1 The three lines of evidence</w:t>
      </w:r>
    </w:p>
    <w:tbl>
      <w:tblPr>
        <w:tblW w:type="dxa" w:w="9200"/>
        <w:tblBorders>
          <w:top w:val="single" w:color="BBBBBB" w:sz="4"/>
          <w:left w:val="single" w:color="BBBBBB" w:sz="4"/>
          <w:bottom w:val="single" w:color="BBBBBB" w:sz="4"/>
          <w:right w:val="single" w:color="BBBBBB" w:sz="4"/>
          <w:insideH w:val="single" w:color="DDDDDD" w:sz="2"/>
          <w:insideV w:val="single" w:color="DDDDDD" w:sz="2"/>
        </w:tblBorders>
      </w:tblPr>
      <w:tblGrid>
        <w:gridCol w:w="2600"/>
        <w:gridCol w:w="4300"/>
        <w:gridCol w:w="2300"/>
      </w:tblGrid>
      <w:tr>
        <w:trPr>
          <w:tblHeader/>
        </w:trPr>
        <w:tc>
          <w:tcPr>
            <w:tcW w:type="dxa" w:w="2600"/>
            <w:shd w:fill="2E5A88" w:color="auto" w:val="clear"/>
            <w:tcMar>
              <w:top w:type="dxa" w:w="40"/>
              <w:left w:type="dxa" w:w="90"/>
              <w:bottom w:type="dxa" w:w="40"/>
              <w:right w:type="dxa" w:w="90"/>
            </w:tcMar>
          </w:tcPr>
          <w:p>
            <w:pPr>
              <w:spacing w:after="20"/>
            </w:pPr>
            <w:r>
              <w:rPr>
                <w:b/>
                <w:bCs/>
                <w:color w:val="FFFFFF"/>
                <w:sz w:val="19"/>
                <w:szCs w:val="19"/>
              </w:rPr>
              <w:t xml:space="preserve">Line of evidence</w:t>
            </w:r>
          </w:p>
        </w:tc>
        <w:tc>
          <w:tcPr>
            <w:tcW w:type="dxa" w:w="4300"/>
            <w:shd w:fill="2E5A88" w:color="auto" w:val="clear"/>
            <w:tcMar>
              <w:top w:type="dxa" w:w="40"/>
              <w:left w:type="dxa" w:w="90"/>
              <w:bottom w:type="dxa" w:w="40"/>
              <w:right w:type="dxa" w:w="90"/>
            </w:tcMar>
          </w:tcPr>
          <w:p>
            <w:pPr>
              <w:spacing w:after="20"/>
            </w:pPr>
            <w:r>
              <w:rPr>
                <w:b/>
                <w:bCs/>
                <w:color w:val="FFFFFF"/>
                <w:sz w:val="19"/>
                <w:szCs w:val="19"/>
              </w:rPr>
              <w:t xml:space="preserve">What it measures</w:t>
            </w:r>
          </w:p>
        </w:tc>
        <w:tc>
          <w:tcPr>
            <w:tcW w:type="dxa" w:w="2300"/>
            <w:shd w:fill="2E5A88" w:color="auto" w:val="clear"/>
            <w:tcMar>
              <w:top w:type="dxa" w:w="40"/>
              <w:left w:type="dxa" w:w="90"/>
              <w:bottom w:type="dxa" w:w="40"/>
              <w:right w:type="dxa" w:w="90"/>
            </w:tcMar>
          </w:tcPr>
          <w:p>
            <w:pPr>
              <w:spacing w:after="20"/>
            </w:pPr>
            <w:r>
              <w:rPr>
                <w:b/>
                <w:bCs/>
                <w:color w:val="FFFFFF"/>
                <w:sz w:val="19"/>
                <w:szCs w:val="19"/>
              </w:rPr>
              <w:t xml:space="preserve">Main function(s)</w:t>
            </w:r>
          </w:p>
        </w:tc>
      </w:tr>
      <w:tr>
        <w:tc>
          <w:tcPr>
            <w:tcW w:type="dxa" w:w="2600"/>
            <w:shd w:fill="FFFFFF" w:color="auto" w:val="clear"/>
            <w:tcMar>
              <w:top w:type="dxa" w:w="40"/>
              <w:left w:type="dxa" w:w="90"/>
              <w:bottom w:type="dxa" w:w="40"/>
              <w:right w:type="dxa" w:w="90"/>
            </w:tcMar>
          </w:tcPr>
          <w:p>
            <w:pPr>
              <w:spacing w:after="20"/>
            </w:pPr>
            <w:r>
              <w:rPr>
                <w:b w:val="false"/>
                <w:bCs w:val="false"/>
                <w:color w:val="000000"/>
                <w:sz w:val="19"/>
                <w:szCs w:val="19"/>
              </w:rPr>
              <w:t xml:space="preserve">Benthic (bay/estuary)</w:t>
            </w:r>
          </w:p>
        </w:tc>
        <w:tc>
          <w:tcPr>
            <w:tcW w:type="dxa" w:w="4300"/>
            <w:shd w:fill="FFFFFF" w:color="auto" w:val="clear"/>
            <w:tcMar>
              <w:top w:type="dxa" w:w="40"/>
              <w:left w:type="dxa" w:w="90"/>
              <w:bottom w:type="dxa" w:w="40"/>
              <w:right w:type="dxa" w:w="90"/>
            </w:tcMar>
          </w:tcPr>
          <w:p>
            <w:pPr>
              <w:spacing w:after="20"/>
            </w:pPr>
            <w:r>
              <w:rPr>
                <w:b w:val="false"/>
                <w:bCs w:val="false"/>
                <w:color w:val="000000"/>
                <w:sz w:val="19"/>
                <w:szCs w:val="19"/>
              </w:rPr>
              <w:t xml:space="preserve">Infaunal community condition via four SQO indices (BRI, RBI, IBI, RIVPACS) plus M-AMBI</w:t>
            </w:r>
          </w:p>
        </w:tc>
        <w:tc>
          <w:tcPr>
            <w:tcW w:type="dxa" w:w="2300"/>
            <w:shd w:fill="FFFFFF" w:color="auto" w:val="clear"/>
            <w:tcMar>
              <w:top w:type="dxa" w:w="40"/>
              <w:left w:type="dxa" w:w="90"/>
              <w:bottom w:type="dxa" w:w="40"/>
              <w:right w:type="dxa" w:w="90"/>
            </w:tcMar>
          </w:tcPr>
          <w:p>
            <w:pPr>
              <w:spacing w:after="20"/>
            </w:pPr>
            <w:r>
              <w:rPr>
                <w:b w:val="false"/>
                <w:bCs w:val="false"/>
                <w:color w:val="000000"/>
                <w:sz w:val="19"/>
                <w:szCs w:val="19"/>
              </w:rPr>
              <w:t xml:space="preserve">benthic.sqo</w:t>
            </w:r>
          </w:p>
        </w:tc>
      </w:tr>
      <w:tr>
        <w:tc>
          <w:tcPr>
            <w:tcW w:type="dxa" w:w="2600"/>
            <w:shd w:fill="EAF0F7" w:color="auto" w:val="clear"/>
            <w:tcMar>
              <w:top w:type="dxa" w:w="40"/>
              <w:left w:type="dxa" w:w="90"/>
              <w:bottom w:type="dxa" w:w="40"/>
              <w:right w:type="dxa" w:w="90"/>
            </w:tcMar>
          </w:tcPr>
          <w:p>
            <w:pPr>
              <w:spacing w:after="20"/>
            </w:pPr>
            <w:r>
              <w:rPr>
                <w:b w:val="false"/>
                <w:bCs w:val="false"/>
                <w:color w:val="000000"/>
                <w:sz w:val="19"/>
                <w:szCs w:val="19"/>
              </w:rPr>
              <w:t xml:space="preserve">Benthic (offshore/shelf)</w:t>
            </w:r>
          </w:p>
        </w:tc>
        <w:tc>
          <w:tcPr>
            <w:tcW w:type="dxa" w:w="4300"/>
            <w:shd w:fill="EAF0F7" w:color="auto" w:val="clear"/>
            <w:tcMar>
              <w:top w:type="dxa" w:w="40"/>
              <w:left w:type="dxa" w:w="90"/>
              <w:bottom w:type="dxa" w:w="40"/>
              <w:right w:type="dxa" w:w="90"/>
            </w:tcMar>
          </w:tcPr>
          <w:p>
            <w:pPr>
              <w:spacing w:after="20"/>
            </w:pPr>
            <w:r>
              <w:rPr>
                <w:b w:val="false"/>
                <w:bCs w:val="false"/>
                <w:color w:val="000000"/>
                <w:sz w:val="19"/>
                <w:szCs w:val="19"/>
              </w:rPr>
              <w:t xml:space="preserve">Offshore Benthic Response Index with depth-zone tolerance values</w:t>
            </w:r>
          </w:p>
        </w:tc>
        <w:tc>
          <w:tcPr>
            <w:tcW w:type="dxa" w:w="2300"/>
            <w:shd w:fill="EAF0F7" w:color="auto" w:val="clear"/>
            <w:tcMar>
              <w:top w:type="dxa" w:w="40"/>
              <w:left w:type="dxa" w:w="90"/>
              <w:bottom w:type="dxa" w:w="40"/>
              <w:right w:type="dxa" w:w="90"/>
            </w:tcMar>
          </w:tcPr>
          <w:p>
            <w:pPr>
              <w:spacing w:after="20"/>
            </w:pPr>
            <w:r>
              <w:rPr>
                <w:b w:val="false"/>
                <w:bCs w:val="false"/>
                <w:color w:val="000000"/>
                <w:sz w:val="19"/>
                <w:szCs w:val="19"/>
              </w:rPr>
              <w:t xml:space="preserve">BRI.Offshore</w:t>
            </w:r>
          </w:p>
        </w:tc>
      </w:tr>
      <w:tr>
        <w:tc>
          <w:tcPr>
            <w:tcW w:type="dxa" w:w="2600"/>
            <w:shd w:fill="FFFFFF" w:color="auto" w:val="clear"/>
            <w:tcMar>
              <w:top w:type="dxa" w:w="40"/>
              <w:left w:type="dxa" w:w="90"/>
              <w:bottom w:type="dxa" w:w="40"/>
              <w:right w:type="dxa" w:w="90"/>
            </w:tcMar>
          </w:tcPr>
          <w:p>
            <w:pPr>
              <w:spacing w:after="20"/>
            </w:pPr>
            <w:r>
              <w:rPr>
                <w:b w:val="false"/>
                <w:bCs w:val="false"/>
                <w:color w:val="000000"/>
                <w:sz w:val="19"/>
                <w:szCs w:val="19"/>
              </w:rPr>
              <w:t xml:space="preserve">Chemistry</w:t>
            </w:r>
          </w:p>
        </w:tc>
        <w:tc>
          <w:tcPr>
            <w:tcW w:type="dxa" w:w="4300"/>
            <w:shd w:fill="FFFFFF" w:color="auto" w:val="clear"/>
            <w:tcMar>
              <w:top w:type="dxa" w:w="40"/>
              <w:left w:type="dxa" w:w="90"/>
              <w:bottom w:type="dxa" w:w="40"/>
              <w:right w:type="dxa" w:w="90"/>
            </w:tcMar>
          </w:tcPr>
          <w:p>
            <w:pPr>
              <w:spacing w:after="20"/>
            </w:pPr>
            <w:r>
              <w:rPr>
                <w:b w:val="false"/>
                <w:bCs w:val="false"/>
                <w:color w:val="000000"/>
                <w:sz w:val="19"/>
                <w:szCs w:val="19"/>
              </w:rPr>
              <w:t xml:space="preserve">Contaminant exposure via two models: CSI and LRM</w:t>
            </w:r>
          </w:p>
        </w:tc>
        <w:tc>
          <w:tcPr>
            <w:tcW w:type="dxa" w:w="2300"/>
            <w:shd w:fill="FFFFFF" w:color="auto" w:val="clear"/>
            <w:tcMar>
              <w:top w:type="dxa" w:w="40"/>
              <w:left w:type="dxa" w:w="90"/>
              <w:bottom w:type="dxa" w:w="40"/>
              <w:right w:type="dxa" w:w="90"/>
            </w:tcMar>
          </w:tcPr>
          <w:p>
            <w:pPr>
              <w:spacing w:after="20"/>
            </w:pPr>
            <w:r>
              <w:rPr>
                <w:b w:val="false"/>
                <w:bCs w:val="false"/>
                <w:color w:val="000000"/>
                <w:sz w:val="19"/>
                <w:szCs w:val="19"/>
              </w:rPr>
              <w:t xml:space="preserve">chem.sqo, CSI, LRM</w:t>
            </w:r>
          </w:p>
        </w:tc>
      </w:tr>
      <w:tr>
        <w:tc>
          <w:tcPr>
            <w:tcW w:type="dxa" w:w="2600"/>
            <w:shd w:fill="EAF0F7" w:color="auto" w:val="clear"/>
            <w:tcMar>
              <w:top w:type="dxa" w:w="40"/>
              <w:left w:type="dxa" w:w="90"/>
              <w:bottom w:type="dxa" w:w="40"/>
              <w:right w:type="dxa" w:w="90"/>
            </w:tcMar>
          </w:tcPr>
          <w:p>
            <w:pPr>
              <w:spacing w:after="20"/>
            </w:pPr>
            <w:r>
              <w:rPr>
                <w:b w:val="false"/>
                <w:bCs w:val="false"/>
                <w:color w:val="000000"/>
                <w:sz w:val="19"/>
                <w:szCs w:val="19"/>
              </w:rPr>
              <w:t xml:space="preserve">Toxicity</w:t>
            </w:r>
          </w:p>
        </w:tc>
        <w:tc>
          <w:tcPr>
            <w:tcW w:type="dxa" w:w="4300"/>
            <w:shd w:fill="EAF0F7" w:color="auto" w:val="clear"/>
            <w:tcMar>
              <w:top w:type="dxa" w:w="40"/>
              <w:left w:type="dxa" w:w="90"/>
              <w:bottom w:type="dxa" w:w="40"/>
              <w:right w:type="dxa" w:w="90"/>
            </w:tcMar>
          </w:tcPr>
          <w:p>
            <w:pPr>
              <w:spacing w:after="20"/>
            </w:pPr>
            <w:r>
              <w:rPr>
                <w:b w:val="false"/>
                <w:bCs w:val="false"/>
                <w:color w:val="000000"/>
                <w:sz w:val="19"/>
                <w:szCs w:val="19"/>
              </w:rPr>
              <w:t xml:space="preserve">Sediment toxicity test results vs. controls</w:t>
            </w:r>
          </w:p>
        </w:tc>
        <w:tc>
          <w:tcPr>
            <w:tcW w:type="dxa" w:w="2300"/>
            <w:shd w:fill="EAF0F7" w:color="auto" w:val="clear"/>
            <w:tcMar>
              <w:top w:type="dxa" w:w="40"/>
              <w:left w:type="dxa" w:w="90"/>
              <w:bottom w:type="dxa" w:w="40"/>
              <w:right w:type="dxa" w:w="90"/>
            </w:tcMar>
          </w:tcPr>
          <w:p>
            <w:pPr>
              <w:spacing w:after="20"/>
            </w:pPr>
            <w:r>
              <w:rPr>
                <w:b w:val="false"/>
                <w:bCs w:val="false"/>
                <w:color w:val="000000"/>
                <w:sz w:val="19"/>
                <w:szCs w:val="19"/>
              </w:rPr>
              <w:t xml:space="preserve">tox.sqo, tox.summary</w:t>
            </w:r>
          </w:p>
        </w:tc>
      </w:tr>
      <w:tr>
        <w:tc>
          <w:tcPr>
            <w:tcW w:type="dxa" w:w="2600"/>
            <w:shd w:fill="FFFFFF" w:color="auto" w:val="clear"/>
            <w:tcMar>
              <w:top w:type="dxa" w:w="40"/>
              <w:left w:type="dxa" w:w="90"/>
              <w:bottom w:type="dxa" w:w="40"/>
              <w:right w:type="dxa" w:w="90"/>
            </w:tcMar>
          </w:tcPr>
          <w:p>
            <w:pPr>
              <w:spacing w:after="20"/>
            </w:pPr>
            <w:r>
              <w:rPr>
                <w:b w:val="false"/>
                <w:bCs w:val="false"/>
                <w:color w:val="000000"/>
                <w:sz w:val="19"/>
                <w:szCs w:val="19"/>
              </w:rPr>
              <w:t xml:space="preserve">Integrated</w:t>
            </w:r>
          </w:p>
        </w:tc>
        <w:tc>
          <w:tcPr>
            <w:tcW w:type="dxa" w:w="4300"/>
            <w:shd w:fill="FFFFFF" w:color="auto" w:val="clear"/>
            <w:tcMar>
              <w:top w:type="dxa" w:w="40"/>
              <w:left w:type="dxa" w:w="90"/>
              <w:bottom w:type="dxa" w:w="40"/>
              <w:right w:type="dxa" w:w="90"/>
            </w:tcMar>
          </w:tcPr>
          <w:p>
            <w:pPr>
              <w:spacing w:after="20"/>
            </w:pPr>
            <w:r>
              <w:rPr>
                <w:b w:val="false"/>
                <w:bCs w:val="false"/>
                <w:color w:val="000000"/>
                <w:sz w:val="19"/>
                <w:szCs w:val="19"/>
              </w:rPr>
              <w:t xml:space="preserve">Combines the Benthic, Chemistry, and Toxicity categories into one site assessment</w:t>
            </w:r>
          </w:p>
        </w:tc>
        <w:tc>
          <w:tcPr>
            <w:tcW w:type="dxa" w:w="2300"/>
            <w:shd w:fill="FFFFFF" w:color="auto" w:val="clear"/>
            <w:tcMar>
              <w:top w:type="dxa" w:w="40"/>
              <w:left w:type="dxa" w:w="90"/>
              <w:bottom w:type="dxa" w:w="40"/>
              <w:right w:type="dxa" w:w="90"/>
            </w:tcMar>
          </w:tcPr>
          <w:p>
            <w:pPr>
              <w:spacing w:after="20"/>
            </w:pPr>
            <w:r>
              <w:rPr>
                <w:b w:val="false"/>
                <w:bCs w:val="false"/>
                <w:color w:val="000000"/>
                <w:sz w:val="19"/>
                <w:szCs w:val="19"/>
              </w:rPr>
              <w:t xml:space="preserve">SQOUnified</w:t>
            </w:r>
          </w:p>
        </w:tc>
      </w:tr>
    </w:tbl>
    <w:p>
      <w:pPr>
        <w:pStyle w:val="Heading2"/>
        <w:spacing w:after="100" w:before="240"/>
      </w:pPr>
      <w:r>
        <w:t xml:space="preserve">1.2 A note on the experts named in this guide</w:t>
      </w:r>
    </w:p>
    <w:p>
      <w:pPr>
        <w:spacing w:after="140" w:line="276"/>
      </w:pPr>
      <w:r>
        <w:t xml:space="preserve">The attributed decisions below come directly from comments in the package source code. The SCCWRP experts named are </w:t>
      </w:r>
      <w:r>
        <w:rPr>
          <w:b/>
          <w:bCs/>
        </w:rPr>
        <w:t xml:space="preserve">David Gillett</w:t>
      </w:r>
      <w:r>
        <w:t xml:space="preserve">, </w:t>
      </w:r>
      <w:r>
        <w:rPr>
          <w:b/>
          <w:bCs/>
        </w:rPr>
        <w:t xml:space="preserve">Darrin Greenstein</w:t>
      </w:r>
      <w:r>
        <w:t xml:space="preserve">, </w:t>
      </w:r>
      <w:r>
        <w:rPr>
          <w:b/>
          <w:bCs/>
        </w:rPr>
        <w:t xml:space="preserve">Charles Wong</w:t>
      </w:r>
      <w:r>
        <w:t xml:space="preserve">, </w:t>
      </w:r>
      <w:r>
        <w:rPr>
          <w:b/>
          <w:bCs/>
        </w:rPr>
        <w:t xml:space="preserve">Ken Schiff</w:t>
      </w:r>
      <w:r>
        <w:t xml:space="preserve">, and </w:t>
      </w:r>
      <w:r>
        <w:rPr>
          <w:b/>
          <w:bCs/>
        </w:rPr>
        <w:t xml:space="preserve">Alvina Mehinto</w:t>
      </w:r>
      <w:r>
        <w:t xml:space="preserve">; several benthic-index choices were made collectively by the </w:t>
      </w:r>
      <w:r>
        <w:rPr>
          <w:b/>
          <w:bCs/>
        </w:rPr>
        <w:t xml:space="preserve">Bight 23 index code subcommittee</w:t>
      </w:r>
      <w:r>
        <w:t xml:space="preserve">. Each callout notes the person and, where the code records it, the date the decision was made.</w:t>
      </w:r>
    </w:p>
    <w:p>
      <w:pPr>
        <w:spacing w:after="140" w:line="276"/>
      </w:pPr>
      <w:r>
        <w:t xml:space="preserve">Every decision callout also includes a green-highlighted line explaining how the choice relates to the CASQO manual — whether it is explicitly prescribed by the manual, consistent with it, or fills a gap the manual does not address (in which case the SCCWRP experts made the call). Where a decision was found in the code without a named author, the callout marks the attribution as to-be-confirmed rather than guessing.</w:t>
      </w:r>
    </w:p>
    <w:p>
      <w:pPr>
        <w:pStyle w:val="Heading1"/>
        <w:spacing w:after="140" w:before="320"/>
      </w:pPr>
      <w:r>
        <w:t xml:space="preserve">2. Installation</w:t>
      </w:r>
    </w:p>
    <w:p>
      <w:pPr>
        <w:spacing w:after="140" w:line="276"/>
      </w:pPr>
      <w:r>
        <w:t xml:space="preserve">The package is installed from GitHub with devtools. Install the dependencies first:</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Dependencies</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install.packages(c("dbplyr","reshape2","vegan","dplyr",</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"plyr","purrr","stringr","tidyr"))</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The package itself</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devtools::install_github("SCCWRP/SQOUnified")</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w:t>
      </w:r>
    </w:p>
    <w:p>
      <w:pPr>
        <w:pBdr>
          <w:left w:val="single" w:color="2E5A88" w:sz="18" w:space="6"/>
        </w:pBdr>
        <w:shd w:fill="F2F2F2" w:color="auto" w:val="clear"/>
        <w:spacing w:after="140" w:line="260"/>
        <w:ind w:left="120"/>
      </w:pPr>
      <w:r>
        <w:rPr>
          <w:rFonts w:ascii="Consolas" w:cs="Consolas" w:eastAsia="Consolas" w:hAnsi="Consolas"/>
          <w:sz w:val="18"/>
          <w:szCs w:val="18"/>
        </w:rPr>
        <w:t xml:space="preserve">library(SQOUnified)</w:t>
      </w:r>
    </w:p>
    <w:p>
      <w:pPr>
        <w:spacing w:after="140" w:line="276"/>
      </w:pPr>
      <w:r>
        <w:t xml:space="preserve">The optional </w:t>
      </w:r>
      <w:r>
        <w:rPr>
          <w:rFonts w:ascii="Consolas" w:cs="Consolas" w:eastAsia="Consolas" w:hAnsi="Consolas"/>
          <w:sz w:val="19"/>
          <w:szCs w:val="19"/>
        </w:rPr>
        <w:t xml:space="preserve">fuzzyjoin</w:t>
      </w:r>
      <w:r>
        <w:t xml:space="preserve"> package is only a suggestion — when installed, taxa that don't match the look-up list come back with “did you mean…” suggestions. Everything works without it.</w:t>
      </w:r>
    </w:p>
    <w:p>
      <w:pPr>
        <w:pStyle w:val="Heading1"/>
        <w:spacing w:after="140" w:before="320"/>
      </w:pPr>
      <w:r>
        <w:t xml:space="preserve">3. Quick Start</w:t>
      </w:r>
    </w:p>
    <w:p>
      <w:pPr>
        <w:spacing w:after="140" w:line="276"/>
      </w:pPr>
      <w:r>
        <w:t xml:space="preserve">The package ships with sample datasets for each line of evidence, so you can run everything immediately after loading it:</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Integrated assessment from all three lines of evidence</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SQOUnified(benthic = benthic_sampledata,</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chem    = chem_sampledata,</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tox     = tox_sampledata)</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Using offshore benthic data instead of bay/estuary benthic</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SQOUnified(chem = chem_sampledata,</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tox  = tox_sampledata,</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offshore_benthic = offshore_bri_sampledata)</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Individual pieces, on their own</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benthic.sqo(benthic_sampledata)   # all benthic indices</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tox.sqo(tox_sampledata)           # integrated toxicity score</w:t>
      </w:r>
    </w:p>
    <w:p>
      <w:pPr>
        <w:pBdr>
          <w:left w:val="single" w:color="2E5A88" w:sz="18" w:space="6"/>
        </w:pBdr>
        <w:shd w:fill="F2F2F2" w:color="auto" w:val="clear"/>
        <w:spacing w:after="140" w:line="260"/>
        <w:ind w:left="120"/>
      </w:pPr>
      <w:r>
        <w:rPr>
          <w:rFonts w:ascii="Consolas" w:cs="Consolas" w:eastAsia="Consolas" w:hAnsi="Consolas"/>
          <w:sz w:val="18"/>
          <w:szCs w:val="18"/>
        </w:rPr>
        <w:t xml:space="preserve">chem.sqo(chem_sampledata)         # integrated chemistry score</w:t>
      </w:r>
    </w:p>
    <w:p>
      <w:pPr>
        <w:pStyle w:val="Heading1"/>
        <w:spacing w:after="140" w:before="320"/>
      </w:pPr>
      <w:r>
        <w:t xml:space="preserve">4. Input Data Requirements</w:t>
      </w:r>
    </w:p>
    <w:p>
      <w:pPr>
        <w:spacing w:after="140" w:line="276"/>
      </w:pPr>
      <w:r>
        <w:t xml:space="preserve">Each line of evidence expects a data frame with specific columns. Optional columns are noted; when present they trigger extra filtering. Functions standardize column names internally, so casing is forgiving.</w:t>
      </w:r>
    </w:p>
    <w:p>
      <w:pPr>
        <w:pStyle w:val="Heading3"/>
        <w:spacing w:after="80" w:before="180"/>
      </w:pPr>
      <w:r>
        <w:t xml:space="preserve">4.1 Benthic (bay/estuary)</w:t>
      </w:r>
    </w:p>
    <w:p>
      <w:pPr>
        <w:spacing w:after="140" w:line="276"/>
      </w:pPr>
      <w:r>
        <w:t xml:space="preserve">Used by </w:t>
      </w:r>
      <w:r>
        <w:rPr>
          <w:rFonts w:ascii="Consolas" w:cs="Consolas" w:eastAsia="Consolas" w:hAnsi="Consolas"/>
          <w:sz w:val="19"/>
          <w:szCs w:val="19"/>
        </w:rPr>
        <w:t xml:space="preserve">benthic.sqo, BRI, RBI, IBI, RIVPACS, MAMBI</w:t>
      </w:r>
      <w:r>
        <w:t xml:space="preserve">.</w:t>
      </w:r>
    </w:p>
    <w:tbl>
      <w:tblPr>
        <w:tblW w:type="dxa" w:w="9200"/>
        <w:tblBorders>
          <w:top w:val="single" w:color="BBBBBB" w:sz="4"/>
          <w:left w:val="single" w:color="BBBBBB" w:sz="4"/>
          <w:bottom w:val="single" w:color="BBBBBB" w:sz="4"/>
          <w:right w:val="single" w:color="BBBBBB" w:sz="4"/>
          <w:insideH w:val="single" w:color="DDDDDD" w:sz="2"/>
          <w:insideV w:val="single" w:color="DDDDDD" w:sz="2"/>
        </w:tblBorders>
      </w:tblPr>
      <w:tblGrid>
        <w:gridCol w:w="2500"/>
        <w:gridCol w:w="6700"/>
      </w:tblGrid>
      <w:tr>
        <w:trPr>
          <w:tblHeader/>
        </w:trPr>
        <w:tc>
          <w:tcPr>
            <w:tcW w:type="dxa" w:w="2500"/>
            <w:shd w:fill="2E5A88" w:color="auto" w:val="clear"/>
            <w:tcMar>
              <w:top w:type="dxa" w:w="40"/>
              <w:left w:type="dxa" w:w="90"/>
              <w:bottom w:type="dxa" w:w="40"/>
              <w:right w:type="dxa" w:w="90"/>
            </w:tcMar>
          </w:tcPr>
          <w:p>
            <w:pPr>
              <w:spacing w:after="20"/>
            </w:pPr>
            <w:r>
              <w:rPr>
                <w:b/>
                <w:bCs/>
                <w:color w:val="FFFFFF"/>
                <w:sz w:val="19"/>
                <w:szCs w:val="19"/>
              </w:rPr>
              <w:t xml:space="preserve">Column</w:t>
            </w:r>
          </w:p>
        </w:tc>
        <w:tc>
          <w:tcPr>
            <w:tcW w:type="dxa" w:w="6700"/>
            <w:shd w:fill="2E5A88" w:color="auto" w:val="clear"/>
            <w:tcMar>
              <w:top w:type="dxa" w:w="40"/>
              <w:left w:type="dxa" w:w="90"/>
              <w:bottom w:type="dxa" w:w="40"/>
              <w:right w:type="dxa" w:w="90"/>
            </w:tcMar>
          </w:tcPr>
          <w:p>
            <w:pPr>
              <w:spacing w:after="20"/>
            </w:pPr>
            <w:r>
              <w:rPr>
                <w:b/>
                <w:bCs/>
                <w:color w:val="FFFFFF"/>
                <w:sz w:val="19"/>
                <w:szCs w:val="19"/>
              </w:rPr>
              <w:t xml:space="preserve">Description</w:t>
            </w:r>
          </w:p>
        </w:tc>
      </w:tr>
      <w:tr>
        <w:tc>
          <w:tcPr>
            <w:tcW w:type="dxa" w:w="2500"/>
            <w:shd w:fill="FFFFFF" w:color="auto" w:val="clear"/>
            <w:tcMar>
              <w:top w:type="dxa" w:w="40"/>
              <w:left w:type="dxa" w:w="90"/>
              <w:bottom w:type="dxa" w:w="40"/>
              <w:right w:type="dxa" w:w="90"/>
            </w:tcMar>
          </w:tcPr>
          <w:p>
            <w:pPr>
              <w:spacing w:after="20"/>
            </w:pPr>
            <w:r>
              <w:rPr>
                <w:b w:val="false"/>
                <w:bCs w:val="false"/>
                <w:color w:val="000000"/>
                <w:sz w:val="19"/>
                <w:szCs w:val="19"/>
              </w:rPr>
              <w:t xml:space="preserve">StationID</w:t>
            </w:r>
          </w:p>
        </w:tc>
        <w:tc>
          <w:tcPr>
            <w:tcW w:type="dxa" w:w="6700"/>
            <w:shd w:fill="FFFFFF" w:color="auto" w:val="clear"/>
            <w:tcMar>
              <w:top w:type="dxa" w:w="40"/>
              <w:left w:type="dxa" w:w="90"/>
              <w:bottom w:type="dxa" w:w="40"/>
              <w:right w:type="dxa" w:w="90"/>
            </w:tcMar>
          </w:tcPr>
          <w:p>
            <w:pPr>
              <w:spacing w:after="20"/>
            </w:pPr>
            <w:r>
              <w:rPr>
                <w:b w:val="false"/>
                <w:bCs w:val="false"/>
                <w:color w:val="000000"/>
                <w:sz w:val="19"/>
                <w:szCs w:val="19"/>
              </w:rPr>
              <w:t xml:space="preserve">Alphanumeric identifier for the sampling location</w:t>
            </w:r>
          </w:p>
        </w:tc>
      </w:tr>
      <w:tr>
        <w:tc>
          <w:tcPr>
            <w:tcW w:type="dxa" w:w="2500"/>
            <w:shd w:fill="EAF0F7" w:color="auto" w:val="clear"/>
            <w:tcMar>
              <w:top w:type="dxa" w:w="40"/>
              <w:left w:type="dxa" w:w="90"/>
              <w:bottom w:type="dxa" w:w="40"/>
              <w:right w:type="dxa" w:w="90"/>
            </w:tcMar>
          </w:tcPr>
          <w:p>
            <w:pPr>
              <w:spacing w:after="20"/>
            </w:pPr>
            <w:r>
              <w:rPr>
                <w:b w:val="false"/>
                <w:bCs w:val="false"/>
                <w:color w:val="000000"/>
                <w:sz w:val="19"/>
                <w:szCs w:val="19"/>
              </w:rPr>
              <w:t xml:space="preserve">Replicate</w:t>
            </w:r>
          </w:p>
        </w:tc>
        <w:tc>
          <w:tcPr>
            <w:tcW w:type="dxa" w:w="6700"/>
            <w:shd w:fill="EAF0F7" w:color="auto" w:val="clear"/>
            <w:tcMar>
              <w:top w:type="dxa" w:w="40"/>
              <w:left w:type="dxa" w:w="90"/>
              <w:bottom w:type="dxa" w:w="40"/>
              <w:right w:type="dxa" w:w="90"/>
            </w:tcMar>
          </w:tcPr>
          <w:p>
            <w:pPr>
              <w:spacing w:after="20"/>
            </w:pPr>
            <w:r>
              <w:rPr>
                <w:b w:val="false"/>
                <w:bCs w:val="false"/>
                <w:color w:val="000000"/>
                <w:sz w:val="19"/>
                <w:szCs w:val="19"/>
              </w:rPr>
              <w:t xml:space="preserve">Replicate sample number</w:t>
            </w:r>
          </w:p>
        </w:tc>
      </w:tr>
      <w:tr>
        <w:tc>
          <w:tcPr>
            <w:tcW w:type="dxa" w:w="2500"/>
            <w:shd w:fill="FFFFFF" w:color="auto" w:val="clear"/>
            <w:tcMar>
              <w:top w:type="dxa" w:w="40"/>
              <w:left w:type="dxa" w:w="90"/>
              <w:bottom w:type="dxa" w:w="40"/>
              <w:right w:type="dxa" w:w="90"/>
            </w:tcMar>
          </w:tcPr>
          <w:p>
            <w:pPr>
              <w:spacing w:after="20"/>
            </w:pPr>
            <w:r>
              <w:rPr>
                <w:b w:val="false"/>
                <w:bCs w:val="false"/>
                <w:color w:val="000000"/>
                <w:sz w:val="19"/>
                <w:szCs w:val="19"/>
              </w:rPr>
              <w:t xml:space="preserve">SampleDate</w:t>
            </w:r>
          </w:p>
        </w:tc>
        <w:tc>
          <w:tcPr>
            <w:tcW w:type="dxa" w:w="6700"/>
            <w:shd w:fill="FFFFFF" w:color="auto" w:val="clear"/>
            <w:tcMar>
              <w:top w:type="dxa" w:w="40"/>
              <w:left w:type="dxa" w:w="90"/>
              <w:bottom w:type="dxa" w:w="40"/>
              <w:right w:type="dxa" w:w="90"/>
            </w:tcMar>
          </w:tcPr>
          <w:p>
            <w:pPr>
              <w:spacing w:after="20"/>
            </w:pPr>
            <w:r>
              <w:rPr>
                <w:b w:val="false"/>
                <w:bCs w:val="false"/>
                <w:color w:val="000000"/>
                <w:sz w:val="19"/>
                <w:szCs w:val="19"/>
              </w:rPr>
              <w:t xml:space="preserve">Date the sample was collected</w:t>
            </w:r>
          </w:p>
        </w:tc>
      </w:tr>
      <w:tr>
        <w:tc>
          <w:tcPr>
            <w:tcW w:type="dxa" w:w="2500"/>
            <w:shd w:fill="EAF0F7" w:color="auto" w:val="clear"/>
            <w:tcMar>
              <w:top w:type="dxa" w:w="40"/>
              <w:left w:type="dxa" w:w="90"/>
              <w:bottom w:type="dxa" w:w="40"/>
              <w:right w:type="dxa" w:w="90"/>
            </w:tcMar>
          </w:tcPr>
          <w:p>
            <w:pPr>
              <w:spacing w:after="20"/>
            </w:pPr>
            <w:r>
              <w:rPr>
                <w:b w:val="false"/>
                <w:bCs w:val="false"/>
                <w:color w:val="000000"/>
                <w:sz w:val="19"/>
                <w:szCs w:val="19"/>
              </w:rPr>
              <w:t xml:space="preserve">Latitude / Longitude</w:t>
            </w:r>
          </w:p>
        </w:tc>
        <w:tc>
          <w:tcPr>
            <w:tcW w:type="dxa" w:w="6700"/>
            <w:shd w:fill="EAF0F7" w:color="auto" w:val="clear"/>
            <w:tcMar>
              <w:top w:type="dxa" w:w="40"/>
              <w:left w:type="dxa" w:w="90"/>
              <w:bottom w:type="dxa" w:w="40"/>
              <w:right w:type="dxa" w:w="90"/>
            </w:tcMar>
          </w:tcPr>
          <w:p>
            <w:pPr>
              <w:spacing w:after="20"/>
            </w:pPr>
            <w:r>
              <w:rPr>
                <w:b w:val="false"/>
                <w:bCs w:val="false"/>
                <w:color w:val="000000"/>
                <w:sz w:val="19"/>
                <w:szCs w:val="19"/>
              </w:rPr>
              <w:t xml:space="preserve">Decimal degrees (negative longitude for the Western Hemisphere)</w:t>
            </w:r>
          </w:p>
        </w:tc>
      </w:tr>
      <w:tr>
        <w:tc>
          <w:tcPr>
            <w:tcW w:type="dxa" w:w="2500"/>
            <w:shd w:fill="FFFFFF" w:color="auto" w:val="clear"/>
            <w:tcMar>
              <w:top w:type="dxa" w:w="40"/>
              <w:left w:type="dxa" w:w="90"/>
              <w:bottom w:type="dxa" w:w="40"/>
              <w:right w:type="dxa" w:w="90"/>
            </w:tcMar>
          </w:tcPr>
          <w:p>
            <w:pPr>
              <w:spacing w:after="20"/>
            </w:pPr>
            <w:r>
              <w:rPr>
                <w:b w:val="false"/>
                <w:bCs w:val="false"/>
                <w:color w:val="000000"/>
                <w:sz w:val="19"/>
                <w:szCs w:val="19"/>
              </w:rPr>
              <w:t xml:space="preserve">Taxon</w:t>
            </w:r>
          </w:p>
        </w:tc>
        <w:tc>
          <w:tcPr>
            <w:tcW w:type="dxa" w:w="6700"/>
            <w:shd w:fill="FFFFFF" w:color="auto" w:val="clear"/>
            <w:tcMar>
              <w:top w:type="dxa" w:w="40"/>
              <w:left w:type="dxa" w:w="90"/>
              <w:bottom w:type="dxa" w:w="40"/>
              <w:right w:type="dxa" w:w="90"/>
            </w:tcMar>
          </w:tcPr>
          <w:p>
            <w:pPr>
              <w:spacing w:after="20"/>
            </w:pPr>
            <w:r>
              <w:rPr>
                <w:b w:val="false"/>
                <w:bCs w:val="false"/>
                <w:color w:val="000000"/>
                <w:sz w:val="19"/>
                <w:szCs w:val="19"/>
              </w:rPr>
              <w:t xml:space="preserve">Organism name in SCAMIT format. Use NoOrganismsPresent (abundance 0) if none</w:t>
            </w:r>
          </w:p>
        </w:tc>
      </w:tr>
      <w:tr>
        <w:tc>
          <w:tcPr>
            <w:tcW w:type="dxa" w:w="2500"/>
            <w:shd w:fill="EAF0F7" w:color="auto" w:val="clear"/>
            <w:tcMar>
              <w:top w:type="dxa" w:w="40"/>
              <w:left w:type="dxa" w:w="90"/>
              <w:bottom w:type="dxa" w:w="40"/>
              <w:right w:type="dxa" w:w="90"/>
            </w:tcMar>
          </w:tcPr>
          <w:p>
            <w:pPr>
              <w:spacing w:after="20"/>
            </w:pPr>
            <w:r>
              <w:rPr>
                <w:b w:val="false"/>
                <w:bCs w:val="false"/>
                <w:color w:val="000000"/>
                <w:sz w:val="19"/>
                <w:szCs w:val="19"/>
              </w:rPr>
              <w:t xml:space="preserve">Abundance</w:t>
            </w:r>
          </w:p>
        </w:tc>
        <w:tc>
          <w:tcPr>
            <w:tcW w:type="dxa" w:w="6700"/>
            <w:shd w:fill="EAF0F7" w:color="auto" w:val="clear"/>
            <w:tcMar>
              <w:top w:type="dxa" w:w="40"/>
              <w:left w:type="dxa" w:w="90"/>
              <w:bottom w:type="dxa" w:w="40"/>
              <w:right w:type="dxa" w:w="90"/>
            </w:tcMar>
          </w:tcPr>
          <w:p>
            <w:pPr>
              <w:spacing w:after="20"/>
            </w:pPr>
            <w:r>
              <w:rPr>
                <w:b w:val="false"/>
                <w:bCs w:val="false"/>
                <w:color w:val="000000"/>
                <w:sz w:val="19"/>
                <w:szCs w:val="19"/>
              </w:rPr>
              <w:t xml:space="preserve">Count of each taxon in the sample</w:t>
            </w:r>
          </w:p>
        </w:tc>
      </w:tr>
      <w:tr>
        <w:tc>
          <w:tcPr>
            <w:tcW w:type="dxa" w:w="2500"/>
            <w:shd w:fill="FFFFFF" w:color="auto" w:val="clear"/>
            <w:tcMar>
              <w:top w:type="dxa" w:w="40"/>
              <w:left w:type="dxa" w:w="90"/>
              <w:bottom w:type="dxa" w:w="40"/>
              <w:right w:type="dxa" w:w="90"/>
            </w:tcMar>
          </w:tcPr>
          <w:p>
            <w:pPr>
              <w:spacing w:after="20"/>
            </w:pPr>
            <w:r>
              <w:rPr>
                <w:b w:val="false"/>
                <w:bCs w:val="false"/>
                <w:color w:val="000000"/>
                <w:sz w:val="19"/>
                <w:szCs w:val="19"/>
              </w:rPr>
              <w:t xml:space="preserve">Salinity</w:t>
            </w:r>
          </w:p>
        </w:tc>
        <w:tc>
          <w:tcPr>
            <w:tcW w:type="dxa" w:w="6700"/>
            <w:shd w:fill="FFFFFF" w:color="auto" w:val="clear"/>
            <w:tcMar>
              <w:top w:type="dxa" w:w="40"/>
              <w:left w:type="dxa" w:w="90"/>
              <w:bottom w:type="dxa" w:w="40"/>
              <w:right w:type="dxa" w:w="90"/>
            </w:tcMar>
          </w:tcPr>
          <w:p>
            <w:pPr>
              <w:spacing w:after="20"/>
            </w:pPr>
            <w:r>
              <w:rPr>
                <w:b w:val="false"/>
                <w:bCs w:val="false"/>
                <w:color w:val="000000"/>
                <w:sz w:val="19"/>
                <w:szCs w:val="19"/>
              </w:rPr>
              <w:t xml:space="preserve">Salinity at the location in PSU</w:t>
            </w:r>
          </w:p>
        </w:tc>
      </w:tr>
      <w:tr>
        <w:tc>
          <w:tcPr>
            <w:tcW w:type="dxa" w:w="2500"/>
            <w:shd w:fill="EAF0F7" w:color="auto" w:val="clear"/>
            <w:tcMar>
              <w:top w:type="dxa" w:w="40"/>
              <w:left w:type="dxa" w:w="90"/>
              <w:bottom w:type="dxa" w:w="40"/>
              <w:right w:type="dxa" w:w="90"/>
            </w:tcMar>
          </w:tcPr>
          <w:p>
            <w:pPr>
              <w:spacing w:after="20"/>
            </w:pPr>
            <w:r>
              <w:rPr>
                <w:b w:val="false"/>
                <w:bCs w:val="false"/>
                <w:color w:val="000000"/>
                <w:sz w:val="19"/>
                <w:szCs w:val="19"/>
              </w:rPr>
              <w:t xml:space="preserve">Stratum</w:t>
            </w:r>
          </w:p>
        </w:tc>
        <w:tc>
          <w:tcPr>
            <w:tcW w:type="dxa" w:w="6700"/>
            <w:shd w:fill="EAF0F7" w:color="auto" w:val="clear"/>
            <w:tcMar>
              <w:top w:type="dxa" w:w="40"/>
              <w:left w:type="dxa" w:w="90"/>
              <w:bottom w:type="dxa" w:w="40"/>
              <w:right w:type="dxa" w:w="90"/>
            </w:tcMar>
          </w:tcPr>
          <w:p>
            <w:pPr>
              <w:spacing w:after="20"/>
            </w:pPr>
            <w:r>
              <w:rPr>
                <w:b w:val="false"/>
                <w:bCs w:val="false"/>
                <w:color w:val="000000"/>
                <w:sz w:val="19"/>
                <w:szCs w:val="19"/>
              </w:rPr>
              <w:t xml:space="preserve">Habitat stratum (Bays, Estuaries, etc.)</w:t>
            </w:r>
          </w:p>
        </w:tc>
      </w:tr>
      <w:tr>
        <w:tc>
          <w:tcPr>
            <w:tcW w:type="dxa" w:w="2500"/>
            <w:shd w:fill="FFFFFF" w:color="auto" w:val="clear"/>
            <w:tcMar>
              <w:top w:type="dxa" w:w="40"/>
              <w:left w:type="dxa" w:w="90"/>
              <w:bottom w:type="dxa" w:w="40"/>
              <w:right w:type="dxa" w:w="90"/>
            </w:tcMar>
          </w:tcPr>
          <w:p>
            <w:pPr>
              <w:spacing w:after="20"/>
            </w:pPr>
            <w:r>
              <w:rPr>
                <w:b w:val="false"/>
                <w:bCs w:val="false"/>
                <w:color w:val="000000"/>
                <w:sz w:val="19"/>
                <w:szCs w:val="19"/>
              </w:rPr>
              <w:t xml:space="preserve">Exclude</w:t>
            </w:r>
          </w:p>
        </w:tc>
        <w:tc>
          <w:tcPr>
            <w:tcW w:type="dxa" w:w="6700"/>
            <w:shd w:fill="FFFFFF" w:color="auto" w:val="clear"/>
            <w:tcMar>
              <w:top w:type="dxa" w:w="40"/>
              <w:left w:type="dxa" w:w="90"/>
              <w:bottom w:type="dxa" w:w="40"/>
              <w:right w:type="dxa" w:w="90"/>
            </w:tcMar>
          </w:tcPr>
          <w:p>
            <w:pPr>
              <w:spacing w:after="20"/>
            </w:pPr>
            <w:r>
              <w:rPr>
                <w:b w:val="false"/>
                <w:bCs w:val="false"/>
                <w:color w:val="000000"/>
                <w:sz w:val="19"/>
                <w:szCs w:val="19"/>
              </w:rPr>
              <w:t xml:space="preserve">Whether the sample should be excluded (Yes/No)</w:t>
            </w:r>
          </w:p>
        </w:tc>
      </w:tr>
    </w:tbl>
    <w:p>
      <w:pPr>
        <w:pStyle w:val="Heading3"/>
        <w:spacing w:after="80" w:before="180"/>
      </w:pPr>
      <w:r>
        <w:t xml:space="preserve">4.2 Chemistry</w:t>
      </w:r>
    </w:p>
    <w:p>
      <w:pPr>
        <w:spacing w:after="140" w:line="276"/>
      </w:pPr>
      <w:r>
        <w:t xml:space="preserve">Used by </w:t>
      </w:r>
      <w:r>
        <w:rPr>
          <w:rFonts w:ascii="Consolas" w:cs="Consolas" w:eastAsia="Consolas" w:hAnsi="Consolas"/>
          <w:sz w:val="19"/>
          <w:szCs w:val="19"/>
        </w:rPr>
        <w:t xml:space="preserve">chem.sqo, chemdata_prep, CSI, LRM</w:t>
      </w:r>
      <w:r>
        <w:t xml:space="preserve">.</w:t>
      </w:r>
    </w:p>
    <w:tbl>
      <w:tblPr>
        <w:tblW w:type="dxa" w:w="9200"/>
        <w:tblBorders>
          <w:top w:val="single" w:color="BBBBBB" w:sz="4"/>
          <w:left w:val="single" w:color="BBBBBB" w:sz="4"/>
          <w:bottom w:val="single" w:color="BBBBBB" w:sz="4"/>
          <w:right w:val="single" w:color="BBBBBB" w:sz="4"/>
          <w:insideH w:val="single" w:color="DDDDDD" w:sz="2"/>
          <w:insideV w:val="single" w:color="DDDDDD" w:sz="2"/>
        </w:tblBorders>
      </w:tblPr>
      <w:tblGrid>
        <w:gridCol w:w="2700"/>
        <w:gridCol w:w="6500"/>
      </w:tblGrid>
      <w:tr>
        <w:trPr>
          <w:tblHeader/>
        </w:trPr>
        <w:tc>
          <w:tcPr>
            <w:tcW w:type="dxa" w:w="2700"/>
            <w:shd w:fill="2E5A88" w:color="auto" w:val="clear"/>
            <w:tcMar>
              <w:top w:type="dxa" w:w="40"/>
              <w:left w:type="dxa" w:w="90"/>
              <w:bottom w:type="dxa" w:w="40"/>
              <w:right w:type="dxa" w:w="90"/>
            </w:tcMar>
          </w:tcPr>
          <w:p>
            <w:pPr>
              <w:spacing w:after="20"/>
            </w:pPr>
            <w:r>
              <w:rPr>
                <w:b/>
                <w:bCs/>
                <w:color w:val="FFFFFF"/>
                <w:sz w:val="19"/>
                <w:szCs w:val="19"/>
              </w:rPr>
              <w:t xml:space="preserve">Column</w:t>
            </w:r>
          </w:p>
        </w:tc>
        <w:tc>
          <w:tcPr>
            <w:tcW w:type="dxa" w:w="6500"/>
            <w:shd w:fill="2E5A88" w:color="auto" w:val="clear"/>
            <w:tcMar>
              <w:top w:type="dxa" w:w="40"/>
              <w:left w:type="dxa" w:w="90"/>
              <w:bottom w:type="dxa" w:w="40"/>
              <w:right w:type="dxa" w:w="90"/>
            </w:tcMar>
          </w:tcPr>
          <w:p>
            <w:pPr>
              <w:spacing w:after="20"/>
            </w:pPr>
            <w:r>
              <w:rPr>
                <w:b/>
                <w:bCs/>
                <w:color w:val="FFFFFF"/>
                <w:sz w:val="19"/>
                <w:szCs w:val="19"/>
              </w:rPr>
              <w:t xml:space="preserve">Description</w:t>
            </w:r>
          </w:p>
        </w:tc>
      </w:tr>
      <w:tr>
        <w:tc>
          <w:tcPr>
            <w:tcW w:type="dxa" w:w="2700"/>
            <w:shd w:fill="FFFFFF" w:color="auto" w:val="clear"/>
            <w:tcMar>
              <w:top w:type="dxa" w:w="40"/>
              <w:left w:type="dxa" w:w="90"/>
              <w:bottom w:type="dxa" w:w="40"/>
              <w:right w:type="dxa" w:w="90"/>
            </w:tcMar>
          </w:tcPr>
          <w:p>
            <w:pPr>
              <w:spacing w:after="20"/>
            </w:pPr>
            <w:r>
              <w:rPr>
                <w:b w:val="false"/>
                <w:bCs w:val="false"/>
                <w:color w:val="000000"/>
                <w:sz w:val="19"/>
                <w:szCs w:val="19"/>
              </w:rPr>
              <w:t xml:space="preserve">StationID</w:t>
            </w:r>
          </w:p>
        </w:tc>
        <w:tc>
          <w:tcPr>
            <w:tcW w:type="dxa" w:w="6500"/>
            <w:shd w:fill="FFFFFF" w:color="auto" w:val="clear"/>
            <w:tcMar>
              <w:top w:type="dxa" w:w="40"/>
              <w:left w:type="dxa" w:w="90"/>
              <w:bottom w:type="dxa" w:w="40"/>
              <w:right w:type="dxa" w:w="90"/>
            </w:tcMar>
          </w:tcPr>
          <w:p>
            <w:pPr>
              <w:spacing w:after="20"/>
            </w:pPr>
            <w:r>
              <w:rPr>
                <w:b w:val="false"/>
                <w:bCs w:val="false"/>
                <w:color w:val="000000"/>
                <w:sz w:val="19"/>
                <w:szCs w:val="19"/>
              </w:rPr>
              <w:t xml:space="preserve">Station identifier</w:t>
            </w:r>
          </w:p>
        </w:tc>
      </w:tr>
      <w:tr>
        <w:tc>
          <w:tcPr>
            <w:tcW w:type="dxa" w:w="2700"/>
            <w:shd w:fill="EAF0F7" w:color="auto" w:val="clear"/>
            <w:tcMar>
              <w:top w:type="dxa" w:w="40"/>
              <w:left w:type="dxa" w:w="90"/>
              <w:bottom w:type="dxa" w:w="40"/>
              <w:right w:type="dxa" w:w="90"/>
            </w:tcMar>
          </w:tcPr>
          <w:p>
            <w:pPr>
              <w:spacing w:after="20"/>
            </w:pPr>
            <w:r>
              <w:rPr>
                <w:b w:val="false"/>
                <w:bCs w:val="false"/>
                <w:color w:val="000000"/>
                <w:sz w:val="19"/>
                <w:szCs w:val="19"/>
              </w:rPr>
              <w:t xml:space="preserve">AnalyteName</w:t>
            </w:r>
          </w:p>
        </w:tc>
        <w:tc>
          <w:tcPr>
            <w:tcW w:type="dxa" w:w="6500"/>
            <w:shd w:fill="EAF0F7" w:color="auto" w:val="clear"/>
            <w:tcMar>
              <w:top w:type="dxa" w:w="40"/>
              <w:left w:type="dxa" w:w="90"/>
              <w:bottom w:type="dxa" w:w="40"/>
              <w:right w:type="dxa" w:w="90"/>
            </w:tcMar>
          </w:tcPr>
          <w:p>
            <w:pPr>
              <w:spacing w:after="20"/>
            </w:pPr>
            <w:r>
              <w:rPr>
                <w:b w:val="false"/>
                <w:bCs w:val="false"/>
                <w:color w:val="000000"/>
                <w:sz w:val="19"/>
                <w:szCs w:val="19"/>
              </w:rPr>
              <w:t xml:space="preserve">Name of the chemical analyte</w:t>
            </w:r>
          </w:p>
        </w:tc>
      </w:tr>
      <w:tr>
        <w:tc>
          <w:tcPr>
            <w:tcW w:type="dxa" w:w="2700"/>
            <w:shd w:fill="FFFFFF" w:color="auto" w:val="clear"/>
            <w:tcMar>
              <w:top w:type="dxa" w:w="40"/>
              <w:left w:type="dxa" w:w="90"/>
              <w:bottom w:type="dxa" w:w="40"/>
              <w:right w:type="dxa" w:w="90"/>
            </w:tcMar>
          </w:tcPr>
          <w:p>
            <w:pPr>
              <w:spacing w:after="20"/>
            </w:pPr>
            <w:r>
              <w:rPr>
                <w:b w:val="false"/>
                <w:bCs w:val="false"/>
                <w:color w:val="000000"/>
                <w:sz w:val="19"/>
                <w:szCs w:val="19"/>
              </w:rPr>
              <w:t xml:space="preserve">Result</w:t>
            </w:r>
          </w:p>
        </w:tc>
        <w:tc>
          <w:tcPr>
            <w:tcW w:type="dxa" w:w="6500"/>
            <w:shd w:fill="FFFFFF" w:color="auto" w:val="clear"/>
            <w:tcMar>
              <w:top w:type="dxa" w:w="40"/>
              <w:left w:type="dxa" w:w="90"/>
              <w:bottom w:type="dxa" w:w="40"/>
              <w:right w:type="dxa" w:w="90"/>
            </w:tcMar>
          </w:tcPr>
          <w:p>
            <w:pPr>
              <w:spacing w:after="20"/>
            </w:pPr>
            <w:r>
              <w:rPr>
                <w:b w:val="false"/>
                <w:bCs w:val="false"/>
                <w:color w:val="000000"/>
                <w:sz w:val="19"/>
                <w:szCs w:val="19"/>
              </w:rPr>
              <w:t xml:space="preserve">Measured value (non-detects marked as -88)</w:t>
            </w:r>
          </w:p>
        </w:tc>
      </w:tr>
      <w:tr>
        <w:tc>
          <w:tcPr>
            <w:tcW w:type="dxa" w:w="2700"/>
            <w:shd w:fill="EAF0F7" w:color="auto" w:val="clear"/>
            <w:tcMar>
              <w:top w:type="dxa" w:w="40"/>
              <w:left w:type="dxa" w:w="90"/>
              <w:bottom w:type="dxa" w:w="40"/>
              <w:right w:type="dxa" w:w="90"/>
            </w:tcMar>
          </w:tcPr>
          <w:p>
            <w:pPr>
              <w:spacing w:after="20"/>
            </w:pPr>
            <w:r>
              <w:rPr>
                <w:b w:val="false"/>
                <w:bCs w:val="false"/>
                <w:color w:val="000000"/>
                <w:sz w:val="19"/>
                <w:szCs w:val="19"/>
              </w:rPr>
              <w:t xml:space="preserve">RL</w:t>
            </w:r>
          </w:p>
        </w:tc>
        <w:tc>
          <w:tcPr>
            <w:tcW w:type="dxa" w:w="6500"/>
            <w:shd w:fill="EAF0F7" w:color="auto" w:val="clear"/>
            <w:tcMar>
              <w:top w:type="dxa" w:w="40"/>
              <w:left w:type="dxa" w:w="90"/>
              <w:bottom w:type="dxa" w:w="40"/>
              <w:right w:type="dxa" w:w="90"/>
            </w:tcMar>
          </w:tcPr>
          <w:p>
            <w:pPr>
              <w:spacing w:after="20"/>
            </w:pPr>
            <w:r>
              <w:rPr>
                <w:b w:val="false"/>
                <w:bCs w:val="false"/>
                <w:color w:val="000000"/>
                <w:sz w:val="19"/>
                <w:szCs w:val="19"/>
              </w:rPr>
              <w:t xml:space="preserve">Reporting limit</w:t>
            </w:r>
          </w:p>
        </w:tc>
      </w:tr>
      <w:tr>
        <w:tc>
          <w:tcPr>
            <w:tcW w:type="dxa" w:w="2700"/>
            <w:shd w:fill="FFFFFF" w:color="auto" w:val="clear"/>
            <w:tcMar>
              <w:top w:type="dxa" w:w="40"/>
              <w:left w:type="dxa" w:w="90"/>
              <w:bottom w:type="dxa" w:w="40"/>
              <w:right w:type="dxa" w:w="90"/>
            </w:tcMar>
          </w:tcPr>
          <w:p>
            <w:pPr>
              <w:spacing w:after="20"/>
            </w:pPr>
            <w:r>
              <w:rPr>
                <w:b w:val="false"/>
                <w:bCs w:val="false"/>
                <w:color w:val="000000"/>
                <w:sz w:val="19"/>
                <w:szCs w:val="19"/>
              </w:rPr>
              <w:t xml:space="preserve">MDL</w:t>
            </w:r>
          </w:p>
        </w:tc>
        <w:tc>
          <w:tcPr>
            <w:tcW w:type="dxa" w:w="6500"/>
            <w:shd w:fill="FFFFFF" w:color="auto" w:val="clear"/>
            <w:tcMar>
              <w:top w:type="dxa" w:w="40"/>
              <w:left w:type="dxa" w:w="90"/>
              <w:bottom w:type="dxa" w:w="40"/>
              <w:right w:type="dxa" w:w="90"/>
            </w:tcMar>
          </w:tcPr>
          <w:p>
            <w:pPr>
              <w:spacing w:after="20"/>
            </w:pPr>
            <w:r>
              <w:rPr>
                <w:b w:val="false"/>
                <w:bCs w:val="false"/>
                <w:color w:val="000000"/>
                <w:sz w:val="19"/>
                <w:szCs w:val="19"/>
              </w:rPr>
              <w:t xml:space="preserve">Method detection limit</w:t>
            </w:r>
          </w:p>
        </w:tc>
      </w:tr>
      <w:tr>
        <w:tc>
          <w:tcPr>
            <w:tcW w:type="dxa" w:w="2700"/>
            <w:shd w:fill="EAF0F7" w:color="auto" w:val="clear"/>
            <w:tcMar>
              <w:top w:type="dxa" w:w="40"/>
              <w:left w:type="dxa" w:w="90"/>
              <w:bottom w:type="dxa" w:w="40"/>
              <w:right w:type="dxa" w:w="90"/>
            </w:tcMar>
          </w:tcPr>
          <w:p>
            <w:pPr>
              <w:spacing w:after="20"/>
            </w:pPr>
            <w:r>
              <w:rPr>
                <w:b w:val="false"/>
                <w:bCs w:val="false"/>
                <w:color w:val="000000"/>
                <w:sz w:val="19"/>
                <w:szCs w:val="19"/>
              </w:rPr>
              <w:t xml:space="preserve">units (optional)</w:t>
            </w:r>
          </w:p>
        </w:tc>
        <w:tc>
          <w:tcPr>
            <w:tcW w:type="dxa" w:w="6500"/>
            <w:shd w:fill="EAF0F7" w:color="auto" w:val="clear"/>
            <w:tcMar>
              <w:top w:type="dxa" w:w="40"/>
              <w:left w:type="dxa" w:w="90"/>
              <w:bottom w:type="dxa" w:w="40"/>
              <w:right w:type="dxa" w:w="90"/>
            </w:tcMar>
          </w:tcPr>
          <w:p>
            <w:pPr>
              <w:spacing w:after="20"/>
            </w:pPr>
            <w:r>
              <w:rPr>
                <w:b w:val="false"/>
                <w:bCs w:val="false"/>
                <w:color w:val="000000"/>
                <w:sz w:val="19"/>
                <w:szCs w:val="19"/>
              </w:rPr>
              <w:t xml:space="preserve">Metals in mg/dry kg; organics in ug/dry kg</w:t>
            </w:r>
          </w:p>
        </w:tc>
      </w:tr>
      <w:tr>
        <w:tc>
          <w:tcPr>
            <w:tcW w:type="dxa" w:w="2700"/>
            <w:shd w:fill="FFFFFF" w:color="auto" w:val="clear"/>
            <w:tcMar>
              <w:top w:type="dxa" w:w="40"/>
              <w:left w:type="dxa" w:w="90"/>
              <w:bottom w:type="dxa" w:w="40"/>
              <w:right w:type="dxa" w:w="90"/>
            </w:tcMar>
          </w:tcPr>
          <w:p>
            <w:pPr>
              <w:spacing w:after="20"/>
            </w:pPr>
            <w:r>
              <w:rPr>
                <w:b w:val="false"/>
                <w:bCs w:val="false"/>
                <w:color w:val="000000"/>
                <w:sz w:val="19"/>
                <w:szCs w:val="19"/>
              </w:rPr>
              <w:t xml:space="preserve">fieldrep (optional)</w:t>
            </w:r>
          </w:p>
        </w:tc>
        <w:tc>
          <w:tcPr>
            <w:tcW w:type="dxa" w:w="6500"/>
            <w:shd w:fill="FFFFFF" w:color="auto" w:val="clear"/>
            <w:tcMar>
              <w:top w:type="dxa" w:w="40"/>
              <w:left w:type="dxa" w:w="90"/>
              <w:bottom w:type="dxa" w:w="40"/>
              <w:right w:type="dxa" w:w="90"/>
            </w:tcMar>
          </w:tcPr>
          <w:p>
            <w:pPr>
              <w:spacing w:after="20"/>
            </w:pPr>
            <w:r>
              <w:rPr>
                <w:b w:val="false"/>
                <w:bCs w:val="false"/>
                <w:color w:val="000000"/>
                <w:sz w:val="19"/>
                <w:szCs w:val="19"/>
              </w:rPr>
              <w:t xml:space="preserve">If present, data is filtered to fieldrep = 1</w:t>
            </w:r>
          </w:p>
        </w:tc>
      </w:tr>
      <w:tr>
        <w:tc>
          <w:tcPr>
            <w:tcW w:type="dxa" w:w="2700"/>
            <w:shd w:fill="EAF0F7" w:color="auto" w:val="clear"/>
            <w:tcMar>
              <w:top w:type="dxa" w:w="40"/>
              <w:left w:type="dxa" w:w="90"/>
              <w:bottom w:type="dxa" w:w="40"/>
              <w:right w:type="dxa" w:w="90"/>
            </w:tcMar>
          </w:tcPr>
          <w:p>
            <w:pPr>
              <w:spacing w:after="20"/>
            </w:pPr>
            <w:r>
              <w:rPr>
                <w:b w:val="false"/>
                <w:bCs w:val="false"/>
                <w:color w:val="000000"/>
                <w:sz w:val="19"/>
                <w:szCs w:val="19"/>
              </w:rPr>
              <w:t xml:space="preserve">labrep (optional)</w:t>
            </w:r>
          </w:p>
        </w:tc>
        <w:tc>
          <w:tcPr>
            <w:tcW w:type="dxa" w:w="6500"/>
            <w:shd w:fill="EAF0F7" w:color="auto" w:val="clear"/>
            <w:tcMar>
              <w:top w:type="dxa" w:w="40"/>
              <w:left w:type="dxa" w:w="90"/>
              <w:bottom w:type="dxa" w:w="40"/>
              <w:right w:type="dxa" w:w="90"/>
            </w:tcMar>
          </w:tcPr>
          <w:p>
            <w:pPr>
              <w:spacing w:after="20"/>
            </w:pPr>
            <w:r>
              <w:rPr>
                <w:b w:val="false"/>
                <w:bCs w:val="false"/>
                <w:color w:val="000000"/>
                <w:sz w:val="19"/>
                <w:szCs w:val="19"/>
              </w:rPr>
              <w:t xml:space="preserve">If present, data is filtered to labrep = 1</w:t>
            </w:r>
          </w:p>
        </w:tc>
      </w:tr>
      <w:tr>
        <w:tc>
          <w:tcPr>
            <w:tcW w:type="dxa" w:w="2700"/>
            <w:shd w:fill="FFFFFF" w:color="auto" w:val="clear"/>
            <w:tcMar>
              <w:top w:type="dxa" w:w="40"/>
              <w:left w:type="dxa" w:w="90"/>
              <w:bottom w:type="dxa" w:w="40"/>
              <w:right w:type="dxa" w:w="90"/>
            </w:tcMar>
          </w:tcPr>
          <w:p>
            <w:pPr>
              <w:spacing w:after="20"/>
            </w:pPr>
            <w:r>
              <w:rPr>
                <w:b w:val="false"/>
                <w:bCs w:val="false"/>
                <w:color w:val="000000"/>
                <w:sz w:val="19"/>
                <w:szCs w:val="19"/>
              </w:rPr>
              <w:t xml:space="preserve">sampletypecode (optional)</w:t>
            </w:r>
          </w:p>
        </w:tc>
        <w:tc>
          <w:tcPr>
            <w:tcW w:type="dxa" w:w="6500"/>
            <w:shd w:fill="FFFFFF" w:color="auto" w:val="clear"/>
            <w:tcMar>
              <w:top w:type="dxa" w:w="40"/>
              <w:left w:type="dxa" w:w="90"/>
              <w:bottom w:type="dxa" w:w="40"/>
              <w:right w:type="dxa" w:w="90"/>
            </w:tcMar>
          </w:tcPr>
          <w:p>
            <w:pPr>
              <w:spacing w:after="20"/>
            </w:pPr>
            <w:r>
              <w:rPr>
                <w:b w:val="false"/>
                <w:bCs w:val="false"/>
                <w:color w:val="000000"/>
                <w:sz w:val="19"/>
                <w:szCs w:val="19"/>
              </w:rPr>
              <w:t xml:space="preserve">If present, keeps only sampletypecode = Result (drops QA/QC)</w:t>
            </w:r>
          </w:p>
        </w:tc>
      </w:tr>
    </w:tbl>
    <w:p>
      <w:pPr>
        <w:pStyle w:val="Heading3"/>
        <w:spacing w:after="80" w:before="180"/>
      </w:pPr>
      <w:r>
        <w:t xml:space="preserve">4.3 Offshore benthic</w:t>
      </w:r>
    </w:p>
    <w:p>
      <w:pPr>
        <w:spacing w:after="140" w:line="276"/>
      </w:pPr>
      <w:r>
        <w:t xml:space="preserve">Used by </w:t>
      </w:r>
      <w:r>
        <w:rPr>
          <w:rFonts w:ascii="Consolas" w:cs="Consolas" w:eastAsia="Consolas" w:hAnsi="Consolas"/>
          <w:sz w:val="19"/>
          <w:szCs w:val="19"/>
        </w:rPr>
        <w:t xml:space="preserve">BRI.Offshore</w:t>
      </w:r>
      <w:r>
        <w:t xml:space="preserve"> and by </w:t>
      </w:r>
      <w:r>
        <w:rPr>
          <w:rFonts w:ascii="Consolas" w:cs="Consolas" w:eastAsia="Consolas" w:hAnsi="Consolas"/>
          <w:sz w:val="19"/>
          <w:szCs w:val="19"/>
        </w:rPr>
        <w:t xml:space="preserve">SQOUnified</w:t>
      </w:r>
      <w:r>
        <w:t xml:space="preserve"> via </w:t>
      </w:r>
      <w:r>
        <w:rPr>
          <w:rFonts w:ascii="Consolas" w:cs="Consolas" w:eastAsia="Consolas" w:hAnsi="Consolas"/>
          <w:sz w:val="19"/>
          <w:szCs w:val="19"/>
        </w:rPr>
        <w:t xml:space="preserve">offshore_benthic</w:t>
      </w:r>
      <w:r>
        <w:t xml:space="preserve">. Single combined frame; column names are case-insensitive.</w:t>
      </w:r>
    </w:p>
    <w:tbl>
      <w:tblPr>
        <w:tblW w:type="dxa" w:w="9200"/>
        <w:tblBorders>
          <w:top w:val="single" w:color="BBBBBB" w:sz="4"/>
          <w:left w:val="single" w:color="BBBBBB" w:sz="4"/>
          <w:bottom w:val="single" w:color="BBBBBB" w:sz="4"/>
          <w:right w:val="single" w:color="BBBBBB" w:sz="4"/>
          <w:insideH w:val="single" w:color="DDDDDD" w:sz="2"/>
          <w:insideV w:val="single" w:color="DDDDDD" w:sz="2"/>
        </w:tblBorders>
      </w:tblPr>
      <w:tblGrid>
        <w:gridCol w:w="2500"/>
        <w:gridCol w:w="6700"/>
      </w:tblGrid>
      <w:tr>
        <w:trPr>
          <w:tblHeader/>
        </w:trPr>
        <w:tc>
          <w:tcPr>
            <w:tcW w:type="dxa" w:w="2500"/>
            <w:shd w:fill="2E5A88" w:color="auto" w:val="clear"/>
            <w:tcMar>
              <w:top w:type="dxa" w:w="40"/>
              <w:left w:type="dxa" w:w="90"/>
              <w:bottom w:type="dxa" w:w="40"/>
              <w:right w:type="dxa" w:w="90"/>
            </w:tcMar>
          </w:tcPr>
          <w:p>
            <w:pPr>
              <w:spacing w:after="20"/>
            </w:pPr>
            <w:r>
              <w:rPr>
                <w:b/>
                <w:bCs/>
                <w:color w:val="FFFFFF"/>
                <w:sz w:val="19"/>
                <w:szCs w:val="19"/>
              </w:rPr>
              <w:t xml:space="preserve">Column</w:t>
            </w:r>
          </w:p>
        </w:tc>
        <w:tc>
          <w:tcPr>
            <w:tcW w:type="dxa" w:w="6700"/>
            <w:shd w:fill="2E5A88" w:color="auto" w:val="clear"/>
            <w:tcMar>
              <w:top w:type="dxa" w:w="40"/>
              <w:left w:type="dxa" w:w="90"/>
              <w:bottom w:type="dxa" w:w="40"/>
              <w:right w:type="dxa" w:w="90"/>
            </w:tcMar>
          </w:tcPr>
          <w:p>
            <w:pPr>
              <w:spacing w:after="20"/>
            </w:pPr>
            <w:r>
              <w:rPr>
                <w:b/>
                <w:bCs/>
                <w:color w:val="FFFFFF"/>
                <w:sz w:val="19"/>
                <w:szCs w:val="19"/>
              </w:rPr>
              <w:t xml:space="preserve">Description</w:t>
            </w:r>
          </w:p>
        </w:tc>
      </w:tr>
      <w:tr>
        <w:tc>
          <w:tcPr>
            <w:tcW w:type="dxa" w:w="2500"/>
            <w:shd w:fill="FFFFFF" w:color="auto" w:val="clear"/>
            <w:tcMar>
              <w:top w:type="dxa" w:w="40"/>
              <w:left w:type="dxa" w:w="90"/>
              <w:bottom w:type="dxa" w:w="40"/>
              <w:right w:type="dxa" w:w="90"/>
            </w:tcMar>
          </w:tcPr>
          <w:p>
            <w:pPr>
              <w:spacing w:after="20"/>
            </w:pPr>
            <w:r>
              <w:rPr>
                <w:b w:val="false"/>
                <w:bCs w:val="false"/>
                <w:color w:val="000000"/>
                <w:sz w:val="19"/>
                <w:szCs w:val="19"/>
              </w:rPr>
              <w:t xml:space="preserve">StationID</w:t>
            </w:r>
          </w:p>
        </w:tc>
        <w:tc>
          <w:tcPr>
            <w:tcW w:type="dxa" w:w="6700"/>
            <w:shd w:fill="FFFFFF" w:color="auto" w:val="clear"/>
            <w:tcMar>
              <w:top w:type="dxa" w:w="40"/>
              <w:left w:type="dxa" w:w="90"/>
              <w:bottom w:type="dxa" w:w="40"/>
              <w:right w:type="dxa" w:w="90"/>
            </w:tcMar>
          </w:tcPr>
          <w:p>
            <w:pPr>
              <w:spacing w:after="20"/>
            </w:pPr>
            <w:r>
              <w:rPr>
                <w:b w:val="false"/>
                <w:bCs w:val="false"/>
                <w:color w:val="000000"/>
                <w:sz w:val="19"/>
                <w:szCs w:val="19"/>
              </w:rPr>
              <w:t xml:space="preserve">Alphanumeric station identifier</w:t>
            </w:r>
          </w:p>
        </w:tc>
      </w:tr>
      <w:tr>
        <w:tc>
          <w:tcPr>
            <w:tcW w:type="dxa" w:w="2500"/>
            <w:shd w:fill="EAF0F7" w:color="auto" w:val="clear"/>
            <w:tcMar>
              <w:top w:type="dxa" w:w="40"/>
              <w:left w:type="dxa" w:w="90"/>
              <w:bottom w:type="dxa" w:w="40"/>
              <w:right w:type="dxa" w:w="90"/>
            </w:tcMar>
          </w:tcPr>
          <w:p>
            <w:pPr>
              <w:spacing w:after="20"/>
            </w:pPr>
            <w:r>
              <w:rPr>
                <w:b w:val="false"/>
                <w:bCs w:val="false"/>
                <w:color w:val="000000"/>
                <w:sz w:val="19"/>
                <w:szCs w:val="19"/>
              </w:rPr>
              <w:t xml:space="preserve">SampleDate</w:t>
            </w:r>
          </w:p>
        </w:tc>
        <w:tc>
          <w:tcPr>
            <w:tcW w:type="dxa" w:w="6700"/>
            <w:shd w:fill="EAF0F7" w:color="auto" w:val="clear"/>
            <w:tcMar>
              <w:top w:type="dxa" w:w="40"/>
              <w:left w:type="dxa" w:w="90"/>
              <w:bottom w:type="dxa" w:w="40"/>
              <w:right w:type="dxa" w:w="90"/>
            </w:tcMar>
          </w:tcPr>
          <w:p>
            <w:pPr>
              <w:spacing w:after="20"/>
            </w:pPr>
            <w:r>
              <w:rPr>
                <w:b w:val="false"/>
                <w:bCs w:val="false"/>
                <w:color w:val="000000"/>
                <w:sz w:val="19"/>
                <w:szCs w:val="19"/>
              </w:rPr>
              <w:t xml:space="preserve">Date of collection</w:t>
            </w:r>
          </w:p>
        </w:tc>
      </w:tr>
      <w:tr>
        <w:tc>
          <w:tcPr>
            <w:tcW w:type="dxa" w:w="2500"/>
            <w:shd w:fill="FFFFFF" w:color="auto" w:val="clear"/>
            <w:tcMar>
              <w:top w:type="dxa" w:w="40"/>
              <w:left w:type="dxa" w:w="90"/>
              <w:bottom w:type="dxa" w:w="40"/>
              <w:right w:type="dxa" w:w="90"/>
            </w:tcMar>
          </w:tcPr>
          <w:p>
            <w:pPr>
              <w:spacing w:after="20"/>
            </w:pPr>
            <w:r>
              <w:rPr>
                <w:b w:val="false"/>
                <w:bCs w:val="false"/>
                <w:color w:val="000000"/>
                <w:sz w:val="19"/>
                <w:szCs w:val="19"/>
              </w:rPr>
              <w:t xml:space="preserve">Replicate</w:t>
            </w:r>
          </w:p>
        </w:tc>
        <w:tc>
          <w:tcPr>
            <w:tcW w:type="dxa" w:w="6700"/>
            <w:shd w:fill="FFFFFF" w:color="auto" w:val="clear"/>
            <w:tcMar>
              <w:top w:type="dxa" w:w="40"/>
              <w:left w:type="dxa" w:w="90"/>
              <w:bottom w:type="dxa" w:w="40"/>
              <w:right w:type="dxa" w:w="90"/>
            </w:tcMar>
          </w:tcPr>
          <w:p>
            <w:pPr>
              <w:spacing w:after="20"/>
            </w:pPr>
            <w:r>
              <w:rPr>
                <w:b w:val="false"/>
                <w:bCs w:val="false"/>
                <w:color w:val="000000"/>
                <w:sz w:val="19"/>
                <w:szCs w:val="19"/>
              </w:rPr>
              <w:t xml:space="preserve">Replicate number</w:t>
            </w:r>
          </w:p>
        </w:tc>
      </w:tr>
      <w:tr>
        <w:tc>
          <w:tcPr>
            <w:tcW w:type="dxa" w:w="2500"/>
            <w:shd w:fill="EAF0F7" w:color="auto" w:val="clear"/>
            <w:tcMar>
              <w:top w:type="dxa" w:w="40"/>
              <w:left w:type="dxa" w:w="90"/>
              <w:bottom w:type="dxa" w:w="40"/>
              <w:right w:type="dxa" w:w="90"/>
            </w:tcMar>
          </w:tcPr>
          <w:p>
            <w:pPr>
              <w:spacing w:after="20"/>
            </w:pPr>
            <w:r>
              <w:rPr>
                <w:b w:val="false"/>
                <w:bCs w:val="false"/>
                <w:color w:val="000000"/>
                <w:sz w:val="19"/>
                <w:szCs w:val="19"/>
              </w:rPr>
              <w:t xml:space="preserve">Taxon</w:t>
            </w:r>
          </w:p>
        </w:tc>
        <w:tc>
          <w:tcPr>
            <w:tcW w:type="dxa" w:w="6700"/>
            <w:shd w:fill="EAF0F7" w:color="auto" w:val="clear"/>
            <w:tcMar>
              <w:top w:type="dxa" w:w="40"/>
              <w:left w:type="dxa" w:w="90"/>
              <w:bottom w:type="dxa" w:w="40"/>
              <w:right w:type="dxa" w:w="90"/>
            </w:tcMar>
          </w:tcPr>
          <w:p>
            <w:pPr>
              <w:spacing w:after="20"/>
            </w:pPr>
            <w:r>
              <w:rPr>
                <w:b w:val="false"/>
                <w:bCs w:val="false"/>
                <w:color w:val="000000"/>
                <w:sz w:val="19"/>
                <w:szCs w:val="19"/>
              </w:rPr>
              <w:t xml:space="preserve">Organism name (SCAMIT Edition 14). NoOrganismsPresent (abundance 0) if none</w:t>
            </w:r>
          </w:p>
        </w:tc>
      </w:tr>
      <w:tr>
        <w:tc>
          <w:tcPr>
            <w:tcW w:type="dxa" w:w="2500"/>
            <w:shd w:fill="FFFFFF" w:color="auto" w:val="clear"/>
            <w:tcMar>
              <w:top w:type="dxa" w:w="40"/>
              <w:left w:type="dxa" w:w="90"/>
              <w:bottom w:type="dxa" w:w="40"/>
              <w:right w:type="dxa" w:w="90"/>
            </w:tcMar>
          </w:tcPr>
          <w:p>
            <w:pPr>
              <w:spacing w:after="20"/>
            </w:pPr>
            <w:r>
              <w:rPr>
                <w:b w:val="false"/>
                <w:bCs w:val="false"/>
                <w:color w:val="000000"/>
                <w:sz w:val="19"/>
                <w:szCs w:val="19"/>
              </w:rPr>
              <w:t xml:space="preserve">Abundance</w:t>
            </w:r>
          </w:p>
        </w:tc>
        <w:tc>
          <w:tcPr>
            <w:tcW w:type="dxa" w:w="6700"/>
            <w:shd w:fill="FFFFFF" w:color="auto" w:val="clear"/>
            <w:tcMar>
              <w:top w:type="dxa" w:w="40"/>
              <w:left w:type="dxa" w:w="90"/>
              <w:bottom w:type="dxa" w:w="40"/>
              <w:right w:type="dxa" w:w="90"/>
            </w:tcMar>
          </w:tcPr>
          <w:p>
            <w:pPr>
              <w:spacing w:after="20"/>
            </w:pPr>
            <w:r>
              <w:rPr>
                <w:b w:val="false"/>
                <w:bCs w:val="false"/>
                <w:color w:val="000000"/>
                <w:sz w:val="19"/>
                <w:szCs w:val="19"/>
              </w:rPr>
              <w:t xml:space="preserve">Individuals counted per taxon</w:t>
            </w:r>
          </w:p>
        </w:tc>
      </w:tr>
      <w:tr>
        <w:tc>
          <w:tcPr>
            <w:tcW w:type="dxa" w:w="2500"/>
            <w:shd w:fill="EAF0F7" w:color="auto" w:val="clear"/>
            <w:tcMar>
              <w:top w:type="dxa" w:w="40"/>
              <w:left w:type="dxa" w:w="90"/>
              <w:bottom w:type="dxa" w:w="40"/>
              <w:right w:type="dxa" w:w="90"/>
            </w:tcMar>
          </w:tcPr>
          <w:p>
            <w:pPr>
              <w:spacing w:after="20"/>
            </w:pPr>
            <w:r>
              <w:rPr>
                <w:b w:val="false"/>
                <w:bCs w:val="false"/>
                <w:color w:val="000000"/>
                <w:sz w:val="19"/>
                <w:szCs w:val="19"/>
              </w:rPr>
              <w:t xml:space="preserve">Depth</w:t>
            </w:r>
          </w:p>
        </w:tc>
        <w:tc>
          <w:tcPr>
            <w:tcW w:type="dxa" w:w="6700"/>
            <w:shd w:fill="EAF0F7" w:color="auto" w:val="clear"/>
            <w:tcMar>
              <w:top w:type="dxa" w:w="40"/>
              <w:left w:type="dxa" w:w="90"/>
              <w:bottom w:type="dxa" w:w="40"/>
              <w:right w:type="dxa" w:w="90"/>
            </w:tcMar>
          </w:tcPr>
          <w:p>
            <w:pPr>
              <w:spacing w:after="20"/>
            </w:pPr>
            <w:r>
              <w:rPr>
                <w:b w:val="false"/>
                <w:bCs w:val="false"/>
                <w:color w:val="000000"/>
                <w:sz w:val="19"/>
                <w:szCs w:val="19"/>
              </w:rPr>
              <w:t xml:space="preserve">Station depth in metres — selects the depth-zone tolerance values</w:t>
            </w:r>
          </w:p>
        </w:tc>
      </w:tr>
      <w:tr>
        <w:tc>
          <w:tcPr>
            <w:tcW w:type="dxa" w:w="2500"/>
            <w:shd w:fill="FFFFFF" w:color="auto" w:val="clear"/>
            <w:tcMar>
              <w:top w:type="dxa" w:w="40"/>
              <w:left w:type="dxa" w:w="90"/>
              <w:bottom w:type="dxa" w:w="40"/>
              <w:right w:type="dxa" w:w="90"/>
            </w:tcMar>
          </w:tcPr>
          <w:p>
            <w:pPr>
              <w:spacing w:after="20"/>
            </w:pPr>
            <w:r>
              <w:rPr>
                <w:b w:val="false"/>
                <w:bCs w:val="false"/>
                <w:color w:val="000000"/>
                <w:sz w:val="19"/>
                <w:szCs w:val="19"/>
              </w:rPr>
              <w:t xml:space="preserve">Latitude / Longitude</w:t>
            </w:r>
          </w:p>
        </w:tc>
        <w:tc>
          <w:tcPr>
            <w:tcW w:type="dxa" w:w="6700"/>
            <w:shd w:fill="FFFFFF" w:color="auto" w:val="clear"/>
            <w:tcMar>
              <w:top w:type="dxa" w:w="40"/>
              <w:left w:type="dxa" w:w="90"/>
              <w:bottom w:type="dxa" w:w="40"/>
              <w:right w:type="dxa" w:w="90"/>
            </w:tcMar>
          </w:tcPr>
          <w:p>
            <w:pPr>
              <w:spacing w:after="20"/>
            </w:pPr>
            <w:r>
              <w:rPr>
                <w:b w:val="false"/>
                <w:bCs w:val="false"/>
                <w:color w:val="000000"/>
                <w:sz w:val="19"/>
                <w:szCs w:val="19"/>
              </w:rPr>
              <w:t xml:space="preserve">Decimal degrees (negative longitude for west)</w:t>
            </w:r>
          </w:p>
        </w:tc>
      </w:tr>
    </w:tbl>
    <w:p>
      <w:pPr>
        <w:pStyle w:val="Heading3"/>
        <w:spacing w:after="80" w:before="180"/>
      </w:pPr>
      <w:r>
        <w:t xml:space="preserve">4.4 Toxicity</w:t>
      </w:r>
    </w:p>
    <w:p>
      <w:pPr>
        <w:spacing w:after="140" w:line="276"/>
      </w:pPr>
      <w:r>
        <w:t xml:space="preserve">Used by </w:t>
      </w:r>
      <w:r>
        <w:rPr>
          <w:rFonts w:ascii="Consolas" w:cs="Consolas" w:eastAsia="Consolas" w:hAnsi="Consolas"/>
          <w:sz w:val="19"/>
          <w:szCs w:val="19"/>
        </w:rPr>
        <w:t xml:space="preserve">tox.sqo, tox.summary</w:t>
      </w:r>
      <w:r>
        <w:t xml:space="preserve">.</w:t>
      </w:r>
    </w:p>
    <w:tbl>
      <w:tblPr>
        <w:tblW w:type="dxa" w:w="9200"/>
        <w:tblBorders>
          <w:top w:val="single" w:color="BBBBBB" w:sz="4"/>
          <w:left w:val="single" w:color="BBBBBB" w:sz="4"/>
          <w:bottom w:val="single" w:color="BBBBBB" w:sz="4"/>
          <w:right w:val="single" w:color="BBBBBB" w:sz="4"/>
          <w:insideH w:val="single" w:color="DDDDDD" w:sz="2"/>
          <w:insideV w:val="single" w:color="DDDDDD" w:sz="2"/>
        </w:tblBorders>
      </w:tblPr>
      <w:tblGrid>
        <w:gridCol w:w="2700"/>
        <w:gridCol w:w="6500"/>
      </w:tblGrid>
      <w:tr>
        <w:trPr>
          <w:tblHeader/>
        </w:trPr>
        <w:tc>
          <w:tcPr>
            <w:tcW w:type="dxa" w:w="2700"/>
            <w:shd w:fill="2E5A88" w:color="auto" w:val="clear"/>
            <w:tcMar>
              <w:top w:type="dxa" w:w="40"/>
              <w:left w:type="dxa" w:w="90"/>
              <w:bottom w:type="dxa" w:w="40"/>
              <w:right w:type="dxa" w:w="90"/>
            </w:tcMar>
          </w:tcPr>
          <w:p>
            <w:pPr>
              <w:spacing w:after="20"/>
            </w:pPr>
            <w:r>
              <w:rPr>
                <w:b/>
                <w:bCs/>
                <w:color w:val="FFFFFF"/>
                <w:sz w:val="19"/>
                <w:szCs w:val="19"/>
              </w:rPr>
              <w:t xml:space="preserve">Column</w:t>
            </w:r>
          </w:p>
        </w:tc>
        <w:tc>
          <w:tcPr>
            <w:tcW w:type="dxa" w:w="6500"/>
            <w:shd w:fill="2E5A88" w:color="auto" w:val="clear"/>
            <w:tcMar>
              <w:top w:type="dxa" w:w="40"/>
              <w:left w:type="dxa" w:w="90"/>
              <w:bottom w:type="dxa" w:w="40"/>
              <w:right w:type="dxa" w:w="90"/>
            </w:tcMar>
          </w:tcPr>
          <w:p>
            <w:pPr>
              <w:spacing w:after="20"/>
            </w:pPr>
            <w:r>
              <w:rPr>
                <w:b/>
                <w:bCs/>
                <w:color w:val="FFFFFF"/>
                <w:sz w:val="19"/>
                <w:szCs w:val="19"/>
              </w:rPr>
              <w:t xml:space="preserve">Description</w:t>
            </w:r>
          </w:p>
        </w:tc>
      </w:tr>
      <w:tr>
        <w:tc>
          <w:tcPr>
            <w:tcW w:type="dxa" w:w="2700"/>
            <w:shd w:fill="FFFFFF" w:color="auto" w:val="clear"/>
            <w:tcMar>
              <w:top w:type="dxa" w:w="40"/>
              <w:left w:type="dxa" w:w="90"/>
              <w:bottom w:type="dxa" w:w="40"/>
              <w:right w:type="dxa" w:w="90"/>
            </w:tcMar>
          </w:tcPr>
          <w:p>
            <w:pPr>
              <w:spacing w:after="20"/>
            </w:pPr>
            <w:r>
              <w:rPr>
                <w:b w:val="false"/>
                <w:bCs w:val="false"/>
                <w:color w:val="000000"/>
                <w:sz w:val="19"/>
                <w:szCs w:val="19"/>
              </w:rPr>
              <w:t xml:space="preserve">stationid</w:t>
            </w:r>
          </w:p>
        </w:tc>
        <w:tc>
          <w:tcPr>
            <w:tcW w:type="dxa" w:w="6500"/>
            <w:shd w:fill="FFFFFF" w:color="auto" w:val="clear"/>
            <w:tcMar>
              <w:top w:type="dxa" w:w="40"/>
              <w:left w:type="dxa" w:w="90"/>
              <w:bottom w:type="dxa" w:w="40"/>
              <w:right w:type="dxa" w:w="90"/>
            </w:tcMar>
          </w:tcPr>
          <w:p>
            <w:pPr>
              <w:spacing w:after="20"/>
            </w:pPr>
            <w:r>
              <w:rPr>
                <w:b w:val="false"/>
                <w:bCs w:val="false"/>
                <w:color w:val="000000"/>
                <w:sz w:val="19"/>
                <w:szCs w:val="19"/>
              </w:rPr>
              <w:t xml:space="preserve">Alphanumeric location identifier</w:t>
            </w:r>
          </w:p>
        </w:tc>
      </w:tr>
      <w:tr>
        <w:tc>
          <w:tcPr>
            <w:tcW w:type="dxa" w:w="2700"/>
            <w:shd w:fill="EAF0F7" w:color="auto" w:val="clear"/>
            <w:tcMar>
              <w:top w:type="dxa" w:w="40"/>
              <w:left w:type="dxa" w:w="90"/>
              <w:bottom w:type="dxa" w:w="40"/>
              <w:right w:type="dxa" w:w="90"/>
            </w:tcMar>
          </w:tcPr>
          <w:p>
            <w:pPr>
              <w:spacing w:after="20"/>
            </w:pPr>
            <w:r>
              <w:rPr>
                <w:b w:val="false"/>
                <w:bCs w:val="false"/>
                <w:color w:val="000000"/>
                <w:sz w:val="19"/>
                <w:szCs w:val="19"/>
              </w:rPr>
              <w:t xml:space="preserve">toxbatch</w:t>
            </w:r>
          </w:p>
        </w:tc>
        <w:tc>
          <w:tcPr>
            <w:tcW w:type="dxa" w:w="6500"/>
            <w:shd w:fill="EAF0F7" w:color="auto" w:val="clear"/>
            <w:tcMar>
              <w:top w:type="dxa" w:w="40"/>
              <w:left w:type="dxa" w:w="90"/>
              <w:bottom w:type="dxa" w:w="40"/>
              <w:right w:type="dxa" w:w="90"/>
            </w:tcMar>
          </w:tcPr>
          <w:p>
            <w:pPr>
              <w:spacing w:after="20"/>
            </w:pPr>
            <w:r>
              <w:rPr>
                <w:b w:val="false"/>
                <w:bCs w:val="false"/>
                <w:color w:val="000000"/>
                <w:sz w:val="19"/>
                <w:szCs w:val="19"/>
              </w:rPr>
              <w:t xml:space="preserve">Batch id linking results to their control sample</w:t>
            </w:r>
          </w:p>
        </w:tc>
      </w:tr>
      <w:tr>
        <w:tc>
          <w:tcPr>
            <w:tcW w:type="dxa" w:w="2700"/>
            <w:shd w:fill="FFFFFF" w:color="auto" w:val="clear"/>
            <w:tcMar>
              <w:top w:type="dxa" w:w="40"/>
              <w:left w:type="dxa" w:w="90"/>
              <w:bottom w:type="dxa" w:w="40"/>
              <w:right w:type="dxa" w:w="90"/>
            </w:tcMar>
          </w:tcPr>
          <w:p>
            <w:pPr>
              <w:spacing w:after="20"/>
            </w:pPr>
            <w:r>
              <w:rPr>
                <w:b w:val="false"/>
                <w:bCs w:val="false"/>
                <w:color w:val="000000"/>
                <w:sz w:val="19"/>
                <w:szCs w:val="19"/>
              </w:rPr>
              <w:t xml:space="preserve">species</w:t>
            </w:r>
          </w:p>
        </w:tc>
        <w:tc>
          <w:tcPr>
            <w:tcW w:type="dxa" w:w="6500"/>
            <w:shd w:fill="FFFFFF" w:color="auto" w:val="clear"/>
            <w:tcMar>
              <w:top w:type="dxa" w:w="40"/>
              <w:left w:type="dxa" w:w="90"/>
              <w:bottom w:type="dxa" w:w="40"/>
              <w:right w:type="dxa" w:w="90"/>
            </w:tcMar>
          </w:tcPr>
          <w:p>
            <w:pPr>
              <w:spacing w:after="20"/>
            </w:pPr>
            <w:r>
              <w:rPr>
                <w:b w:val="false"/>
                <w:bCs w:val="false"/>
                <w:color w:val="000000"/>
                <w:sz w:val="19"/>
                <w:szCs w:val="19"/>
              </w:rPr>
              <w:t xml:space="preserve">Genus and species of the tested organism</w:t>
            </w:r>
          </w:p>
        </w:tc>
      </w:tr>
      <w:tr>
        <w:tc>
          <w:tcPr>
            <w:tcW w:type="dxa" w:w="2700"/>
            <w:shd w:fill="EAF0F7" w:color="auto" w:val="clear"/>
            <w:tcMar>
              <w:top w:type="dxa" w:w="40"/>
              <w:left w:type="dxa" w:w="90"/>
              <w:bottom w:type="dxa" w:w="40"/>
              <w:right w:type="dxa" w:w="90"/>
            </w:tcMar>
          </w:tcPr>
          <w:p>
            <w:pPr>
              <w:spacing w:after="20"/>
            </w:pPr>
            <w:r>
              <w:rPr>
                <w:b w:val="false"/>
                <w:bCs w:val="false"/>
                <w:color w:val="000000"/>
                <w:sz w:val="19"/>
                <w:szCs w:val="19"/>
              </w:rPr>
              <w:t xml:space="preserve">sampletypecode</w:t>
            </w:r>
          </w:p>
        </w:tc>
        <w:tc>
          <w:tcPr>
            <w:tcW w:type="dxa" w:w="6500"/>
            <w:shd w:fill="EAF0F7" w:color="auto" w:val="clear"/>
            <w:tcMar>
              <w:top w:type="dxa" w:w="40"/>
              <w:left w:type="dxa" w:w="90"/>
              <w:bottom w:type="dxa" w:w="40"/>
              <w:right w:type="dxa" w:w="90"/>
            </w:tcMar>
          </w:tcPr>
          <w:p>
            <w:pPr>
              <w:spacing w:after="20"/>
            </w:pPr>
            <w:r>
              <w:rPr>
                <w:b w:val="false"/>
                <w:bCs w:val="false"/>
                <w:color w:val="000000"/>
                <w:sz w:val="19"/>
                <w:szCs w:val="19"/>
              </w:rPr>
              <w:t xml:space="preserve">Sample type (Grab, CNEG, etc.). Control samples must be included</w:t>
            </w:r>
          </w:p>
        </w:tc>
      </w:tr>
      <w:tr>
        <w:tc>
          <w:tcPr>
            <w:tcW w:type="dxa" w:w="2700"/>
            <w:shd w:fill="FFFFFF" w:color="auto" w:val="clear"/>
            <w:tcMar>
              <w:top w:type="dxa" w:w="40"/>
              <w:left w:type="dxa" w:w="90"/>
              <w:bottom w:type="dxa" w:w="40"/>
              <w:right w:type="dxa" w:w="90"/>
            </w:tcMar>
          </w:tcPr>
          <w:p>
            <w:pPr>
              <w:spacing w:after="20"/>
            </w:pPr>
            <w:r>
              <w:rPr>
                <w:b w:val="false"/>
                <w:bCs w:val="false"/>
                <w:color w:val="000000"/>
                <w:sz w:val="19"/>
                <w:szCs w:val="19"/>
              </w:rPr>
              <w:t xml:space="preserve">matrix (optional)</w:t>
            </w:r>
          </w:p>
        </w:tc>
        <w:tc>
          <w:tcPr>
            <w:tcW w:type="dxa" w:w="6500"/>
            <w:shd w:fill="FFFFFF" w:color="auto" w:val="clear"/>
            <w:tcMar>
              <w:top w:type="dxa" w:w="40"/>
              <w:left w:type="dxa" w:w="90"/>
              <w:bottom w:type="dxa" w:w="40"/>
              <w:right w:type="dxa" w:w="90"/>
            </w:tcMar>
          </w:tcPr>
          <w:p>
            <w:pPr>
              <w:spacing w:after="20"/>
            </w:pPr>
            <w:r>
              <w:rPr>
                <w:b w:val="false"/>
                <w:bCs w:val="false"/>
                <w:color w:val="000000"/>
                <w:sz w:val="19"/>
                <w:szCs w:val="19"/>
              </w:rPr>
              <w:t xml:space="preserve">Whole Sediment, SWI, etc. Do not include Reference Toxicants</w:t>
            </w:r>
          </w:p>
        </w:tc>
      </w:tr>
      <w:tr>
        <w:tc>
          <w:tcPr>
            <w:tcW w:type="dxa" w:w="2700"/>
            <w:shd w:fill="EAF0F7" w:color="auto" w:val="clear"/>
            <w:tcMar>
              <w:top w:type="dxa" w:w="40"/>
              <w:left w:type="dxa" w:w="90"/>
              <w:bottom w:type="dxa" w:w="40"/>
              <w:right w:type="dxa" w:w="90"/>
            </w:tcMar>
          </w:tcPr>
          <w:p>
            <w:pPr>
              <w:spacing w:after="20"/>
            </w:pPr>
            <w:r>
              <w:rPr>
                <w:b w:val="false"/>
                <w:bCs w:val="false"/>
                <w:color w:val="000000"/>
                <w:sz w:val="19"/>
                <w:szCs w:val="19"/>
              </w:rPr>
              <w:t xml:space="preserve">labrep</w:t>
            </w:r>
          </w:p>
        </w:tc>
        <w:tc>
          <w:tcPr>
            <w:tcW w:type="dxa" w:w="6500"/>
            <w:shd w:fill="EAF0F7" w:color="auto" w:val="clear"/>
            <w:tcMar>
              <w:top w:type="dxa" w:w="40"/>
              <w:left w:type="dxa" w:w="90"/>
              <w:bottom w:type="dxa" w:w="40"/>
              <w:right w:type="dxa" w:w="90"/>
            </w:tcMar>
          </w:tcPr>
          <w:p>
            <w:pPr>
              <w:spacing w:after="20"/>
            </w:pPr>
            <w:r>
              <w:rPr>
                <w:b w:val="false"/>
                <w:bCs w:val="false"/>
                <w:color w:val="000000"/>
                <w:sz w:val="19"/>
                <w:szCs w:val="19"/>
              </w:rPr>
              <w:t xml:space="preserve">Lab replicate number (typically 5 per station/species pair)</w:t>
            </w:r>
          </w:p>
        </w:tc>
      </w:tr>
      <w:tr>
        <w:tc>
          <w:tcPr>
            <w:tcW w:type="dxa" w:w="2700"/>
            <w:shd w:fill="FFFFFF" w:color="auto" w:val="clear"/>
            <w:tcMar>
              <w:top w:type="dxa" w:w="40"/>
              <w:left w:type="dxa" w:w="90"/>
              <w:bottom w:type="dxa" w:w="40"/>
              <w:right w:type="dxa" w:w="90"/>
            </w:tcMar>
          </w:tcPr>
          <w:p>
            <w:pPr>
              <w:spacing w:after="20"/>
            </w:pPr>
            <w:r>
              <w:rPr>
                <w:b w:val="false"/>
                <w:bCs w:val="false"/>
                <w:color w:val="000000"/>
                <w:sz w:val="19"/>
                <w:szCs w:val="19"/>
              </w:rPr>
              <w:t xml:space="preserve">result</w:t>
            </w:r>
          </w:p>
        </w:tc>
        <w:tc>
          <w:tcPr>
            <w:tcW w:type="dxa" w:w="6500"/>
            <w:shd w:fill="FFFFFF" w:color="auto" w:val="clear"/>
            <w:tcMar>
              <w:top w:type="dxa" w:w="40"/>
              <w:left w:type="dxa" w:w="90"/>
              <w:bottom w:type="dxa" w:w="40"/>
              <w:right w:type="dxa" w:w="90"/>
            </w:tcMar>
          </w:tcPr>
          <w:p>
            <w:pPr>
              <w:spacing w:after="20"/>
            </w:pPr>
            <w:r>
              <w:rPr>
                <w:b w:val="false"/>
                <w:bCs w:val="false"/>
                <w:color w:val="000000"/>
                <w:sz w:val="19"/>
                <w:szCs w:val="19"/>
              </w:rPr>
              <w:t xml:space="preserve">Percent survival or normal development observed</w:t>
            </w:r>
          </w:p>
        </w:tc>
      </w:tr>
    </w:tbl>
    <w:p>
      <w:pPr>
        <w:spacing w:after="140" w:line="276"/>
      </w:pPr>
      <w:r>
        <w:rPr>
          <w:b/>
          <w:bCs/>
        </w:rPr>
        <w:t xml:space="preserve">Important: </w:t>
      </w:r>
      <w:r>
        <w:t xml:space="preserve">the toxicity data must include the control samples (station 0000, sampletypecode CNEG, etc.) in the same data frame, because results are compared against their batch control.</w:t>
      </w:r>
    </w:p>
    <w:p>
      <w:r>
        <w:br w:type="page"/>
      </w:r>
    </w:p>
    <w:p>
      <w:pPr>
        <w:pStyle w:val="Heading1"/>
        <w:spacing w:after="140" w:before="320"/>
      </w:pPr>
      <w:r>
        <w:t xml:space="preserve">5. Benthic Line of Evidence</w:t>
      </w:r>
    </w:p>
    <w:p>
      <w:pPr>
        <w:spacing w:after="140" w:line="276"/>
      </w:pPr>
      <w:r>
        <w:rPr>
          <w:rFonts w:ascii="Consolas" w:cs="Consolas" w:eastAsia="Consolas" w:hAnsi="Consolas"/>
          <w:sz w:val="19"/>
          <w:szCs w:val="19"/>
        </w:rPr>
        <w:t xml:space="preserve">benthic.sqo()</w:t>
      </w:r>
      <w:r>
        <w:t xml:space="preserve"> runs the four traditional SQO indices (</w:t>
      </w:r>
      <w:r>
        <w:rPr>
          <w:rFonts w:ascii="Consolas" w:cs="Consolas" w:eastAsia="Consolas" w:hAnsi="Consolas"/>
          <w:sz w:val="19"/>
          <w:szCs w:val="19"/>
        </w:rPr>
        <w:t xml:space="preserve">BRI, RBI, IBI, RIVPACS</w:t>
      </w:r>
      <w:r>
        <w:t xml:space="preserve">) plus M-AMBI, then integrates them into the Benthic Line of Evidence (BLOE) score. It returns a list containing the integrated scores, every individual index, and review tables; each index function can also be called on its own with the same input format. For offshore/shelf samples, </w:t>
      </w:r>
      <w:r>
        <w:rPr>
          <w:rFonts w:ascii="Consolas" w:cs="Consolas" w:eastAsia="Consolas" w:hAnsi="Consolas"/>
          <w:sz w:val="19"/>
          <w:szCs w:val="19"/>
        </w:rPr>
        <w:t xml:space="preserve">BRI.Offshore()</w:t>
      </w:r>
      <w:r>
        <w:t xml:space="preserve"> computes the offshore Benthic Response Index using depth-zone-specific tolerance values (shallow </w:t>
      </w:r>
      <w:r>
        <w:rPr>
          <w:rFonts w:ascii="Consolas" w:cs="Consolas" w:eastAsia="Consolas" w:hAnsi="Consolas"/>
          <w:sz w:val="19"/>
          <w:szCs w:val="19"/>
        </w:rPr>
        <w:t xml:space="preserve">&lt;25m</w:t>
      </w:r>
      <w:r>
        <w:t xml:space="preserve">, mid </w:t>
      </w:r>
      <w:r>
        <w:rPr>
          <w:rFonts w:ascii="Consolas" w:cs="Consolas" w:eastAsia="Consolas" w:hAnsi="Consolas"/>
          <w:sz w:val="19"/>
          <w:szCs w:val="19"/>
        </w:rPr>
        <w:t xml:space="preserve">35–110m</w:t>
      </w:r>
      <w:r>
        <w:t xml:space="preserve">, deep </w:t>
      </w:r>
      <w:r>
        <w:rPr>
          <w:rFonts w:ascii="Consolas" w:cs="Consolas" w:eastAsia="Consolas" w:hAnsi="Consolas"/>
          <w:sz w:val="19"/>
          <w:szCs w:val="19"/>
        </w:rPr>
        <w:t xml:space="preserve">130–324m</w:t>
      </w:r>
      <w:r>
        <w:t xml:space="preserve">), returning both the scores and the intermediate taxa-matching tables so you can see how your data were processed.</w:t>
      </w:r>
    </w:p>
    <w:p>
      <w:pPr>
        <w:pStyle w:val="Heading2"/>
        <w:spacing w:after="100" w:before="240"/>
      </w:pPr>
      <w:r>
        <w:t xml:space="preserve">5.1 Expert &amp; committee decisions (Benthic)</w:t>
      </w:r>
    </w:p>
    <w:p>
      <w:pPr>
        <w:spacing w:after="140" w:line="276"/>
      </w:pPr>
      <w:r>
        <w:t xml:space="preserve">The following choices are not spelled out in the CASQO manual and were made by SCCWRP experts or the Bight index subcommittee: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David Gillett</w:t>
            </w:r>
          </w:p>
          <w:p>
            <w:pPr>
              <w:spacing w:after="60" w:line="264"/>
            </w:pPr>
            <w:r>
              <w:t xml:space="preserve">For the benthic line of evidence, keep only </w:t>
            </w:r>
            <w:r>
              <w:rPr>
                <w:b/>
                <w:bCs/>
              </w:rPr>
              <w:t xml:space="preserve">Replicate 1</w:t>
            </w:r>
            <w:r>
              <w:t xml:space="preserve"> per station. There is almost always a single replicate; the other data types don't use the field; and in the Bight program the sampling year is already encoded in the station name (e.g. “B18”), so SampleDate and Replicate add no information. Keeping one replicate also guarantees each station produces a single Benthic row, preventing duplicate keys when results are combined for the integrated assessment. The offshore BRI applies the same rule.</w:t>
            </w:r>
          </w:p>
          <w:p>
            <w:pPr>
              <w:pBdr>
                <w:left w:val="single" w:color="1E6B4F" w:sz="14" w:space="4"/>
              </w:pBdr>
              <w:shd w:fill="EFF6F1" w:color="auto" w:val="clear"/>
              <w:spacing w:after="40" w:line="262"/>
              <w:ind w:left="60"/>
            </w:pPr>
            <w:r>
              <w:rPr>
                <w:color w:val="1A4635"/>
                <w:sz w:val="18"/>
                <w:szCs w:val="18"/>
              </w:rPr>
              <w:t xml:space="preserve">This is not addressed in the manual. The manual does not prescribe how to select among replicates, so this is an operational choice for Bight-program data.</w:t>
            </w:r>
          </w:p>
          <w:p>
            <w:pPr>
              <w:spacing w:after="0"/>
            </w:pPr>
            <w:r>
              <w:rPr>
                <w:i/>
                <w:iCs/>
                <w:color w:val="8A6A2A"/>
                <w:sz w:val="17"/>
                <w:szCs w:val="17"/>
              </w:rPr>
              <w:t xml:space="preserve">R/SQOUnified.R — “David says only keep replicate 1.”</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Bight 23 index code subcommittee</w:t>
            </w:r>
          </w:p>
          <w:p>
            <w:pPr>
              <w:spacing w:after="60" w:line="264"/>
            </w:pPr>
            <w:r>
              <w:t xml:space="preserve">The four benthic indices use the </w:t>
            </w:r>
            <w:r>
              <w:rPr>
                <w:b/>
                <w:bCs/>
              </w:rPr>
              <w:t xml:space="preserve">SQO Excel tool look-up list</w:t>
            </w:r>
            <w:r>
              <w:t xml:space="preserve"> (tolerance scores, indicator designations, reference values) as the authoritative reference table, as decided by the subcommittee. Because modern data uses SCAMIT Edition 14 names, the code first “retrofits” submitted taxonomy back to the SQO-compatible names this list expects (one-to-one swaps, rolling up daughter taxa, and resolving complex cases in favour of the name that carries a tolerance score). Every change is written to the log for review.</w:t>
            </w:r>
          </w:p>
          <w:p>
            <w:pPr>
              <w:pBdr>
                <w:left w:val="single" w:color="1E6B4F" w:sz="14" w:space="4"/>
              </w:pBdr>
              <w:shd w:fill="EFF6F1" w:color="auto" w:val="clear"/>
              <w:spacing w:after="40" w:line="262"/>
              <w:ind w:left="60"/>
            </w:pPr>
            <w:r>
              <w:rPr>
                <w:color w:val="1A4635"/>
                <w:sz w:val="18"/>
                <w:szCs w:val="18"/>
              </w:rPr>
              <w:t xml:space="preserve">This is consistent with the manual and extends it. The benthic indices are defined in CASQO Chapter 4, but they predate SCAMIT Edition 14, so the Ed14→SQO taxonomy retrofit is not in the manual and is maintained by the subcommittee.</w:t>
            </w:r>
          </w:p>
          <w:p>
            <w:pPr>
              <w:spacing w:after="0"/>
            </w:pPr>
            <w:r>
              <w:rPr>
                <w:i/>
                <w:iCs/>
                <w:color w:val="8A6A2A"/>
                <w:sz w:val="17"/>
                <w:szCs w:val="17"/>
              </w:rPr>
              <w:t xml:space="preserve">R/BRI.R, RBI.R, IBI.R, benthic.R — “per Bight 23 index code subcommittee.”</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Taxonomy roll-up tie-breaks</w:t>
            </w:r>
          </w:p>
          <w:p>
            <w:pPr>
              <w:spacing w:after="60" w:line="264"/>
            </w:pPr>
            <w:r>
              <w:t xml:space="preserve">Two rules govern the retrofit when several submitted taxa collapse onto one SQO name: (1) if the combined taxa carry different Exclude codes, a “No” (a unique/retained taxon) takes </w:t>
            </w:r>
            <w:r>
              <w:rPr>
                <w:b/>
                <w:bCs/>
              </w:rPr>
              <w:t xml:space="preserve">precedence</w:t>
            </w:r>
            <w:r>
              <w:t xml:space="preserve">; and (2) when one Ed14 taxon maps to several old SQO names, the code keeps the name that carries a tolerance score / sensitivity designation over one that does not.</w:t>
            </w:r>
          </w:p>
          <w:p>
            <w:pPr>
              <w:pBdr>
                <w:left w:val="single" w:color="1E6B4F" w:sz="14" w:space="4"/>
              </w:pBdr>
              <w:shd w:fill="EFF6F1" w:color="auto" w:val="clear"/>
              <w:spacing w:after="40" w:line="262"/>
              <w:ind w:left="60"/>
            </w:pPr>
            <w:r>
              <w:rPr>
                <w:color w:val="1A4635"/>
                <w:sz w:val="18"/>
                <w:szCs w:val="18"/>
              </w:rPr>
              <w:t xml:space="preserve">This is not addressed in the manual. These are taxonomy-mapping mechanics that fall outside the scope of the manual's index definitions.</w:t>
            </w:r>
          </w:p>
          <w:p>
            <w:pPr>
              <w:spacing w:after="40"/>
            </w:pPr>
            <w:r>
              <w:rPr>
                <w:b/>
                <w:bCs/>
                <w:color w:val="8A6A2A"/>
                <w:sz w:val="17"/>
                <w:szCs w:val="17"/>
              </w:rPr>
              <w:t xml:space="preserve">Attribution:  </w:t>
            </w:r>
            <w:r>
              <w:rPr>
                <w:sz w:val="17"/>
                <w:szCs w:val="17"/>
              </w:rPr>
              <w:t xml:space="preserve">Not recorded in code (Bight 23 subcommittee / to be confirmed).</w:t>
            </w:r>
          </w:p>
          <w:p>
            <w:pPr>
              <w:spacing w:after="0"/>
            </w:pPr>
            <w:r>
              <w:rPr>
                <w:i/>
                <w:iCs/>
                <w:color w:val="8A6A2A"/>
                <w:sz w:val="17"/>
                <w:szCs w:val="17"/>
              </w:rPr>
              <w:t xml:space="preserve">R/benthic.R</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David Gillett (published basis)</w:t>
            </w:r>
          </w:p>
          <w:p>
            <w:pPr>
              <w:spacing w:after="60" w:line="264"/>
            </w:pPr>
            <w:r>
              <w:t xml:space="preserve">M-AMBI uses the standard Ecological Group (EG) species list based on </w:t>
            </w:r>
            <w:r>
              <w:rPr>
                <w:b/>
                <w:bCs/>
              </w:rPr>
              <w:t xml:space="preserve">Gillett et al. 2015</w:t>
            </w:r>
            <w:r>
              <w:t xml:space="preserve">, updated with each Bight cycle. Unlike the four SQO indices, M-AMBI is run on the modern (Ed14) taxonomy rather than the retrofitted names, and it is reported alongside the other indices but is </w:t>
            </w:r>
            <w:r>
              <w:rPr>
                <w:b/>
                <w:bCs/>
              </w:rPr>
              <w:t xml:space="preserve">not</w:t>
            </w:r>
            <w:r>
              <w:t xml:space="preserve"> used in the SQO score calculation itself.</w:t>
            </w:r>
          </w:p>
          <w:p>
            <w:pPr>
              <w:pBdr>
                <w:left w:val="single" w:color="1E6B4F" w:sz="14" w:space="4"/>
              </w:pBdr>
              <w:shd w:fill="EFF6F1" w:color="auto" w:val="clear"/>
              <w:spacing w:after="40" w:line="262"/>
              <w:ind w:left="60"/>
            </w:pPr>
            <w:r>
              <w:rPr>
                <w:color w:val="1A4635"/>
                <w:sz w:val="18"/>
                <w:szCs w:val="18"/>
              </w:rPr>
              <w:t xml:space="preserve">This extends the manual. M-AMBI is not one of the core CASQO benthic indices; it is provided here as supplementary information and excluded from the SQO score.</w:t>
            </w:r>
          </w:p>
          <w:p>
            <w:pPr>
              <w:spacing w:after="0"/>
            </w:pPr>
            <w:r>
              <w:rPr>
                <w:i/>
                <w:iCs/>
                <w:color w:val="8A6A2A"/>
                <w:sz w:val="17"/>
                <w:szCs w:val="17"/>
              </w:rPr>
              <w:t xml:space="preserve">R/MAMBI.R</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No-organism samples → worst category</w:t>
            </w:r>
          </w:p>
          <w:p>
            <w:pPr>
              <w:spacing w:after="60" w:line="264"/>
            </w:pPr>
            <w:r>
              <w:t xml:space="preserve">A sample containing no organisms (NoOrganismsPresent) is forced into the </w:t>
            </w:r>
            <w:r>
              <w:rPr>
                <w:b/>
                <w:bCs/>
              </w:rPr>
              <w:t xml:space="preserve">worst condition category</w:t>
            </w:r>
            <w:r>
              <w:t xml:space="preserve"> (High Disturbance) by every benthic index, rather than being dropped or left unscored.</w:t>
            </w:r>
          </w:p>
          <w:p>
            <w:pPr>
              <w:pBdr>
                <w:left w:val="single" w:color="1E6B4F" w:sz="14" w:space="4"/>
              </w:pBdr>
              <w:shd w:fill="EFF6F1" w:color="auto" w:val="clear"/>
              <w:spacing w:after="40" w:line="262"/>
              <w:ind w:left="60"/>
            </w:pPr>
            <w:r>
              <w:rPr>
                <w:color w:val="1A4635"/>
                <w:sz w:val="18"/>
                <w:szCs w:val="18"/>
              </w:rPr>
              <w:t xml:space="preserve">This is consistent with the manual. Treating a sample with no organisms as worst-condition aligns with the manual's benthic condition framework, though the manual does not spell out this specific mechanism.</w:t>
            </w:r>
          </w:p>
          <w:p>
            <w:pPr>
              <w:spacing w:after="40"/>
            </w:pPr>
            <w:r>
              <w:rPr>
                <w:b/>
                <w:bCs/>
                <w:color w:val="8A6A2A"/>
                <w:sz w:val="17"/>
                <w:szCs w:val="17"/>
              </w:rPr>
              <w:t xml:space="preserve">Attribution:  </w:t>
            </w:r>
            <w:r>
              <w:rPr>
                <w:sz w:val="17"/>
                <w:szCs w:val="17"/>
              </w:rPr>
              <w:t xml:space="preserve">Not recorded in code (to be confirmed).</w:t>
            </w:r>
          </w:p>
          <w:p>
            <w:pPr>
              <w:spacing w:after="0"/>
            </w:pPr>
            <w:r>
              <w:rPr>
                <w:i/>
                <w:iCs/>
                <w:color w:val="8A6A2A"/>
                <w:sz w:val="17"/>
                <w:szCs w:val="17"/>
              </w:rPr>
              <w:t xml:space="preserve">R/BRI.R, RBI.R, IBI.R, RIVPACS.R, MAMBI.R</w:t>
            </w:r>
          </w:p>
        </w:tc>
      </w:tr>
    </w:tbl>
    <w:p>
      <w:r>
        <w:br w:type="page"/>
      </w:r>
    </w:p>
    <w:p>
      <w:pPr>
        <w:pStyle w:val="Heading1"/>
        <w:spacing w:after="140" w:before="320"/>
      </w:pPr>
      <w:r>
        <w:t xml:space="preserve">6. Chemistry Line of Evidence</w:t>
      </w:r>
    </w:p>
    <w:p>
      <w:pPr>
        <w:spacing w:after="140" w:line="276"/>
      </w:pPr>
      <w:r>
        <w:rPr>
          <w:rFonts w:ascii="Consolas" w:cs="Consolas" w:eastAsia="Consolas" w:hAnsi="Consolas"/>
          <w:sz w:val="19"/>
          <w:szCs w:val="19"/>
        </w:rPr>
        <w:t xml:space="preserve">chem.sqo()</w:t>
      </w:r>
      <w:r>
        <w:t xml:space="preserve"> is the top-level chemistry function. It calls </w:t>
      </w:r>
      <w:r>
        <w:rPr>
          <w:rFonts w:ascii="Consolas" w:cs="Consolas" w:eastAsia="Consolas" w:hAnsi="Consolas"/>
          <w:sz w:val="19"/>
          <w:szCs w:val="19"/>
        </w:rPr>
        <w:t xml:space="preserve">chemdata_prep()</w:t>
      </w:r>
      <w:r>
        <w:t xml:space="preserve"> internally, so raw chemistry data can be passed directly as long as it has the required columns. It combines two models into the integrated chemistry score: </w:t>
      </w:r>
      <w:r>
        <w:rPr>
          <w:rFonts w:ascii="Consolas" w:cs="Consolas" w:eastAsia="Consolas" w:hAnsi="Consolas"/>
          <w:sz w:val="19"/>
          <w:szCs w:val="19"/>
        </w:rPr>
        <w:t xml:space="preserve">CSI()</w:t>
      </w:r>
      <w:r>
        <w:t xml:space="preserve"> (Chemical Score Index) and </w:t>
      </w:r>
      <w:r>
        <w:rPr>
          <w:rFonts w:ascii="Consolas" w:cs="Consolas" w:eastAsia="Consolas" w:hAnsi="Consolas"/>
          <w:sz w:val="19"/>
          <w:szCs w:val="19"/>
        </w:rPr>
        <w:t xml:space="preserve">LRM()</w:t>
      </w:r>
      <w:r>
        <w:t xml:space="preserve"> (Logistic Regression Model). Thresholds and bins follow the CASQO manual (LRM: pages 37–40; CSI: pages 40–42; analyte grouping: Table 3.1, pages 19–20).</w:t>
      </w:r>
    </w:p>
    <w:p>
      <w:pPr>
        <w:pStyle w:val="Heading2"/>
        <w:spacing w:after="100" w:before="240"/>
      </w:pPr>
      <w:r>
        <w:t xml:space="preserve">6.1 Expert decisions (Chemistry)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Charles Wong</w:t>
            </w:r>
            <w:r>
              <w:rPr>
                <w:i/>
                <w:iCs/>
                <w:color w:val="8A6A2A"/>
                <w:sz w:val="18"/>
                <w:szCs w:val="18"/>
              </w:rPr>
              <w:t xml:space="preserve">   ·   March 31, 2026</w:t>
            </w:r>
          </w:p>
          <w:p>
            <w:pPr>
              <w:spacing w:after="60" w:line="264"/>
            </w:pPr>
            <w:r>
              <w:t xml:space="preserve">When a chemistry result is a non-detect, it is normally estimated at 50% of the MDL (manual page 37). But if the </w:t>
            </w:r>
            <w:r>
              <w:rPr>
                <w:b/>
                <w:bCs/>
              </w:rPr>
              <w:t xml:space="preserve">MDL itself is not reported</w:t>
            </w:r>
            <w:r>
              <w:t xml:space="preserve">, a missing result cannot be estimated from it, so the value is left missing rather than fabricated. This was prompted by a real error — an estimated Mercury value of −49.5 at station B98-2128, which arose because the result was missing and the MDL was recorded as −99. If the MDL is also invalid (−99, −88, NA, null, or 0), the result becomes NA. The same logic is applied to summed constituent groups.</w:t>
            </w:r>
          </w:p>
          <w:p>
            <w:pPr>
              <w:pBdr>
                <w:left w:val="single" w:color="1E6B4F" w:sz="14" w:space="4"/>
              </w:pBdr>
              <w:shd w:fill="EFF6F1" w:color="auto" w:val="clear"/>
              <w:spacing w:after="40" w:line="262"/>
              <w:ind w:left="60"/>
            </w:pPr>
            <w:r>
              <w:rPr>
                <w:color w:val="1A4635"/>
                <w:sz w:val="18"/>
                <w:szCs w:val="18"/>
              </w:rPr>
              <w:t xml:space="preserve">This fills a gap in the manual. The manual (p.37) prescribes estimating a non-detect at 50% of the MDL, but is silent on what to do when the MDL itself is missing. This decision resolves that unaddressed case.</w:t>
            </w:r>
          </w:p>
          <w:p>
            <w:pPr>
              <w:spacing w:after="0"/>
            </w:pPr>
            <w:r>
              <w:rPr>
                <w:i/>
                <w:iCs/>
                <w:color w:val="8A6A2A"/>
                <w:sz w:val="17"/>
                <w:szCs w:val="17"/>
              </w:rPr>
              <w:t xml:space="preserve">R/chemistry.R — “Per Charles Wong on Tuesday March 31, 2026…”</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Darrin Greenstein</w:t>
            </w:r>
            <w:r>
              <w:rPr>
                <w:i/>
                <w:iCs/>
                <w:color w:val="8A6A2A"/>
                <w:sz w:val="18"/>
                <w:szCs w:val="18"/>
              </w:rPr>
              <w:t xml:space="preserve">   ·   June 10, 2024</w:t>
            </w:r>
          </w:p>
          <w:p>
            <w:pPr>
              <w:spacing w:after="60" w:line="264"/>
            </w:pPr>
            <w:r>
              <w:t xml:space="preserve">In the CSI calculation, round result values to </w:t>
            </w:r>
            <w:r>
              <w:rPr>
                <w:b/>
                <w:bCs/>
              </w:rPr>
              <w:t xml:space="preserve">4 decimal places when the result is less than 1</w:t>
            </w:r>
            <w:r>
              <w:t xml:space="preserve"> — a convention adopted to keep CSI calculations consistent.</w:t>
            </w:r>
          </w:p>
          <w:p>
            <w:pPr>
              <w:pBdr>
                <w:left w:val="single" w:color="1E6B4F" w:sz="14" w:space="4"/>
              </w:pBdr>
              <w:shd w:fill="EFF6F1" w:color="auto" w:val="clear"/>
              <w:spacing w:after="40" w:line="262"/>
              <w:ind w:left="60"/>
            </w:pPr>
            <w:r>
              <w:rPr>
                <w:color w:val="1A4635"/>
                <w:sz w:val="18"/>
                <w:szCs w:val="18"/>
              </w:rPr>
              <w:t xml:space="preserve">This is not addressed in the manual. It is a numerical-precision convention; the manual does not specify a decimal-rounding rule for CSI inputs.</w:t>
            </w:r>
          </w:p>
          <w:p>
            <w:pPr>
              <w:spacing w:after="0"/>
            </w:pPr>
            <w:r>
              <w:rPr>
                <w:i/>
                <w:iCs/>
                <w:color w:val="8A6A2A"/>
                <w:sz w:val="17"/>
                <w:szCs w:val="17"/>
              </w:rPr>
              <w:t xml:space="preserve">R/chemistry.R, Step 0.5 — “Round the result value according to the convention given by Darrin.”</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Darrin Greenstein</w:t>
            </w:r>
            <w:r>
              <w:rPr>
                <w:i/>
                <w:iCs/>
                <w:color w:val="8A6A2A"/>
                <w:sz w:val="18"/>
                <w:szCs w:val="18"/>
              </w:rPr>
              <w:t xml:space="preserve">   ·   July 20, 2022</w:t>
            </w:r>
          </w:p>
          <w:p>
            <w:pPr>
              <w:spacing w:after="60" w:line="264"/>
            </w:pPr>
            <w:r>
              <w:t xml:space="preserve">Where a replicate must be chosen for a chemistry analyte, pick the </w:t>
            </w:r>
            <w:r>
              <w:rPr>
                <w:b/>
                <w:bCs/>
              </w:rPr>
              <w:t xml:space="preserve">first replicate</w:t>
            </w:r>
            <w:r>
              <w:t xml:space="preserve">. In Darrin's words, quoted in the code: “I'd just pick the first rep. That will randomly even out any bias.” The comment notes this is common-sense guidance rather than an explicit manual rule.</w:t>
            </w:r>
          </w:p>
          <w:p>
            <w:pPr>
              <w:pBdr>
                <w:left w:val="single" w:color="1E6B4F" w:sz="14" w:space="4"/>
              </w:pBdr>
              <w:shd w:fill="EFF6F1" w:color="auto" w:val="clear"/>
              <w:spacing w:after="40" w:line="262"/>
              <w:ind w:left="60"/>
            </w:pPr>
            <w:r>
              <w:rPr>
                <w:color w:val="1A4635"/>
                <w:sz w:val="18"/>
                <w:szCs w:val="18"/>
              </w:rPr>
              <w:t xml:space="preserve">This is not addressed in the manual. The manual does not describe replicate selection, and the code comment itself flags this as common-sense guidance rather than a manual rule.</w:t>
            </w:r>
          </w:p>
          <w:p>
            <w:pPr>
              <w:spacing w:after="0"/>
            </w:pPr>
            <w:r>
              <w:rPr>
                <w:i/>
                <w:iCs/>
                <w:color w:val="8A6A2A"/>
                <w:sz w:val="17"/>
                <w:szCs w:val="17"/>
              </w:rPr>
              <w:t xml:space="preserve">R/chemistry.R — “guidance from Darrin Greenstein.”</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Total DDT / DDE / DDD sums</w:t>
            </w:r>
          </w:p>
          <w:p>
            <w:pPr>
              <w:spacing w:after="60" w:line="264"/>
            </w:pPr>
            <w:r>
              <w:t xml:space="preserve">Total DDT / DDE / DDD are computed as the sum of the 2,4' and 4,4' isomers. The code also notes that if some off-list isomer (e.g. 2,2') happens to appear in the data, it is </w:t>
            </w:r>
            <w:r>
              <w:rPr>
                <w:b/>
                <w:bCs/>
              </w:rPr>
              <w:t xml:space="preserve">kept rather than filtered out</w:t>
            </w:r>
            <w:r>
              <w:t xml:space="preserve">.</w:t>
            </w:r>
          </w:p>
          <w:p>
            <w:pPr>
              <w:pBdr>
                <w:left w:val="single" w:color="1E6B4F" w:sz="14" w:space="4"/>
              </w:pBdr>
              <w:shd w:fill="EFF6F1" w:color="auto" w:val="clear"/>
              <w:spacing w:after="40" w:line="262"/>
              <w:ind w:left="60"/>
            </w:pPr>
            <w:r>
              <w:rPr>
                <w:color w:val="1A4635"/>
                <w:sz w:val="18"/>
                <w:szCs w:val="18"/>
              </w:rPr>
              <w:t xml:space="preserve">This is consistent with the manual, with a minor extension. The manual (p.35) defines each total as the sum of the p,p' and o,p' isomers — that is, 4,4' and 2,4'. Keeping any stray extra isomer goes slightly beyond that exact two-isomer definition.</w:t>
            </w:r>
          </w:p>
          <w:p>
            <w:pPr>
              <w:spacing w:after="40"/>
            </w:pPr>
            <w:r>
              <w:rPr>
                <w:b/>
                <w:bCs/>
                <w:color w:val="8A6A2A"/>
                <w:sz w:val="17"/>
                <w:szCs w:val="17"/>
              </w:rPr>
              <w:t xml:space="preserve">Attribution:  </w:t>
            </w:r>
            <w:r>
              <w:rPr>
                <w:sz w:val="17"/>
                <w:szCs w:val="17"/>
              </w:rPr>
              <w:t xml:space="preserve">Not recorded in code (to be confirmed).</w:t>
            </w:r>
          </w:p>
          <w:p>
            <w:pPr>
              <w:spacing w:after="0"/>
            </w:pPr>
            <w:r>
              <w:rPr>
                <w:i/>
                <w:iCs/>
                <w:color w:val="8A6A2A"/>
                <w:sz w:val="17"/>
                <w:szCs w:val="17"/>
              </w:rPr>
              <w:t xml:space="preserve">R/chemistry.R — “We decided to leave the script this way.”</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Chemistry LOE = ceiling of the mean of CSI and LRM</w:t>
            </w:r>
          </w:p>
          <w:p>
            <w:pPr>
              <w:spacing w:after="60" w:line="264"/>
            </w:pPr>
            <w:r>
              <w:t xml:space="preserve">The Chemistry LOE score is the average of the CSI and LRM category scores, computed with </w:t>
            </w:r>
            <w:r>
              <w:rPr>
                <w:rFonts w:ascii="Consolas" w:cs="Consolas" w:eastAsia="Consolas" w:hAnsi="Consolas"/>
                <w:sz w:val="19"/>
                <w:szCs w:val="19"/>
              </w:rPr>
              <w:t xml:space="preserve">na.rm = FALSE</w:t>
            </w:r>
            <w:r>
              <w:t xml:space="preserve"> so that </w:t>
            </w:r>
            <w:r>
              <w:rPr>
                <w:b/>
                <w:bCs/>
              </w:rPr>
              <w:t xml:space="preserve">both indices are required</w:t>
            </w:r>
            <w:r>
              <w:t xml:space="preserve">; if either cannot be calculated there is no Chemistry LOE score. Where the average is not an integer the code takes the </w:t>
            </w:r>
            <w:r>
              <w:rPr>
                <w:b/>
                <w:bCs/>
              </w:rPr>
              <w:t xml:space="preserve">ceiling</w:t>
            </w:r>
            <w:r>
              <w:t xml:space="preserve"> (rounds up) — explicitly to “err on the side of determining that a site is more impacted.”</w:t>
            </w:r>
          </w:p>
          <w:p>
            <w:pPr>
              <w:pBdr>
                <w:left w:val="single" w:color="1E6B4F" w:sz="14" w:space="4"/>
              </w:pBdr>
              <w:shd w:fill="EFF6F1" w:color="auto" w:val="clear"/>
              <w:spacing w:after="40" w:line="262"/>
              <w:ind w:left="60"/>
            </w:pPr>
            <w:r>
              <w:rPr>
                <w:color w:val="1A4635"/>
                <w:sz w:val="18"/>
                <w:szCs w:val="18"/>
              </w:rPr>
              <w:t xml:space="preserve">This is consistent with the manual. The manual (pp.35, 37) requires both the CA LRM and CSI to be calculated and then averaged into a single Chemistry LOE category. For the two-index case the code's ceiling gives the same result as the manual's round-half-up convention (see toxicity, p.109); the choice to always round up is the code's precautionary approach where they could differ.</w:t>
            </w:r>
          </w:p>
          <w:p>
            <w:pPr>
              <w:spacing w:after="40"/>
            </w:pPr>
            <w:r>
              <w:rPr>
                <w:b/>
                <w:bCs/>
                <w:color w:val="8A6A2A"/>
                <w:sz w:val="17"/>
                <w:szCs w:val="17"/>
              </w:rPr>
              <w:t xml:space="preserve">Attribution:  </w:t>
            </w:r>
            <w:r>
              <w:rPr>
                <w:sz w:val="17"/>
                <w:szCs w:val="17"/>
              </w:rPr>
              <w:t xml:space="preserve">Not recorded in code (CASQO framework / to be confirmed).</w:t>
            </w:r>
          </w:p>
          <w:p>
            <w:pPr>
              <w:spacing w:after="0"/>
            </w:pPr>
            <w:r>
              <w:rPr>
                <w:i/>
                <w:iCs/>
                <w:color w:val="8A6A2A"/>
                <w:sz w:val="17"/>
                <w:szCs w:val="17"/>
              </w:rPr>
              <w:t xml:space="preserve">R/chemistry.R — Chemistry LOE integration step</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PCB congener list and 1.72 correction factor</w:t>
            </w:r>
          </w:p>
          <w:p>
            <w:pPr>
              <w:spacing w:after="60" w:line="264"/>
            </w:pPr>
            <w:r>
              <w:t xml:space="preserve">Total PCBs are summed from a fixed list of 16 congeners (PCB-008, 018, 028, 044, 052, 066, 101, 105, 110, 118, 128, 138, 153, 180, 187, 195), and that sum is then multiplied by </w:t>
            </w:r>
            <w:r>
              <w:rPr>
                <w:b/>
                <w:bCs/>
              </w:rPr>
              <w:t xml:space="preserve">1.72</w:t>
            </w:r>
            <w:r>
              <w:t xml:space="preserve"> (chemistry prep, Step 11).</w:t>
            </w:r>
          </w:p>
          <w:p>
            <w:pPr>
              <w:pBdr>
                <w:left w:val="single" w:color="1E6B4F" w:sz="14" w:space="4"/>
              </w:pBdr>
              <w:shd w:fill="EFF6F1" w:color="auto" w:val="clear"/>
              <w:spacing w:after="40" w:line="262"/>
              <w:ind w:left="60"/>
            </w:pPr>
            <w:r>
              <w:rPr>
                <w:color w:val="1A4635"/>
                <w:sz w:val="18"/>
                <w:szCs w:val="18"/>
              </w:rPr>
              <w:t xml:space="preserve">This is consistent with the manual. The manual (Table 3.1; p.36) specifies the reduced congener list — chosen for compatibility with California historical data — and requires the 1.72 correction factor to approximate the larger NOAA congener list. The code applies both.</w:t>
            </w:r>
          </w:p>
          <w:p>
            <w:pPr>
              <w:spacing w:after="40"/>
            </w:pPr>
            <w:r>
              <w:rPr>
                <w:b/>
                <w:bCs/>
                <w:color w:val="8A6A2A"/>
                <w:sz w:val="17"/>
                <w:szCs w:val="17"/>
              </w:rPr>
              <w:t xml:space="preserve">Attribution:  </w:t>
            </w:r>
            <w:r>
              <w:rPr>
                <w:sz w:val="17"/>
                <w:szCs w:val="17"/>
              </w:rPr>
              <w:t xml:space="preserve">CASQO framework (Table 3.1).</w:t>
            </w:r>
          </w:p>
          <w:p>
            <w:pPr>
              <w:spacing w:after="0"/>
            </w:pPr>
            <w:r>
              <w:rPr>
                <w:i/>
                <w:iCs/>
                <w:color w:val="8A6A2A"/>
                <w:sz w:val="17"/>
                <w:szCs w:val="17"/>
              </w:rPr>
              <w:t xml:space="preserve">R/chemistry.R — Step 11 (multiply PCBs by 1.72)</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Units convention (metals vs. organics)</w:t>
            </w:r>
          </w:p>
          <w:p>
            <w:pPr>
              <w:spacing w:after="60" w:line="264"/>
            </w:pPr>
            <w:r>
              <w:t xml:space="preserve">Metals (Cadmium, Copper, Lead, Mercury, Zinc) are handled as parts-per-million (mg/dry kg); all other constituents are parts-per-billion (µg/dry kg).</w:t>
            </w:r>
          </w:p>
          <w:p>
            <w:pPr>
              <w:pBdr>
                <w:left w:val="single" w:color="1E6B4F" w:sz="14" w:space="4"/>
              </w:pBdr>
              <w:shd w:fill="EFF6F1" w:color="auto" w:val="clear"/>
              <w:spacing w:after="40" w:line="262"/>
              <w:ind w:left="60"/>
            </w:pPr>
            <w:r>
              <w:rPr>
                <w:color w:val="1A4635"/>
                <w:sz w:val="18"/>
                <w:szCs w:val="18"/>
              </w:rPr>
              <w:t xml:space="preserve">This is consistent with the manual. The manual (p.37) requires metals in mg/dry kg and all organic constituents in µg/dry kg, on a dry-weight basis.</w:t>
            </w:r>
          </w:p>
          <w:p>
            <w:pPr>
              <w:spacing w:after="40"/>
            </w:pPr>
            <w:r>
              <w:rPr>
                <w:b/>
                <w:bCs/>
                <w:color w:val="8A6A2A"/>
                <w:sz w:val="17"/>
                <w:szCs w:val="17"/>
              </w:rPr>
              <w:t xml:space="preserve">Attribution:  </w:t>
            </w:r>
            <w:r>
              <w:rPr>
                <w:sz w:val="17"/>
                <w:szCs w:val="17"/>
              </w:rPr>
              <w:t xml:space="preserve">CASQO framework.</w:t>
            </w:r>
          </w:p>
          <w:p>
            <w:pPr>
              <w:spacing w:after="0"/>
            </w:pPr>
            <w:r>
              <w:rPr>
                <w:i/>
                <w:iCs/>
                <w:color w:val="8A6A2A"/>
                <w:sz w:val="17"/>
                <w:szCs w:val="17"/>
              </w:rPr>
              <w:t xml:space="preserve">R/chemistry.R</w:t>
            </w:r>
          </w:p>
        </w:tc>
      </w:tr>
    </w:tbl>
    <w:p>
      <w:r>
        <w:br w:type="page"/>
      </w:r>
    </w:p>
    <w:p>
      <w:pPr>
        <w:pStyle w:val="Heading1"/>
        <w:spacing w:after="140" w:before="320"/>
      </w:pPr>
      <w:r>
        <w:t xml:space="preserve">7. Toxicity Line of Evidence</w:t>
      </w:r>
    </w:p>
    <w:p>
      <w:pPr>
        <w:spacing w:after="140" w:line="276"/>
      </w:pPr>
      <w:r>
        <w:rPr>
          <w:rFonts w:ascii="Consolas" w:cs="Consolas" w:eastAsia="Consolas" w:hAnsi="Consolas"/>
          <w:sz w:val="19"/>
          <w:szCs w:val="19"/>
        </w:rPr>
        <w:t xml:space="preserve">tox.sqo()</w:t>
      </w:r>
      <w:r>
        <w:t xml:space="preserve"> produces the integrated toxicity score and category per station; </w:t>
      </w:r>
      <w:r>
        <w:rPr>
          <w:rFonts w:ascii="Consolas" w:cs="Consolas" w:eastAsia="Consolas" w:hAnsi="Consolas"/>
          <w:sz w:val="19"/>
          <w:szCs w:val="19"/>
        </w:rPr>
        <w:t xml:space="preserve">tox.summary()</w:t>
      </w:r>
      <w:r>
        <w:t xml:space="preserve"> returns the underlying summary table (means, control-adjusted percentages, significance tests). Category assignment follows CASQO manual pages 106–108, and integration of the tests follows page 109. Results are compared against their batch control via a t-test, which is joined at the batch level (not by lab replicate) so it can run even when the sample and control have different replicate counts.</w:t>
      </w:r>
    </w:p>
    <w:p>
      <w:pPr>
        <w:pStyle w:val="Heading2"/>
        <w:spacing w:after="100" w:before="240"/>
      </w:pPr>
      <w:r>
        <w:t xml:space="preserve">7.1 Expert decisions (Toxicity)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Darrin Greenstein</w:t>
            </w:r>
            <w:r>
              <w:rPr>
                <w:i/>
                <w:iCs/>
                <w:color w:val="8A6A2A"/>
                <w:sz w:val="18"/>
                <w:szCs w:val="18"/>
              </w:rPr>
              <w:t xml:space="preserve">   ·   July 2022</w:t>
            </w:r>
          </w:p>
          <w:p>
            <w:pPr>
              <w:spacing w:after="60" w:line="264"/>
            </w:pPr>
            <w:r>
              <w:t xml:space="preserve">The toxicity LOE score is the mean of the two required test types (a short-term amphipod survival test and a sublethal test). Darrin's decision: if </w:t>
            </w:r>
            <w:r>
              <w:rPr>
                <w:b/>
                <w:bCs/>
              </w:rPr>
              <w:t xml:space="preserve">either test is missing, the score should be NA</w:t>
            </w:r>
            <w:r>
              <w:t xml:space="preserve"> — i.e. the mean is taken with </w:t>
            </w:r>
            <w:r>
              <w:rPr>
                <w:rFonts w:ascii="Consolas" w:cs="Consolas" w:eastAsia="Consolas" w:hAnsi="Consolas"/>
                <w:sz w:val="19"/>
                <w:szCs w:val="19"/>
              </w:rPr>
              <w:t xml:space="preserve">na.rm = FALSE</w:t>
            </w:r>
            <w:r>
              <w:t xml:space="preserve">. The reasoning (supported by manual pages 84–85) is that CASQO toxicity assessment requires both an acute and a sublethal test; if one is absent, the toxicity line of evidence is declared indeterminate/unknown rather than scored from a single test.</w:t>
            </w:r>
          </w:p>
          <w:p>
            <w:pPr>
              <w:pBdr>
                <w:left w:val="single" w:color="1E6B4F" w:sz="14" w:space="4"/>
              </w:pBdr>
              <w:shd w:fill="EFF6F1" w:color="auto" w:val="clear"/>
              <w:spacing w:after="40" w:line="262"/>
              <w:ind w:left="60"/>
            </w:pPr>
            <w:r>
              <w:rPr>
                <w:color w:val="1A4635"/>
                <w:sz w:val="18"/>
                <w:szCs w:val="18"/>
              </w:rPr>
              <w:t xml:space="preserve">This is a consistent interpretation of the manual. The manual (Chapter 5, pp.84–85) requires both an acute and a sublethal test, and p.109 takes the mean of the tests — but it does not state what to do when one test is absent. Declaring the LOE indeterminate is a reasonable reading of that requirement.</w:t>
            </w:r>
          </w:p>
          <w:p>
            <w:pPr>
              <w:spacing w:after="0"/>
            </w:pPr>
            <w:r>
              <w:rPr>
                <w:i/>
                <w:iCs/>
                <w:color w:val="8A6A2A"/>
                <w:sz w:val="17"/>
                <w:szCs w:val="17"/>
              </w:rPr>
              <w:t xml:space="preserve">R/toxicity.R — “PER DARRIN GREENSTEIN, in July 2022…”</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Ken Schiff</w:t>
            </w:r>
            <w:r>
              <w:rPr>
                <w:i/>
                <w:iCs/>
                <w:color w:val="8A6A2A"/>
                <w:sz w:val="18"/>
                <w:szCs w:val="18"/>
              </w:rPr>
              <w:t xml:space="preserve">   ·   August 1, 2022</w:t>
            </w:r>
          </w:p>
          <w:p>
            <w:pPr>
              <w:spacing w:after="60" w:line="264"/>
            </w:pPr>
            <w:r>
              <w:t xml:space="preserve">The requirement for </w:t>
            </w:r>
            <w:r>
              <w:rPr>
                <w:b/>
                <w:bCs/>
              </w:rPr>
              <w:t xml:space="preserve">both</w:t>
            </w:r>
            <w:r>
              <w:t xml:space="preserve"> tests (above) applies to embayment strata. </w:t>
            </w:r>
            <w:r>
              <w:rPr>
                <w:b/>
                <w:bCs/>
              </w:rPr>
              <w:t xml:space="preserve">Offshore strata only require the amphipod (Eohaustorius survival) test</w:t>
            </w:r>
            <w:r>
              <w:t xml:space="preserve">, not the Mytilus sublethal test. When a station's stratum is offshore (the code matches “shelf”, “slope”, or “islands”), the toxicity LOE score is computed from whatever tests are present (</w:t>
            </w:r>
            <w:r>
              <w:rPr>
                <w:rFonts w:ascii="Consolas" w:cs="Consolas" w:eastAsia="Consolas" w:hAnsi="Consolas"/>
                <w:sz w:val="19"/>
                <w:szCs w:val="19"/>
              </w:rPr>
              <w:t xml:space="preserve">na.rm = TRUE</w:t>
            </w:r>
            <w:r>
              <w:t xml:space="preserve">), so a missing Mytilus test does not force the score to NA. All non-offshore embayment strata still require both Eohaustorius and Mytilus to receive a toxicity LOE score.</w:t>
            </w:r>
          </w:p>
          <w:p>
            <w:pPr>
              <w:pBdr>
                <w:left w:val="single" w:color="1E6B4F" w:sz="14" w:space="4"/>
              </w:pBdr>
              <w:shd w:fill="EFF6F1" w:color="auto" w:val="clear"/>
              <w:spacing w:after="40" w:line="262"/>
              <w:ind w:left="60"/>
            </w:pPr>
            <w:r>
              <w:rPr>
                <w:color w:val="1A4635"/>
                <w:sz w:val="18"/>
                <w:szCs w:val="18"/>
              </w:rPr>
              <w:t xml:space="preserve">This extends the manual. The CASQO ALSQO framework is written for embayment habitats; offshore/shelf toxicity assessment is outside its scope, so this offshore rule is an expert extension rather than a manual provision.</w:t>
            </w:r>
          </w:p>
          <w:p>
            <w:pPr>
              <w:spacing w:after="0"/>
            </w:pPr>
            <w:r>
              <w:rPr>
                <w:i/>
                <w:iCs/>
                <w:color w:val="8A6A2A"/>
                <w:sz w:val="17"/>
                <w:szCs w:val="17"/>
              </w:rPr>
              <w:t xml:space="preserve">R/toxicity.R — “offshore sites only require the Amphipod test - per Ken Schiff August 1, 2022.”</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Ken Schiff</w:t>
            </w:r>
            <w:r>
              <w:rPr>
                <w:i/>
                <w:iCs/>
                <w:color w:val="8A6A2A"/>
                <w:sz w:val="18"/>
                <w:szCs w:val="18"/>
              </w:rPr>
              <w:t xml:space="preserve">   ·   Historical data policy</w:t>
            </w:r>
          </w:p>
          <w:p>
            <w:pPr>
              <w:spacing w:after="60" w:line="264"/>
            </w:pPr>
            <w:r>
              <w:t xml:space="preserve">For historical data from </w:t>
            </w:r>
            <w:r>
              <w:rPr>
                <w:b/>
                <w:bCs/>
              </w:rPr>
              <w:t xml:space="preserve">2003 and prior</w:t>
            </w:r>
            <w:r>
              <w:t xml:space="preserve">, no Mytilus tests were performed, so the </w:t>
            </w:r>
            <w:r>
              <w:rPr>
                <w:b/>
                <w:bCs/>
              </w:rPr>
              <w:t xml:space="preserve">Eohaustorius score alone is used for the toxicity LOE score</w:t>
            </w:r>
            <w:r>
              <w:t xml:space="preserve"> for those samples — the same practical treatment as the offshore rule, applied because the sublethal test simply does not exist in the older record. </w:t>
            </w:r>
            <w:r>
              <w:rPr>
                <w:i/>
                <w:iCs/>
              </w:rPr>
              <w:t xml:space="preserve">(Note: this is a documented policy decision made by Ken Schiff; it is described here for the record but is not currently encoded as a date-based rule in the package source.)</w:t>
            </w:r>
          </w:p>
          <w:p>
            <w:pPr>
              <w:pBdr>
                <w:left w:val="single" w:color="1E6B4F" w:sz="14" w:space="4"/>
              </w:pBdr>
              <w:shd w:fill="EFF6F1" w:color="auto" w:val="clear"/>
              <w:spacing w:after="40" w:line="262"/>
              <w:ind w:left="60"/>
            </w:pPr>
            <w:r>
              <w:rPr>
                <w:color w:val="1A4635"/>
                <w:sz w:val="18"/>
                <w:szCs w:val="18"/>
              </w:rPr>
              <w:t xml:space="preserve">This is not addressed in the manual. The manual does not cover the pre-2003 historical record, so this is a data-availability policy call.</w:t>
            </w:r>
          </w:p>
          <w:p>
            <w:pPr>
              <w:spacing w:after="0"/>
            </w:pPr>
            <w:r>
              <w:rPr>
                <w:i/>
                <w:iCs/>
                <w:color w:val="8A6A2A"/>
                <w:sz w:val="17"/>
                <w:szCs w:val="17"/>
              </w:rPr>
              <w:t xml:space="preserve">SCCWRP policy decision (not in code comments)</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Which mean sets the “Nontoxic” threshold</w:t>
            </w:r>
          </w:p>
          <w:p>
            <w:pPr>
              <w:spacing w:after="60" w:line="264"/>
            </w:pPr>
            <w:r>
              <w:t xml:space="preserve">For the </w:t>
            </w:r>
            <w:r>
              <w:rPr>
                <w:b/>
                <w:bCs/>
              </w:rPr>
              <w:t xml:space="preserve">Nontoxic</w:t>
            </w:r>
            <w:r>
              <w:t xml:space="preserve"> determination the code compares the </w:t>
            </w:r>
            <w:r>
              <w:rPr>
                <w:b/>
                <w:bCs/>
              </w:rPr>
              <w:t xml:space="preserve">non-control-adjusted</w:t>
            </w:r>
            <w:r>
              <w:t xml:space="preserve"> mean response to the threshold; for the Low / Moderate / High categories it uses the </w:t>
            </w:r>
            <w:r>
              <w:rPr>
                <w:b/>
                <w:bCs/>
              </w:rPr>
              <w:t xml:space="preserve">control-adjusted</w:t>
            </w:r>
            <w:r>
              <w:t xml:space="preserve"> mean. (The code additionally routes the Growth endpoint through the control-adjusted mean for Nontoxic.)</w:t>
            </w:r>
          </w:p>
          <w:p>
            <w:pPr>
              <w:pBdr>
                <w:left w:val="single" w:color="1E6B4F" w:sz="14" w:space="4"/>
              </w:pBdr>
              <w:shd w:fill="EFF6F1" w:color="auto" w:val="clear"/>
              <w:spacing w:after="40" w:line="262"/>
              <w:ind w:left="60"/>
            </w:pPr>
            <w:r>
              <w:rPr>
                <w:color w:val="1A4635"/>
                <w:sz w:val="18"/>
                <w:szCs w:val="18"/>
              </w:rPr>
              <w:t xml:space="preserve">This is consistent with the manual, which states it explicitly (p.106 and the Figure 5.8 / 5.9 flowcharts, pp.107–108): the non-normalized response is used for the Nontoxic range and the control-normalized response for the lower categories. The Growth-endpoint handling is a code-level refinement.</w:t>
            </w:r>
          </w:p>
          <w:p>
            <w:pPr>
              <w:spacing w:after="40"/>
            </w:pPr>
            <w:r>
              <w:rPr>
                <w:b/>
                <w:bCs/>
                <w:color w:val="8A6A2A"/>
                <w:sz w:val="17"/>
                <w:szCs w:val="17"/>
              </w:rPr>
              <w:t xml:space="preserve">Attribution:  </w:t>
            </w:r>
            <w:r>
              <w:rPr>
                <w:sz w:val="17"/>
                <w:szCs w:val="17"/>
              </w:rPr>
              <w:t xml:space="preserve">CASQO framework (with a code refinement).</w:t>
            </w:r>
          </w:p>
          <w:p>
            <w:pPr>
              <w:spacing w:after="0"/>
            </w:pPr>
            <w:r>
              <w:rPr>
                <w:i/>
                <w:iCs/>
                <w:color w:val="8A6A2A"/>
                <w:sz w:val="17"/>
                <w:szCs w:val="17"/>
              </w:rPr>
              <w:t xml:space="preserve">R/toxicity.R — SQO category assignment</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Alvina Mehinto</w:t>
            </w:r>
            <w:r>
              <w:rPr>
                <w:i/>
                <w:iCs/>
                <w:color w:val="8A6A2A"/>
                <w:sz w:val="18"/>
                <w:szCs w:val="18"/>
              </w:rPr>
              <w:t xml:space="preserve">   ·   Early August 2026</w:t>
            </w:r>
          </w:p>
          <w:p>
            <w:pPr>
              <w:spacing w:after="60" w:line="264"/>
            </w:pPr>
            <w:r>
              <w:t xml:space="preserve">Before a test result is compared to the category ranges, its mean percentage is </w:t>
            </w:r>
            <w:r>
              <w:rPr>
                <w:b/>
                <w:bCs/>
              </w:rPr>
              <w:t xml:space="preserve">rounded to the nearest whole number</w:t>
            </w:r>
            <w:r>
              <w:t xml:space="preserve"> using conventional (round-half-up) rounding. This was added after an edge case: a Mytilus normal-development mean of </w:t>
            </w:r>
            <w:r>
              <w:rPr>
                <w:b/>
                <w:bCs/>
              </w:rPr>
              <w:t xml:space="preserve">79.5</w:t>
            </w:r>
            <w:r>
              <w:t xml:space="preserve"> was placed in Low Toxicity by the unrounded package (below the 80% Nontoxic cutoff), while Darrin's Excel tool — the state's gold-standard reference — rounded it to 80 and classified it Nontoxic. Rounding first makes the package agree with that tool.</w:t>
            </w:r>
          </w:p>
          <w:p>
            <w:pPr>
              <w:pBdr>
                <w:left w:val="single" w:color="1E6B4F" w:sz="14" w:space="4"/>
              </w:pBdr>
              <w:shd w:fill="EFF6F1" w:color="auto" w:val="clear"/>
              <w:spacing w:after="40" w:line="262"/>
              <w:ind w:left="60"/>
            </w:pPr>
            <w:r>
              <w:rPr>
                <w:color w:val="1A4635"/>
                <w:sz w:val="18"/>
                <w:szCs w:val="18"/>
              </w:rPr>
              <w:t xml:space="preserve">This is consistent with the manual. Page 90 states that “Values should be rounded to the nearest whole percentage” before comparison to the response ranges, and the Table 5.2 category boundaries (p.87) are defined as whole numbers — so the ranges assume rounded, integer means. The half-up method matches the toxicity-LOE rounding decision above (implemented with janitor::round_half_up).</w:t>
            </w:r>
          </w:p>
          <w:p>
            <w:pPr>
              <w:spacing w:after="40"/>
            </w:pPr>
            <w:r>
              <w:rPr>
                <w:b/>
                <w:bCs/>
                <w:color w:val="8A6A2A"/>
                <w:sz w:val="17"/>
                <w:szCs w:val="17"/>
              </w:rPr>
              <w:t xml:space="preserve">Attribution:  </w:t>
            </w:r>
            <w:r>
              <w:rPr>
                <w:sz w:val="17"/>
                <w:szCs w:val="17"/>
              </w:rPr>
              <w:t xml:space="preserve">Per Alvina Mehinto (first week of August 2026); added to the code after version 0.10.19.</w:t>
            </w:r>
          </w:p>
          <w:p>
            <w:pPr>
              <w:spacing w:after="0"/>
            </w:pPr>
            <w:r>
              <w:rPr>
                <w:i/>
                <w:iCs/>
                <w:color w:val="8A6A2A"/>
                <w:sz w:val="17"/>
                <w:szCs w:val="17"/>
              </w:rPr>
              <w:t xml:space="preserve">R/toxicity.R — “round to the nearest whole percentage before making the comparison for a category.”</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One-category improvement when not significantly different</w:t>
            </w:r>
          </w:p>
          <w:p>
            <w:pPr>
              <w:spacing w:after="60" w:line="264"/>
            </w:pPr>
            <w:r>
              <w:t xml:space="preserve">A sample landing in the Low or Moderate toxicity category is </w:t>
            </w:r>
            <w:r>
              <w:rPr>
                <w:b/>
                <w:bCs/>
              </w:rPr>
              <w:t xml:space="preserve">improved by one category</w:t>
            </w:r>
            <w:r>
              <w:t xml:space="preserve"> when its mean is </w:t>
            </w:r>
            <w:r>
              <w:rPr>
                <w:b/>
                <w:bCs/>
              </w:rPr>
              <w:t xml:space="preserve">not</w:t>
            </w:r>
            <w:r>
              <w:t xml:space="preserve"> statistically different from its control.</w:t>
            </w:r>
          </w:p>
          <w:p>
            <w:pPr>
              <w:pBdr>
                <w:left w:val="single" w:color="1E6B4F" w:sz="14" w:space="4"/>
              </w:pBdr>
              <w:shd w:fill="EFF6F1" w:color="auto" w:val="clear"/>
              <w:spacing w:after="40" w:line="262"/>
              <w:ind w:left="60"/>
            </w:pPr>
            <w:r>
              <w:rPr>
                <w:color w:val="1A4635"/>
                <w:sz w:val="18"/>
                <w:szCs w:val="18"/>
              </w:rPr>
              <w:t xml:space="preserve">This is consistent with the manual — it is exactly what the Figure 5.8 / 5.9 flowcharts (pp.107–108) prescribe: the category depends on both the response level and whether a significant difference from the control is present.</w:t>
            </w:r>
          </w:p>
          <w:p>
            <w:pPr>
              <w:spacing w:after="40"/>
            </w:pPr>
            <w:r>
              <w:rPr>
                <w:b/>
                <w:bCs/>
                <w:color w:val="8A6A2A"/>
                <w:sz w:val="17"/>
                <w:szCs w:val="17"/>
              </w:rPr>
              <w:t xml:space="preserve">Attribution:  </w:t>
            </w:r>
            <w:r>
              <w:rPr>
                <w:sz w:val="17"/>
                <w:szCs w:val="17"/>
              </w:rPr>
              <w:t xml:space="preserve">CASQO framework.</w:t>
            </w:r>
          </w:p>
          <w:p>
            <w:pPr>
              <w:spacing w:after="0"/>
            </w:pPr>
            <w:r>
              <w:rPr>
                <w:i/>
                <w:iCs/>
                <w:color w:val="8A6A2A"/>
                <w:sz w:val="17"/>
                <w:szCs w:val="17"/>
              </w:rPr>
              <w:t xml:space="preserve">R/toxicity.R — “the low and moderate scores got improved by one category…”</w:t>
            </w:r>
          </w:p>
        </w:tc>
      </w:tr>
    </w:tbl>
    <w:p>
      <w:pPr>
        <w:spacing w:after="1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E8DABB" w:sz="2"/>
              <w:left w:val="single" w:color="C08A2B" w:sz="24"/>
              <w:bottom w:val="single" w:color="E8DABB" w:sz="2"/>
              <w:right w:val="single" w:color="E8DABB" w:sz="2"/>
            </w:tcBorders>
            <w:shd w:fill="FBF3E4" w:color="auto" w:val="clear"/>
            <w:tcMar>
              <w:top w:type="dxa" w:w="90"/>
              <w:left w:type="dxa" w:w="150"/>
              <w:bottom w:type="dxa" w:w="90"/>
              <w:right w:type="dxa" w:w="120"/>
            </w:tcMar>
          </w:tcPr>
          <w:p>
            <w:pPr>
              <w:spacing w:after="40"/>
            </w:pPr>
            <w:r>
              <w:rPr>
                <w:b/>
                <w:bCs/>
                <w:color w:val="6B4A12"/>
                <w:sz w:val="20"/>
                <w:szCs w:val="20"/>
              </w:rPr>
              <w:t xml:space="preserve">Darrin Greenstein</w:t>
            </w:r>
          </w:p>
          <w:p>
            <w:pPr>
              <w:spacing w:after="60" w:line="264"/>
            </w:pPr>
            <w:r>
              <w:t xml:space="preserve">The toxicity LOE score is the mean of the test category scores (Nontoxic 1 … High 4), rounded to a category. Darrin's decision was to use </w:t>
            </w:r>
            <w:r>
              <w:rPr>
                <w:b/>
                <w:bCs/>
              </w:rPr>
              <w:t xml:space="preserve">conventional rounding, where a half always rounds up</w:t>
            </w:r>
            <w:r>
              <w:t xml:space="preserve"> — 0.5→1, 1.5→2, 2.5→3, 3.5→4 — rather than R's default </w:t>
            </w:r>
            <w:r>
              <w:rPr>
                <w:b/>
                <w:bCs/>
              </w:rPr>
              <w:t xml:space="preserve">banker's rounding</w:t>
            </w:r>
            <w:r>
              <w:t xml:space="preserve"> (round-half-to-even, which would send 0.5→0, 2.5→2, etc.). Rounding halves up leans conservatively toward the more-impacted category. In the code this is achieved with the </w:t>
            </w:r>
            <w:r>
              <w:rPr>
                <w:b/>
                <w:bCs/>
              </w:rPr>
              <w:t xml:space="preserve">ceiling</w:t>
            </w:r>
            <w:r>
              <w:t xml:space="preserve"> of the mean, which produces exactly this half-up behaviour for the one- and two-test cases (where the mean is always a whole or half number).</w:t>
            </w:r>
          </w:p>
          <w:p>
            <w:pPr>
              <w:pBdr>
                <w:left w:val="single" w:color="1E6B4F" w:sz="14" w:space="4"/>
              </w:pBdr>
              <w:shd w:fill="EFF6F1" w:color="auto" w:val="clear"/>
              <w:spacing w:after="40" w:line="262"/>
              <w:ind w:left="60"/>
            </w:pPr>
            <w:r>
              <w:rPr>
                <w:color w:val="1A4635"/>
                <w:sz w:val="18"/>
                <w:szCs w:val="18"/>
              </w:rPr>
              <w:t xml:space="preserve">This is consistent with the manual. The manual (p.109) rounds the mean to the nearest category with 0.5-and-above rounding up — the same conventional (not banker's) rounding Darrin specified. The code's ceiling matches this for one or two tests; it would only round more aggressively with three or more tests producing a non-half mean.</w:t>
            </w:r>
          </w:p>
          <w:p>
            <w:pPr>
              <w:spacing w:after="40"/>
            </w:pPr>
            <w:r>
              <w:rPr>
                <w:b/>
                <w:bCs/>
                <w:color w:val="8A6A2A"/>
                <w:sz w:val="17"/>
                <w:szCs w:val="17"/>
              </w:rPr>
              <w:t xml:space="preserve">Attribution:  </w:t>
            </w:r>
            <w:r>
              <w:rPr>
                <w:sz w:val="17"/>
                <w:szCs w:val="17"/>
              </w:rPr>
              <w:t xml:space="preserve">Per Darrin Greenstein (not recorded in code comments).</w:t>
            </w:r>
          </w:p>
          <w:p>
            <w:pPr>
              <w:spacing w:after="0"/>
            </w:pPr>
            <w:r>
              <w:rPr>
                <w:i/>
                <w:iCs/>
                <w:color w:val="8A6A2A"/>
                <w:sz w:val="17"/>
                <w:szCs w:val="17"/>
              </w:rPr>
              <w:t xml:space="preserve">R/toxicity.R — integrated toxicity score</w:t>
            </w:r>
          </w:p>
        </w:tc>
      </w:tr>
    </w:tbl>
    <w:p>
      <w:pPr>
        <w:spacing w:after="100"/>
      </w:pPr>
    </w:p>
    <w:p>
      <w:pPr>
        <w:spacing w:after="140" w:line="276"/>
      </w:pPr>
      <w:r>
        <w:t xml:space="preserve">Two further data-handling choices in the toxicity code are worth knowing, though the code does not attribute them to a named individual: station id “0” is treated as the Bight QA control id “0000”, and any result flagged with a qacode containing “X” (or a negative value such as −88 / −99) is set to NA so it is excluded from calculations. These are data-hygiene steps not covered by the manual.</w:t>
      </w:r>
    </w:p>
    <w:p>
      <w:r>
        <w:br w:type="page"/>
      </w:r>
    </w:p>
    <w:p>
      <w:pPr>
        <w:pStyle w:val="Heading1"/>
        <w:spacing w:after="140" w:before="320"/>
      </w:pPr>
      <w:r>
        <w:t xml:space="preserve">8. Integrated Site Assessment</w:t>
      </w:r>
    </w:p>
    <w:p>
      <w:pPr>
        <w:spacing w:after="140" w:line="276"/>
      </w:pPr>
      <w:r>
        <w:t xml:space="preserve">For the overall assessment, each station needs exactly one Benthic, Chemistry, and Toxicity category. These are joined against the </w:t>
      </w:r>
      <w:r>
        <w:rPr>
          <w:rFonts w:ascii="Consolas" w:cs="Consolas" w:eastAsia="Consolas" w:hAnsi="Consolas"/>
          <w:sz w:val="19"/>
          <w:szCs w:val="19"/>
        </w:rPr>
        <w:t xml:space="preserve">site_assessment_criteria</w:t>
      </w:r>
      <w:r>
        <w:t xml:space="preserve"> look-up table (from the CASQO manual), which maps every combination of the three categories to a single site assessment. A station must have all three lines of evidence to receive an integrated result; stations missing any line appear with an NA assessment.</w:t>
      </w:r>
    </w:p>
    <w:p>
      <w:pPr>
        <w:pStyle w:val="Heading2"/>
        <w:spacing w:after="100" w:before="240"/>
      </w:pPr>
      <w:r>
        <w:t xml:space="preserve">8.1 Decisions in the integration logic</w:t>
      </w:r>
    </w:p>
    <w:p>
      <w:pPr>
        <w:spacing w:after="140" w:line="276"/>
      </w:pPr>
      <w:r>
        <w:t xml:space="preserve">These are implementation choices the code documents to keep the integration robust; they follow the manual's intent rather than adding new judgement:</w:t>
      </w:r>
    </w:p>
    <w:p>
      <w:pPr>
        <w:pStyle w:val="ListParagraph"/>
        <w:numPr>
          <w:ilvl w:val="0"/>
          <w:numId w:val="1"/>
        </w:numPr>
        <w:spacing w:after="60" w:line="276"/>
      </w:pPr>
      <w:r>
        <w:rPr>
          <w:b/>
          <w:bCs/>
        </w:rPr>
        <w:t xml:space="preserve">Offshore → standard benthic mapping: </w:t>
      </w:r>
      <w:r>
        <w:t xml:space="preserve">offshore BRI categories are translated before integration — Marginal Deviation → Low Disturbance, Biodiversity Loss → Moderate Disturbance, and both Function Loss and Defaunation → High Disturbance — so offshore and bay/estuary benthic data feed the same criteria table.</w:t>
      </w:r>
    </w:p>
    <w:p>
      <w:pPr>
        <w:pStyle w:val="ListParagraph"/>
        <w:numPr>
          <w:ilvl w:val="0"/>
          <w:numId w:val="1"/>
        </w:numPr>
        <w:spacing w:after="60" w:line="276"/>
      </w:pPr>
      <w:r>
        <w:rPr>
          <w:b/>
          <w:bCs/>
        </w:rPr>
        <w:t xml:space="preserve">Absent lines of evidence: </w:t>
      </w:r>
      <w:r>
        <w:t xml:space="preserve">if a whole line of evidence is missing from a run, the code still guarantees all three category columns exist (filling the missing one with NA) so the criteria join never fails. Single-LOE and offshore-only runs therefore work correctly.</w:t>
      </w:r>
    </w:p>
    <w:p>
      <w:pPr>
        <w:pStyle w:val="ListParagraph"/>
        <w:numPr>
          <w:ilvl w:val="0"/>
          <w:numId w:val="1"/>
        </w:numPr>
        <w:spacing w:after="60" w:line="276"/>
      </w:pPr>
      <w:r>
        <w:rPr>
          <w:b/>
          <w:bCs/>
        </w:rPr>
        <w:t xml:space="preserve">One row per station: </w:t>
      </w:r>
      <w:r>
        <w:t xml:space="preserve">the replicate-1 rule (Section 5.1) ensures each station contributes a single Benthic row, so the pivot into the criteria table cannot hit duplicate keys.</w:t>
      </w:r>
    </w:p>
    <w:p>
      <w:pPr>
        <w:pBdr>
          <w:left w:val="single" w:color="1E6B4F" w:sz="14" w:space="4"/>
        </w:pBdr>
        <w:shd w:fill="EFF6F1" w:color="auto" w:val="clear"/>
        <w:spacing w:after="140" w:line="276"/>
        <w:ind w:left="60"/>
      </w:pPr>
      <w:r>
        <w:rPr>
          <w:color w:val="1A4635"/>
          <w:sz w:val="20"/>
          <w:szCs w:val="20"/>
        </w:rPr>
        <w:t xml:space="preserve">This is consistent with the manual. Combining the three LOE categories into an overall station assessment, and requiring all three to be present, is defined in CASQO Chapter 6; the </w:t>
      </w:r>
      <w:r>
        <w:rPr>
          <w:rFonts w:ascii="Consolas" w:cs="Consolas" w:eastAsia="Consolas" w:hAnsi="Consolas"/>
          <w:color w:val="1A4635"/>
          <w:sz w:val="19"/>
          <w:szCs w:val="19"/>
        </w:rPr>
        <w:t xml:space="preserve">site_assessment_criteria</w:t>
      </w:r>
      <w:r>
        <w:rPr>
          <w:color w:val="1A4635"/>
          <w:sz w:val="20"/>
          <w:szCs w:val="20"/>
        </w:rPr>
        <w:t xml:space="preserve"> table is that chapter's look-up. The offshore-BRI→benthic category mapping is an extension (offshore is outside the manual's scope), and the NA-fill for absent lines of evidence is an implementation safeguard.</w:t>
      </w:r>
    </w:p>
    <w:p>
      <w:pPr>
        <w:pStyle w:val="Heading1"/>
        <w:spacing w:after="140" w:before="320"/>
      </w:pPr>
      <w:r>
        <w:t xml:space="preserve">9. Example Workflow</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library(SQOUnified)</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benthic_data &lt;- read.csv("path/to/benthic_data.csv")</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chem_data    &lt;- read.csv("path/to/chem_data.csv")</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tox_data     &lt;- read.csv("path/to/tox_data.csv")</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Optional: individual components</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benthic_results &lt;- benthic.sqo(benthic_data)</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chem_results    &lt;- chem.sqo(chem_data)</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tox_results     &lt;- tox.sqo(tox_data)</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Integrated assessment (all scores + overall site assessment)</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integrated &lt;- SQOUnified(benthic = benthic_data,</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chem    = chem_data,</w:t>
      </w:r>
    </w:p>
    <w:p>
      <w:pPr>
        <w:pBdr>
          <w:left w:val="single" w:color="2E5A88" w:sz="18" w:space="6"/>
        </w:pBdr>
        <w:shd w:fill="F2F2F2" w:color="auto" w:val="clear"/>
        <w:spacing w:after="0" w:line="260"/>
        <w:ind w:left="120"/>
      </w:pPr>
      <w:r>
        <w:rPr>
          <w:rFonts w:ascii="Consolas" w:cs="Consolas" w:eastAsia="Consolas" w:hAnsi="Consolas"/>
          <w:sz w:val="18"/>
          <w:szCs w:val="18"/>
        </w:rPr>
        <w:t xml:space="preserve">                         tox     = tox_data)</w:t>
      </w:r>
    </w:p>
    <w:p>
      <w:pPr>
        <w:pBdr>
          <w:left w:val="single" w:color="2E5A88" w:sz="18" w:space="6"/>
        </w:pBdr>
        <w:shd w:fill="F2F2F2" w:color="auto" w:val="clear"/>
        <w:spacing w:after="140" w:line="260"/>
        <w:ind w:left="120"/>
      </w:pPr>
      <w:r>
        <w:rPr>
          <w:rFonts w:ascii="Consolas" w:cs="Consolas" w:eastAsia="Consolas" w:hAnsi="Consolas"/>
          <w:sz w:val="18"/>
          <w:szCs w:val="18"/>
        </w:rPr>
        <w:t xml:space="preserve">print(integrated)</w:t>
      </w:r>
    </w:p>
    <w:p>
      <w:pPr>
        <w:pStyle w:val="Heading1"/>
        <w:spacing w:after="140" w:before="320"/>
      </w:pPr>
      <w:r>
        <w:t xml:space="preserve">10. Bundled Example Datasets</w:t>
      </w:r>
    </w:p>
    <w:p>
      <w:pPr>
        <w:spacing w:after="140" w:line="276"/>
      </w:pPr>
      <w:r>
        <w:t xml:space="preserve">The package lazy-loads two tiers of example data, available by name once the package is loaded.</w:t>
      </w:r>
    </w:p>
    <w:p>
      <w:pPr>
        <w:pStyle w:val="Heading3"/>
        <w:spacing w:after="80" w:before="180"/>
      </w:pPr>
      <w:r>
        <w:t xml:space="preserve">Small, self-contained sample data</w:t>
      </w:r>
    </w:p>
    <w:tbl>
      <w:tblPr>
        <w:tblW w:type="dxa" w:w="9200"/>
        <w:tblBorders>
          <w:top w:val="single" w:color="BBBBBB" w:sz="4"/>
          <w:left w:val="single" w:color="BBBBBB" w:sz="4"/>
          <w:bottom w:val="single" w:color="BBBBBB" w:sz="4"/>
          <w:right w:val="single" w:color="BBBBBB" w:sz="4"/>
          <w:insideH w:val="single" w:color="DDDDDD" w:sz="2"/>
          <w:insideV w:val="single" w:color="DDDDDD" w:sz="2"/>
        </w:tblBorders>
      </w:tblPr>
      <w:tblGrid>
        <w:gridCol w:w="3400"/>
        <w:gridCol w:w="5800"/>
      </w:tblGrid>
      <w:tr>
        <w:trPr>
          <w:tblHeader/>
        </w:trPr>
        <w:tc>
          <w:tcPr>
            <w:tcW w:type="dxa" w:w="3400"/>
            <w:shd w:fill="2E5A88" w:color="auto" w:val="clear"/>
            <w:tcMar>
              <w:top w:type="dxa" w:w="40"/>
              <w:left w:type="dxa" w:w="90"/>
              <w:bottom w:type="dxa" w:w="40"/>
              <w:right w:type="dxa" w:w="90"/>
            </w:tcMar>
          </w:tcPr>
          <w:p>
            <w:pPr>
              <w:spacing w:after="20"/>
            </w:pPr>
            <w:r>
              <w:rPr>
                <w:b/>
                <w:bCs/>
                <w:color w:val="FFFFFF"/>
                <w:sz w:val="19"/>
                <w:szCs w:val="19"/>
              </w:rPr>
              <w:t xml:space="preserve">Dataset</w:t>
            </w:r>
          </w:p>
        </w:tc>
        <w:tc>
          <w:tcPr>
            <w:tcW w:type="dxa" w:w="5800"/>
            <w:shd w:fill="2E5A88" w:color="auto" w:val="clear"/>
            <w:tcMar>
              <w:top w:type="dxa" w:w="40"/>
              <w:left w:type="dxa" w:w="90"/>
              <w:bottom w:type="dxa" w:w="40"/>
              <w:right w:type="dxa" w:w="90"/>
            </w:tcMar>
          </w:tcPr>
          <w:p>
            <w:pPr>
              <w:spacing w:after="20"/>
            </w:pPr>
            <w:r>
              <w:rPr>
                <w:b/>
                <w:bCs/>
                <w:color w:val="FFFFFF"/>
                <w:sz w:val="19"/>
                <w:szCs w:val="19"/>
              </w:rPr>
              <w:t xml:space="preserve">Contents</w:t>
            </w:r>
          </w:p>
        </w:tc>
      </w:tr>
      <w:tr>
        <w:tc>
          <w:tcPr>
            <w:tcW w:type="dxa" w:w="3400"/>
            <w:shd w:fill="FFFFFF" w:color="auto" w:val="clear"/>
            <w:tcMar>
              <w:top w:type="dxa" w:w="40"/>
              <w:left w:type="dxa" w:w="90"/>
              <w:bottom w:type="dxa" w:w="40"/>
              <w:right w:type="dxa" w:w="90"/>
            </w:tcMar>
          </w:tcPr>
          <w:p>
            <w:pPr>
              <w:spacing w:after="20"/>
            </w:pPr>
            <w:r>
              <w:rPr>
                <w:b w:val="false"/>
                <w:bCs w:val="false"/>
                <w:color w:val="000000"/>
                <w:sz w:val="19"/>
                <w:szCs w:val="19"/>
              </w:rPr>
              <w:t xml:space="preserve">benthic_sampledata</w:t>
            </w:r>
          </w:p>
        </w:tc>
        <w:tc>
          <w:tcPr>
            <w:tcW w:type="dxa" w:w="5800"/>
            <w:shd w:fill="FFFFFF" w:color="auto" w:val="clear"/>
            <w:tcMar>
              <w:top w:type="dxa" w:w="40"/>
              <w:left w:type="dxa" w:w="90"/>
              <w:bottom w:type="dxa" w:w="40"/>
              <w:right w:type="dxa" w:w="90"/>
            </w:tcMar>
          </w:tcPr>
          <w:p>
            <w:pPr>
              <w:spacing w:after="20"/>
            </w:pPr>
            <w:r>
              <w:rPr>
                <w:b w:val="false"/>
                <w:bCs w:val="false"/>
                <w:color w:val="000000"/>
                <w:sz w:val="19"/>
                <w:szCs w:val="19"/>
              </w:rPr>
              <w:t xml:space="preserve">Bay/estuary benthic infauna</w:t>
            </w:r>
          </w:p>
        </w:tc>
      </w:tr>
      <w:tr>
        <w:tc>
          <w:tcPr>
            <w:tcW w:type="dxa" w:w="3400"/>
            <w:shd w:fill="EAF0F7" w:color="auto" w:val="clear"/>
            <w:tcMar>
              <w:top w:type="dxa" w:w="40"/>
              <w:left w:type="dxa" w:w="90"/>
              <w:bottom w:type="dxa" w:w="40"/>
              <w:right w:type="dxa" w:w="90"/>
            </w:tcMar>
          </w:tcPr>
          <w:p>
            <w:pPr>
              <w:spacing w:after="20"/>
            </w:pPr>
            <w:r>
              <w:rPr>
                <w:b w:val="false"/>
                <w:bCs w:val="false"/>
                <w:color w:val="000000"/>
                <w:sz w:val="19"/>
                <w:szCs w:val="19"/>
              </w:rPr>
              <w:t xml:space="preserve">chem_sampledata</w:t>
            </w:r>
          </w:p>
        </w:tc>
        <w:tc>
          <w:tcPr>
            <w:tcW w:type="dxa" w:w="5800"/>
            <w:shd w:fill="EAF0F7" w:color="auto" w:val="clear"/>
            <w:tcMar>
              <w:top w:type="dxa" w:w="40"/>
              <w:left w:type="dxa" w:w="90"/>
              <w:bottom w:type="dxa" w:w="40"/>
              <w:right w:type="dxa" w:w="90"/>
            </w:tcMar>
          </w:tcPr>
          <w:p>
            <w:pPr>
              <w:spacing w:after="20"/>
            </w:pPr>
            <w:r>
              <w:rPr>
                <w:b w:val="false"/>
                <w:bCs w:val="false"/>
                <w:color w:val="000000"/>
                <w:sz w:val="19"/>
                <w:szCs w:val="19"/>
              </w:rPr>
              <w:t xml:space="preserve">Sediment chemistry (long format)</w:t>
            </w:r>
          </w:p>
        </w:tc>
      </w:tr>
      <w:tr>
        <w:tc>
          <w:tcPr>
            <w:tcW w:type="dxa" w:w="3400"/>
            <w:shd w:fill="FFFFFF" w:color="auto" w:val="clear"/>
            <w:tcMar>
              <w:top w:type="dxa" w:w="40"/>
              <w:left w:type="dxa" w:w="90"/>
              <w:bottom w:type="dxa" w:w="40"/>
              <w:right w:type="dxa" w:w="90"/>
            </w:tcMar>
          </w:tcPr>
          <w:p>
            <w:pPr>
              <w:spacing w:after="20"/>
            </w:pPr>
            <w:r>
              <w:rPr>
                <w:b w:val="false"/>
                <w:bCs w:val="false"/>
                <w:color w:val="000000"/>
                <w:sz w:val="19"/>
                <w:szCs w:val="19"/>
              </w:rPr>
              <w:t xml:space="preserve">tox_sampledata</w:t>
            </w:r>
          </w:p>
        </w:tc>
        <w:tc>
          <w:tcPr>
            <w:tcW w:type="dxa" w:w="5800"/>
            <w:shd w:fill="FFFFFF" w:color="auto" w:val="clear"/>
            <w:tcMar>
              <w:top w:type="dxa" w:w="40"/>
              <w:left w:type="dxa" w:w="90"/>
              <w:bottom w:type="dxa" w:w="40"/>
              <w:right w:type="dxa" w:w="90"/>
            </w:tcMar>
          </w:tcPr>
          <w:p>
            <w:pPr>
              <w:spacing w:after="20"/>
            </w:pPr>
            <w:r>
              <w:rPr>
                <w:b w:val="false"/>
                <w:bCs w:val="false"/>
                <w:color w:val="000000"/>
                <w:sz w:val="19"/>
                <w:szCs w:val="19"/>
              </w:rPr>
              <w:t xml:space="preserve">Sediment toxicity results, including controls</w:t>
            </w:r>
          </w:p>
        </w:tc>
      </w:tr>
      <w:tr>
        <w:tc>
          <w:tcPr>
            <w:tcW w:type="dxa" w:w="3400"/>
            <w:shd w:fill="EAF0F7" w:color="auto" w:val="clear"/>
            <w:tcMar>
              <w:top w:type="dxa" w:w="40"/>
              <w:left w:type="dxa" w:w="90"/>
              <w:bottom w:type="dxa" w:w="40"/>
              <w:right w:type="dxa" w:w="90"/>
            </w:tcMar>
          </w:tcPr>
          <w:p>
            <w:pPr>
              <w:spacing w:after="20"/>
            </w:pPr>
            <w:r>
              <w:rPr>
                <w:b w:val="false"/>
                <w:bCs w:val="false"/>
                <w:color w:val="000000"/>
                <w:sz w:val="19"/>
                <w:szCs w:val="19"/>
              </w:rPr>
              <w:t xml:space="preserve">offshore_bri_sampledata</w:t>
            </w:r>
          </w:p>
        </w:tc>
        <w:tc>
          <w:tcPr>
            <w:tcW w:type="dxa" w:w="5800"/>
            <w:shd w:fill="EAF0F7" w:color="auto" w:val="clear"/>
            <w:tcMar>
              <w:top w:type="dxa" w:w="40"/>
              <w:left w:type="dxa" w:w="90"/>
              <w:bottom w:type="dxa" w:w="40"/>
              <w:right w:type="dxa" w:w="90"/>
            </w:tcMar>
          </w:tcPr>
          <w:p>
            <w:pPr>
              <w:spacing w:after="20"/>
            </w:pPr>
            <w:r>
              <w:rPr>
                <w:b w:val="false"/>
                <w:bCs w:val="false"/>
                <w:color w:val="000000"/>
                <w:sz w:val="19"/>
                <w:szCs w:val="19"/>
              </w:rPr>
              <w:t xml:space="preserve">Offshore infauna with depth/lat/long (6 stations, OFS-01…OFS-06)</w:t>
            </w:r>
          </w:p>
        </w:tc>
      </w:tr>
    </w:tbl>
    <w:p>
      <w:pPr>
        <w:pStyle w:val="Heading3"/>
        <w:spacing w:after="80" w:before="180"/>
      </w:pPr>
      <w:r>
        <w:t xml:space="preserve">Compiled Bight regional monitoring data</w:t>
      </w:r>
    </w:p>
    <w:p>
      <w:pPr>
        <w:spacing w:after="140" w:line="276"/>
      </w:pPr>
      <w:r>
        <w:t xml:space="preserve">Larger, real datasets compiled across Southern California Bight survey years (1998–2023): </w:t>
      </w:r>
      <w:r>
        <w:rPr>
          <w:rFonts w:ascii="Consolas" w:cs="Consolas" w:eastAsia="Consolas" w:hAnsi="Consolas"/>
          <w:sz w:val="19"/>
          <w:szCs w:val="19"/>
        </w:rPr>
        <w:t xml:space="preserve">bight.unified.chem</w:t>
      </w:r>
      <w:r>
        <w:t xml:space="preserve">, </w:t>
      </w:r>
      <w:r>
        <w:rPr>
          <w:rFonts w:ascii="Consolas" w:cs="Consolas" w:eastAsia="Consolas" w:hAnsi="Consolas"/>
          <w:sz w:val="19"/>
          <w:szCs w:val="19"/>
        </w:rPr>
        <w:t xml:space="preserve">bight.unified.tox</w:t>
      </w:r>
      <w:r>
        <w:t xml:space="preserve">, </w:t>
      </w:r>
      <w:r>
        <w:rPr>
          <w:rFonts w:ascii="Consolas" w:cs="Consolas" w:eastAsia="Consolas" w:hAnsi="Consolas"/>
          <w:sz w:val="19"/>
          <w:szCs w:val="19"/>
        </w:rPr>
        <w:t xml:space="preserve">bight.unified.benthic</w:t>
      </w:r>
      <w:r>
        <w:t xml:space="preserve">, and </w:t>
      </w:r>
      <w:r>
        <w:rPr>
          <w:rFonts w:ascii="Consolas" w:cs="Consolas" w:eastAsia="Consolas" w:hAnsi="Consolas"/>
          <w:sz w:val="19"/>
          <w:szCs w:val="19"/>
        </w:rPr>
        <w:t xml:space="preserve">bight.unified.benthic.offshore</w:t>
      </w:r>
      <w:r>
        <w:t xml:space="preserve">. Each is documented in the package help (e.g. </w:t>
      </w:r>
      <w:r>
        <w:rPr>
          <w:rFonts w:ascii="Consolas" w:cs="Consolas" w:eastAsia="Consolas" w:hAnsi="Consolas"/>
          <w:sz w:val="19"/>
          <w:szCs w:val="19"/>
        </w:rPr>
        <w:t xml:space="preserve">?bight.unified.chem</w:t>
      </w:r>
      <w:r>
        <w:t xml:space="preserve">).</w:t>
      </w:r>
    </w:p>
    <w:p>
      <w:pPr>
        <w:pStyle w:val="Heading1"/>
        <w:spacing w:after="140" w:before="320"/>
      </w:pPr>
      <w:r>
        <w:t xml:space="preserve">11. The Auditing Log</w:t>
      </w:r>
    </w:p>
    <w:p>
      <w:pPr>
        <w:spacing w:after="140" w:line="276"/>
      </w:pPr>
      <w:r>
        <w:t xml:space="preserve">Every line-of-evidence function can write a step-by-step R Markdown log of what it did to your data — which taxa were renamed, how non-detects were estimated, which thresholds applied — and </w:t>
      </w:r>
      <w:r>
        <w:rPr>
          <w:rFonts w:ascii="Consolas" w:cs="Consolas" w:eastAsia="Consolas" w:hAnsi="Consolas"/>
          <w:sz w:val="19"/>
          <w:szCs w:val="19"/>
        </w:rPr>
        <w:t xml:space="preserve">SQOUnified()</w:t>
      </w:r>
      <w:r>
        <w:t xml:space="preserve"> can merge them into one self-contained HTML report (set </w:t>
      </w:r>
      <w:r>
        <w:rPr>
          <w:rFonts w:ascii="Consolas" w:cs="Consolas" w:eastAsia="Consolas" w:hAnsi="Consolas"/>
          <w:sz w:val="19"/>
          <w:szCs w:val="19"/>
        </w:rPr>
        <w:t xml:space="preserve">knitlog = TRUE</w:t>
      </w:r>
      <w:r>
        <w:t xml:space="preserve">). By design, the logged code chunks are display-only: knitting the report documents the pipeline without re-executing it, so a report can be produced from the saved snapshots alone. This is what makes results reproducible and defensible for regulatory monitoring.</w:t>
      </w:r>
    </w:p>
    <w:p>
      <w:pPr>
        <w:pStyle w:val="Heading1"/>
        <w:spacing w:after="140" w:before="320"/>
      </w:pPr>
      <w:r>
        <w:t xml:space="preserve">12. Getting Help &amp; Contributing</w:t>
      </w:r>
    </w:p>
    <w:p>
      <w:pPr>
        <w:spacing w:after="140" w:line="276"/>
      </w:pPr>
      <w:r>
        <w:t xml:space="preserve">Every exported function and dataset has R help — use </w:t>
      </w:r>
      <w:r>
        <w:rPr>
          <w:rFonts w:ascii="Consolas" w:cs="Consolas" w:eastAsia="Consolas" w:hAnsi="Consolas"/>
          <w:sz w:val="19"/>
          <w:szCs w:val="19"/>
        </w:rPr>
        <w:t xml:space="preserve">?SQOUnified</w:t>
      </w:r>
      <w:r>
        <w:t xml:space="preserve">, </w:t>
      </w:r>
      <w:r>
        <w:rPr>
          <w:rFonts w:ascii="Consolas" w:cs="Consolas" w:eastAsia="Consolas" w:hAnsi="Consolas"/>
          <w:sz w:val="19"/>
          <w:szCs w:val="19"/>
        </w:rPr>
        <w:t xml:space="preserve">?BRI.Offshore</w:t>
      </w:r>
      <w:r>
        <w:t xml:space="preserve">, </w:t>
      </w:r>
      <w:r>
        <w:rPr>
          <w:rFonts w:ascii="Consolas" w:cs="Consolas" w:eastAsia="Consolas" w:hAnsi="Consolas"/>
          <w:sz w:val="19"/>
          <w:szCs w:val="19"/>
        </w:rPr>
        <w:t xml:space="preserve">?bight.unified.chem</w:t>
      </w:r>
      <w:r>
        <w:t xml:space="preserve">, and so on. The definitive methodological reference is the </w:t>
      </w:r>
    </w:p>
    <w:p>
      <w:pPr>
        <w:spacing w:after="140"/>
      </w:pPr>
      <w:hyperlink w:history="1" r:id="rIdqurbq98c3_nclgzpuy4md">
        <w:r>
          <w:rPr>
            <w:rStyle w:val="Hyperlink"/>
            <w:sz w:val="21"/>
            <w:szCs w:val="21"/>
          </w:rPr>
          <w:t xml:space="preserve">CASQO Technical Manual (777_CASQO_TechnicalManual.pdf)</w:t>
        </w:r>
      </w:hyperlink>
      <w:r>
        <w:t xml:space="preserve">.</w:t>
      </w:r>
    </w:p>
    <w:p>
      <w:pPr>
        <w:spacing w:after="140" w:line="276"/>
      </w:pPr>
      <w:r>
        <w:t xml:space="preserve">If you hit a problem, the maintainers prefer that you open an </w:t>
      </w:r>
      <w:hyperlink w:history="1" r:id="rIdnzxwbbs_1y6sxm5iera3f">
        <w:r>
          <w:rPr>
            <w:rStyle w:val="Hyperlink"/>
            <w:sz w:val="21"/>
            <w:szCs w:val="21"/>
          </w:rPr>
          <w:t xml:space="preserve">issue on GitHub</w:t>
        </w:r>
      </w:hyperlink>
      <w:r>
        <w:t xml:space="preserve"> rather than a pull request in most cases; feature requests are welcome there too.</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140" w:before="320"/>
      <w:outlineLvl w:val="0"/>
    </w:pPr>
    <w:rPr>
      <w:b/>
      <w:bCs/>
      <w:color w:val="1F3864"/>
      <w:sz w:val="32"/>
      <w:szCs w:val="32"/>
    </w:rPr>
  </w:style>
  <w:style w:type="paragraph" w:styleId="Heading2">
    <w:name w:val="Heading 2"/>
    <w:basedOn w:val="Normal"/>
    <w:next w:val="Normal"/>
    <w:qFormat/>
    <w:pPr>
      <w:spacing w:after="100" w:before="240"/>
      <w:outlineLvl w:val="1"/>
    </w:pPr>
    <w:rPr>
      <w:b/>
      <w:bCs/>
      <w:color w:val="2E5A88"/>
      <w:sz w:val="26"/>
      <w:szCs w:val="26"/>
    </w:rPr>
  </w:style>
  <w:style w:type="paragraph" w:styleId="Heading3">
    <w:name w:val="Heading 3"/>
    <w:basedOn w:val="Normal"/>
    <w:next w:val="Normal"/>
    <w:qFormat/>
    <w:pPr>
      <w:spacing w:after="70" w:before="160"/>
      <w:outlineLvl w:val="2"/>
    </w:pPr>
    <w:rPr>
      <w:b/>
      <w:bCs/>
      <w:color w:val="3A3A3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urbq98c3_nclgzpuy4md" Type="http://schemas.openxmlformats.org/officeDocument/2006/relationships/hyperlink" Target="http://ftp.sccwrp.org/pub/download/DOCUMENTS/TechnicalReports/777_CASQO_TechnicalManual.pdf" TargetMode="External"/><Relationship Id="rIdnzxwbbs_1y6sxm5iera3f" Type="http://schemas.openxmlformats.org/officeDocument/2006/relationships/hyperlink" Target="https://github.com/SCCWRP/SQOUnified/issue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SQOUnified R Package Guide</dc:title>
  <dc:creator>SCCWRP</dc:creator>
  <dc:description>User guide for the SQOUnified R package</dc:description>
  <cp:lastModifiedBy>Un-named</cp:lastModifiedBy>
  <cp:revision>1</cp:revision>
  <dcterms:created xsi:type="dcterms:W3CDTF">2026-08-05T00:56:52.027Z</dcterms:created>
  <dcterms:modified xsi:type="dcterms:W3CDTF">2026-08-05T00:56:52.027Z</dcterms:modified>
</cp:coreProperties>
</file>

<file path=docProps/custom.xml><?xml version="1.0" encoding="utf-8"?>
<Properties xmlns="http://schemas.openxmlformats.org/officeDocument/2006/custom-properties" xmlns:vt="http://schemas.openxmlformats.org/officeDocument/2006/docPropsVTypes"/>
</file>