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center"/>
      </w:pPr>
      <w:r>
        <w:rPr>
          <w:b/>
          <w:bCs/>
          <w:color w:val="1F3864"/>
          <w:sz w:val="76"/>
          <w:szCs w:val="76"/>
        </w:rPr>
        <w:t xml:space="preserve">SQOUnified</w:t>
      </w:r>
    </w:p>
    <w:p>
      <w:pPr>
        <w:spacing w:after="300"/>
        <w:jc w:val="center"/>
      </w:pPr>
      <w:r>
        <w:rPr>
          <w:color w:val="2E5A88"/>
          <w:sz w:val="30"/>
          <w:szCs w:val="30"/>
        </w:rPr>
        <w:t xml:space="preserve">An R Package for Sediment Quality Objective Assessment</w:t>
      </w:r>
    </w:p>
    <w:p>
      <w:pPr>
        <w:spacing w:after="120"/>
        <w:jc w:val="center"/>
      </w:pPr>
      <w:r>
        <w:rPr>
          <w:i/>
          <w:iCs/>
          <w:color w:val="555555"/>
          <w:sz w:val="24"/>
          <w:szCs w:val="24"/>
        </w:rPr>
        <w:t xml:space="preserve">Guide for Package Users</w:t>
      </w:r>
    </w:p>
    <w:p>
      <w:pPr>
        <w:spacing w:after="80"/>
        <w:jc w:val="center"/>
      </w:pPr>
      <w:r>
        <w:rPr>
          <w:color w:val="555555"/>
          <w:sz w:val="22"/>
          <w:szCs w:val="22"/>
        </w:rPr>
        <w:t xml:space="preserve">Version 0.10.19</w:t>
      </w:r>
    </w:p>
    <w:p>
      <w:pPr>
        <w:jc w:val="center"/>
      </w:pPr>
      <w:r>
        <w:rPr>
          <w:color w:val="888888"/>
          <w:sz w:val="20"/>
          <w:szCs w:val="20"/>
        </w:rPr>
        <w:t xml:space="preserve">Southern California Coastal Water Research Project (SCCWRP)</w:t>
      </w:r>
    </w:p>
    <w:p>
      <w:r>
        <w:br w:type="page"/>
      </w:r>
    </w:p>
    <w:p>
      <w:pPr>
        <w:pStyle w:val="Heading1"/>
        <w:spacing w:after="140" w:before="320"/>
      </w:pPr>
      <w:r>
        <w:t xml:space="preserve">Contents</w:t>
      </w:r>
    </w:p>
    <w:p>
      <w:pPr>
        <w:tabs>
          <w:tab w:val="right" w:pos="9740" w:leader="dot"/>
        </w:tabs>
        <w:spacing w:after="70" w:before="40" w:line="264"/>
        <w:ind w:left="0"/>
      </w:pPr>
      <w:r>
        <w:rPr>
          <w:b/>
          <w:bCs/>
          <w:color w:val="1F3864"/>
          <w:sz w:val="21"/>
          <w:szCs w:val="21"/>
        </w:rPr>
        <w:t xml:space="preserve">1.  Overview</w:t>
      </w:r>
      <w:r>
        <w:rPr>
          <w:sz w:val="21"/>
          <w:szCs w:val="21"/>
        </w:rPr>
        <w:tab/>
      </w:r>
      <w:r>
        <w:rPr>
          <w:b/>
          <w:bCs/>
          <w:color w:val="1F3864"/>
          <w:sz w:val="21"/>
          <w:szCs w:val="21"/>
        </w:rPr>
        <w:t xml:space="preserve">3</w:t>
      </w:r>
    </w:p>
    <w:p>
      <w:pPr>
        <w:tabs>
          <w:tab w:val="right" w:pos="9740" w:leader="dot"/>
        </w:tabs>
        <w:spacing w:after="40" w:before="0" w:line="264"/>
        <w:ind w:left="380"/>
      </w:pPr>
      <w:r>
        <w:rPr>
          <w:b w:val="false"/>
          <w:bCs w:val="false"/>
          <w:color w:val="3A3A3A"/>
          <w:sz w:val="20"/>
          <w:szCs w:val="20"/>
        </w:rPr>
        <w:t xml:space="preserve">1.1  The three lines of evidence</w:t>
      </w:r>
      <w:r>
        <w:rPr>
          <w:sz w:val="20"/>
          <w:szCs w:val="20"/>
        </w:rPr>
        <w:tab/>
      </w:r>
      <w:r>
        <w:rPr>
          <w:b w:val="false"/>
          <w:bCs w:val="false"/>
          <w:color w:val="3A3A3A"/>
          <w:sz w:val="20"/>
          <w:szCs w:val="20"/>
        </w:rPr>
        <w:t xml:space="preserve">3</w:t>
      </w:r>
    </w:p>
    <w:p>
      <w:pPr>
        <w:tabs>
          <w:tab w:val="right" w:pos="9740" w:leader="dot"/>
        </w:tabs>
        <w:spacing w:after="40" w:before="0" w:line="264"/>
        <w:ind w:left="380"/>
      </w:pPr>
      <w:r>
        <w:rPr>
          <w:b w:val="false"/>
          <w:bCs w:val="false"/>
          <w:color w:val="3A3A3A"/>
          <w:sz w:val="20"/>
          <w:szCs w:val="20"/>
        </w:rPr>
        <w:t xml:space="preserve">1.2  A note on the experts named in this guide</w:t>
      </w:r>
      <w:r>
        <w:rPr>
          <w:sz w:val="20"/>
          <w:szCs w:val="20"/>
        </w:rPr>
        <w:tab/>
      </w:r>
      <w:r>
        <w:rPr>
          <w:b w:val="false"/>
          <w:bCs w:val="false"/>
          <w:color w:val="3A3A3A"/>
          <w:sz w:val="20"/>
          <w:szCs w:val="20"/>
        </w:rPr>
        <w:t xml:space="preserve">3</w:t>
      </w:r>
    </w:p>
    <w:p>
      <w:pPr>
        <w:tabs>
          <w:tab w:val="right" w:pos="9740" w:leader="dot"/>
        </w:tabs>
        <w:spacing w:after="70" w:before="40" w:line="264"/>
        <w:ind w:left="0"/>
      </w:pPr>
      <w:r>
        <w:rPr>
          <w:b/>
          <w:bCs/>
          <w:color w:val="1F3864"/>
          <w:sz w:val="21"/>
          <w:szCs w:val="21"/>
        </w:rPr>
        <w:t xml:space="preserve">2.  Installation</w:t>
      </w:r>
      <w:r>
        <w:rPr>
          <w:sz w:val="21"/>
          <w:szCs w:val="21"/>
        </w:rPr>
        <w:tab/>
      </w:r>
      <w:r>
        <w:rPr>
          <w:b/>
          <w:bCs/>
          <w:color w:val="1F3864"/>
          <w:sz w:val="21"/>
          <w:szCs w:val="21"/>
        </w:rPr>
        <w:t xml:space="preserve">3</w:t>
      </w:r>
    </w:p>
    <w:p>
      <w:pPr>
        <w:tabs>
          <w:tab w:val="right" w:pos="9740" w:leader="dot"/>
        </w:tabs>
        <w:spacing w:after="70" w:before="40" w:line="264"/>
        <w:ind w:left="0"/>
      </w:pPr>
      <w:r>
        <w:rPr>
          <w:b/>
          <w:bCs/>
          <w:color w:val="1F3864"/>
          <w:sz w:val="21"/>
          <w:szCs w:val="21"/>
        </w:rPr>
        <w:t xml:space="preserve">3.  Quick Start</w:t>
      </w:r>
      <w:r>
        <w:rPr>
          <w:sz w:val="21"/>
          <w:szCs w:val="21"/>
        </w:rPr>
        <w:tab/>
      </w:r>
      <w:r>
        <w:rPr>
          <w:b/>
          <w:bCs/>
          <w:color w:val="1F3864"/>
          <w:sz w:val="21"/>
          <w:szCs w:val="21"/>
        </w:rPr>
        <w:t xml:space="preserve">4</w:t>
      </w:r>
    </w:p>
    <w:p>
      <w:pPr>
        <w:tabs>
          <w:tab w:val="right" w:pos="9740" w:leader="dot"/>
        </w:tabs>
        <w:spacing w:after="70" w:before="40" w:line="264"/>
        <w:ind w:left="0"/>
      </w:pPr>
      <w:r>
        <w:rPr>
          <w:b/>
          <w:bCs/>
          <w:color w:val="1F3864"/>
          <w:sz w:val="21"/>
          <w:szCs w:val="21"/>
        </w:rPr>
        <w:t xml:space="preserve">4.  Input Data Requirements</w:t>
      </w:r>
      <w:r>
        <w:rPr>
          <w:sz w:val="21"/>
          <w:szCs w:val="21"/>
        </w:rPr>
        <w:tab/>
      </w:r>
      <w:r>
        <w:rPr>
          <w:b/>
          <w:bCs/>
          <w:color w:val="1F3864"/>
          <w:sz w:val="21"/>
          <w:szCs w:val="21"/>
        </w:rPr>
        <w:t xml:space="preserve">4</w:t>
      </w:r>
    </w:p>
    <w:p>
      <w:pPr>
        <w:tabs>
          <w:tab w:val="right" w:pos="9740" w:leader="dot"/>
        </w:tabs>
        <w:spacing w:after="40" w:before="0" w:line="264"/>
        <w:ind w:left="380"/>
      </w:pPr>
      <w:r>
        <w:rPr>
          <w:b w:val="false"/>
          <w:bCs w:val="false"/>
          <w:color w:val="3A3A3A"/>
          <w:sz w:val="20"/>
          <w:szCs w:val="20"/>
        </w:rPr>
        <w:t xml:space="preserve">4.1  Benthic (bay/estuary)</w:t>
      </w:r>
      <w:r>
        <w:rPr>
          <w:sz w:val="20"/>
          <w:szCs w:val="20"/>
        </w:rPr>
        <w:tab/>
      </w:r>
      <w:r>
        <w:rPr>
          <w:b w:val="false"/>
          <w:bCs w:val="false"/>
          <w:color w:val="3A3A3A"/>
          <w:sz w:val="20"/>
          <w:szCs w:val="20"/>
        </w:rPr>
        <w:t xml:space="preserve">4</w:t>
      </w:r>
    </w:p>
    <w:p>
      <w:pPr>
        <w:tabs>
          <w:tab w:val="right" w:pos="9740" w:leader="dot"/>
        </w:tabs>
        <w:spacing w:after="40" w:before="0" w:line="264"/>
        <w:ind w:left="380"/>
      </w:pPr>
      <w:r>
        <w:rPr>
          <w:b w:val="false"/>
          <w:bCs w:val="false"/>
          <w:color w:val="3A3A3A"/>
          <w:sz w:val="20"/>
          <w:szCs w:val="20"/>
        </w:rPr>
        <w:t xml:space="preserve">4.2  Chemistry</w:t>
      </w:r>
      <w:r>
        <w:rPr>
          <w:sz w:val="20"/>
          <w:szCs w:val="20"/>
        </w:rPr>
        <w:tab/>
      </w:r>
      <w:r>
        <w:rPr>
          <w:b w:val="false"/>
          <w:bCs w:val="false"/>
          <w:color w:val="3A3A3A"/>
          <w:sz w:val="20"/>
          <w:szCs w:val="20"/>
        </w:rPr>
        <w:t xml:space="preserve">4</w:t>
      </w:r>
    </w:p>
    <w:p>
      <w:pPr>
        <w:tabs>
          <w:tab w:val="right" w:pos="9740" w:leader="dot"/>
        </w:tabs>
        <w:spacing w:after="40" w:before="0" w:line="264"/>
        <w:ind w:left="380"/>
      </w:pPr>
      <w:r>
        <w:rPr>
          <w:b w:val="false"/>
          <w:bCs w:val="false"/>
          <w:color w:val="3A3A3A"/>
          <w:sz w:val="20"/>
          <w:szCs w:val="20"/>
        </w:rPr>
        <w:t xml:space="preserve">4.3  Offshore benthic</w:t>
      </w:r>
      <w:r>
        <w:rPr>
          <w:sz w:val="20"/>
          <w:szCs w:val="20"/>
        </w:rPr>
        <w:tab/>
      </w:r>
      <w:r>
        <w:rPr>
          <w:b w:val="false"/>
          <w:bCs w:val="false"/>
          <w:color w:val="3A3A3A"/>
          <w:sz w:val="20"/>
          <w:szCs w:val="20"/>
        </w:rPr>
        <w:t xml:space="preserve">5</w:t>
      </w:r>
    </w:p>
    <w:p>
      <w:pPr>
        <w:tabs>
          <w:tab w:val="right" w:pos="9740" w:leader="dot"/>
        </w:tabs>
        <w:spacing w:after="40" w:before="0" w:line="264"/>
        <w:ind w:left="380"/>
      </w:pPr>
      <w:r>
        <w:rPr>
          <w:b w:val="false"/>
          <w:bCs w:val="false"/>
          <w:color w:val="3A3A3A"/>
          <w:sz w:val="20"/>
          <w:szCs w:val="20"/>
        </w:rPr>
        <w:t xml:space="preserve">4.4  Toxicity</w:t>
      </w:r>
      <w:r>
        <w:rPr>
          <w:sz w:val="20"/>
          <w:szCs w:val="20"/>
        </w:rPr>
        <w:tab/>
      </w:r>
      <w:r>
        <w:rPr>
          <w:b w:val="false"/>
          <w:bCs w:val="false"/>
          <w:color w:val="3A3A3A"/>
          <w:sz w:val="20"/>
          <w:szCs w:val="20"/>
        </w:rPr>
        <w:t xml:space="preserve">5</w:t>
      </w:r>
    </w:p>
    <w:p>
      <w:pPr>
        <w:tabs>
          <w:tab w:val="right" w:pos="9740" w:leader="dot"/>
        </w:tabs>
        <w:spacing w:after="70" w:before="40" w:line="264"/>
        <w:ind w:left="0"/>
      </w:pPr>
      <w:r>
        <w:rPr>
          <w:b/>
          <w:bCs/>
          <w:color w:val="1F3864"/>
          <w:sz w:val="21"/>
          <w:szCs w:val="21"/>
        </w:rPr>
        <w:t xml:space="preserve">5.  Benthic Line of Evidence</w:t>
      </w:r>
      <w:r>
        <w:rPr>
          <w:sz w:val="21"/>
          <w:szCs w:val="21"/>
        </w:rPr>
        <w:tab/>
      </w:r>
      <w:r>
        <w:rPr>
          <w:b/>
          <w:bCs/>
          <w:color w:val="1F3864"/>
          <w:sz w:val="21"/>
          <w:szCs w:val="21"/>
        </w:rPr>
        <w:t xml:space="preserve">6</w:t>
      </w:r>
    </w:p>
    <w:p>
      <w:pPr>
        <w:tabs>
          <w:tab w:val="right" w:pos="9740" w:leader="dot"/>
        </w:tabs>
        <w:spacing w:after="40" w:before="0" w:line="264"/>
        <w:ind w:left="380"/>
      </w:pPr>
      <w:r>
        <w:rPr>
          <w:b w:val="false"/>
          <w:bCs w:val="false"/>
          <w:color w:val="3A3A3A"/>
          <w:sz w:val="20"/>
          <w:szCs w:val="20"/>
        </w:rPr>
        <w:t xml:space="preserve">5.1  Expert &amp; committee decisions (Benthic)</w:t>
      </w:r>
      <w:r>
        <w:rPr>
          <w:sz w:val="20"/>
          <w:szCs w:val="20"/>
        </w:rPr>
        <w:tab/>
      </w:r>
      <w:r>
        <w:rPr>
          <w:b w:val="false"/>
          <w:bCs w:val="false"/>
          <w:color w:val="3A3A3A"/>
          <w:sz w:val="20"/>
          <w:szCs w:val="20"/>
        </w:rPr>
        <w:t xml:space="preserve">6</w:t>
      </w:r>
    </w:p>
    <w:p>
      <w:pPr>
        <w:tabs>
          <w:tab w:val="right" w:pos="9740" w:leader="dot"/>
        </w:tabs>
        <w:spacing w:after="70" w:before="40" w:line="264"/>
        <w:ind w:left="0"/>
      </w:pPr>
      <w:r>
        <w:rPr>
          <w:b/>
          <w:bCs/>
          <w:color w:val="1F3864"/>
          <w:sz w:val="21"/>
          <w:szCs w:val="21"/>
        </w:rPr>
        <w:t xml:space="preserve">6.  Chemistry Line of Evidence</w:t>
      </w:r>
      <w:r>
        <w:rPr>
          <w:sz w:val="21"/>
          <w:szCs w:val="21"/>
        </w:rPr>
        <w:tab/>
      </w:r>
      <w:r>
        <w:rPr>
          <w:b/>
          <w:bCs/>
          <w:color w:val="1F3864"/>
          <w:sz w:val="21"/>
          <w:szCs w:val="21"/>
        </w:rPr>
        <w:t xml:space="preserve">8</w:t>
      </w:r>
    </w:p>
    <w:p>
      <w:pPr>
        <w:tabs>
          <w:tab w:val="right" w:pos="9740" w:leader="dot"/>
        </w:tabs>
        <w:spacing w:after="40" w:before="0" w:line="264"/>
        <w:ind w:left="380"/>
      </w:pPr>
      <w:r>
        <w:rPr>
          <w:b w:val="false"/>
          <w:bCs w:val="false"/>
          <w:color w:val="3A3A3A"/>
          <w:sz w:val="20"/>
          <w:szCs w:val="20"/>
        </w:rPr>
        <w:t xml:space="preserve">6.1  Expert decisions (Chemistry)</w:t>
      </w:r>
      <w:r>
        <w:rPr>
          <w:sz w:val="20"/>
          <w:szCs w:val="20"/>
        </w:rPr>
        <w:tab/>
      </w:r>
      <w:r>
        <w:rPr>
          <w:b w:val="false"/>
          <w:bCs w:val="false"/>
          <w:color w:val="3A3A3A"/>
          <w:sz w:val="20"/>
          <w:szCs w:val="20"/>
        </w:rPr>
        <w:t xml:space="preserve">8</w:t>
      </w:r>
    </w:p>
    <w:p>
      <w:pPr>
        <w:tabs>
          <w:tab w:val="right" w:pos="9740" w:leader="dot"/>
        </w:tabs>
        <w:spacing w:after="70" w:before="40" w:line="264"/>
        <w:ind w:left="0"/>
      </w:pPr>
      <w:r>
        <w:rPr>
          <w:b/>
          <w:bCs/>
          <w:color w:val="1F3864"/>
          <w:sz w:val="21"/>
          <w:szCs w:val="21"/>
        </w:rPr>
        <w:t xml:space="preserve">7.  Toxicity Line of Evidence</w:t>
      </w:r>
      <w:r>
        <w:rPr>
          <w:sz w:val="21"/>
          <w:szCs w:val="21"/>
        </w:rPr>
        <w:tab/>
      </w:r>
      <w:r>
        <w:rPr>
          <w:b/>
          <w:bCs/>
          <w:color w:val="1F3864"/>
          <w:sz w:val="21"/>
          <w:szCs w:val="21"/>
        </w:rPr>
        <w:t xml:space="preserve">10</w:t>
      </w:r>
    </w:p>
    <w:p>
      <w:pPr>
        <w:tabs>
          <w:tab w:val="right" w:pos="9740" w:leader="dot"/>
        </w:tabs>
        <w:spacing w:after="40" w:before="0" w:line="264"/>
        <w:ind w:left="380"/>
      </w:pPr>
      <w:r>
        <w:rPr>
          <w:b w:val="false"/>
          <w:bCs w:val="false"/>
          <w:color w:val="3A3A3A"/>
          <w:sz w:val="20"/>
          <w:szCs w:val="20"/>
        </w:rPr>
        <w:t xml:space="preserve">7.1  Expert decisions (Toxicity)</w:t>
      </w:r>
      <w:r>
        <w:rPr>
          <w:sz w:val="20"/>
          <w:szCs w:val="20"/>
        </w:rPr>
        <w:tab/>
      </w:r>
      <w:r>
        <w:rPr>
          <w:b w:val="false"/>
          <w:bCs w:val="false"/>
          <w:color w:val="3A3A3A"/>
          <w:sz w:val="20"/>
          <w:szCs w:val="20"/>
        </w:rPr>
        <w:t xml:space="preserve">10</w:t>
      </w:r>
    </w:p>
    <w:p>
      <w:pPr>
        <w:tabs>
          <w:tab w:val="right" w:pos="9740" w:leader="dot"/>
        </w:tabs>
        <w:spacing w:after="70" w:before="40" w:line="264"/>
        <w:ind w:left="0"/>
      </w:pPr>
      <w:r>
        <w:rPr>
          <w:b/>
          <w:bCs/>
          <w:color w:val="1F3864"/>
          <w:sz w:val="21"/>
          <w:szCs w:val="21"/>
        </w:rPr>
        <w:t xml:space="preserve">8.  Integrated Site Assessment</w:t>
      </w:r>
      <w:r>
        <w:rPr>
          <w:sz w:val="21"/>
          <w:szCs w:val="21"/>
        </w:rPr>
        <w:tab/>
      </w:r>
      <w:r>
        <w:rPr>
          <w:b/>
          <w:bCs/>
          <w:color w:val="1F3864"/>
          <w:sz w:val="21"/>
          <w:szCs w:val="21"/>
        </w:rPr>
        <w:t xml:space="preserve">12</w:t>
      </w:r>
    </w:p>
    <w:p>
      <w:pPr>
        <w:tabs>
          <w:tab w:val="right" w:pos="9740" w:leader="dot"/>
        </w:tabs>
        <w:spacing w:after="40" w:before="0" w:line="264"/>
        <w:ind w:left="380"/>
      </w:pPr>
      <w:r>
        <w:rPr>
          <w:b w:val="false"/>
          <w:bCs w:val="false"/>
          <w:color w:val="3A3A3A"/>
          <w:sz w:val="20"/>
          <w:szCs w:val="20"/>
        </w:rPr>
        <w:t xml:space="preserve">8.1  Decisions in the integration logic</w:t>
      </w:r>
      <w:r>
        <w:rPr>
          <w:sz w:val="20"/>
          <w:szCs w:val="20"/>
        </w:rPr>
        <w:tab/>
      </w:r>
      <w:r>
        <w:rPr>
          <w:b w:val="false"/>
          <w:bCs w:val="false"/>
          <w:color w:val="3A3A3A"/>
          <w:sz w:val="20"/>
          <w:szCs w:val="20"/>
        </w:rPr>
        <w:t xml:space="preserve">12</w:t>
      </w:r>
    </w:p>
    <w:p>
      <w:pPr>
        <w:tabs>
          <w:tab w:val="right" w:pos="9740" w:leader="dot"/>
        </w:tabs>
        <w:spacing w:after="70" w:before="40" w:line="264"/>
        <w:ind w:left="0"/>
      </w:pPr>
      <w:r>
        <w:rPr>
          <w:b/>
          <w:bCs/>
          <w:color w:val="1F3864"/>
          <w:sz w:val="21"/>
          <w:szCs w:val="21"/>
        </w:rPr>
        <w:t xml:space="preserve">9.  Example Workflow</w:t>
      </w:r>
      <w:r>
        <w:rPr>
          <w:sz w:val="21"/>
          <w:szCs w:val="21"/>
        </w:rPr>
        <w:tab/>
      </w:r>
      <w:r>
        <w:rPr>
          <w:b/>
          <w:bCs/>
          <w:color w:val="1F3864"/>
          <w:sz w:val="21"/>
          <w:szCs w:val="21"/>
        </w:rPr>
        <w:t xml:space="preserve">12</w:t>
      </w:r>
    </w:p>
    <w:p>
      <w:pPr>
        <w:tabs>
          <w:tab w:val="right" w:pos="9740" w:leader="dot"/>
        </w:tabs>
        <w:spacing w:after="70" w:before="40" w:line="264"/>
        <w:ind w:left="0"/>
      </w:pPr>
      <w:r>
        <w:rPr>
          <w:b/>
          <w:bCs/>
          <w:color w:val="1F3864"/>
          <w:sz w:val="21"/>
          <w:szCs w:val="21"/>
        </w:rPr>
        <w:t xml:space="preserve">10.  Bundled Example Datasets</w:t>
      </w:r>
      <w:r>
        <w:rPr>
          <w:sz w:val="21"/>
          <w:szCs w:val="21"/>
        </w:rPr>
        <w:tab/>
      </w:r>
      <w:r>
        <w:rPr>
          <w:b/>
          <w:bCs/>
          <w:color w:val="1F3864"/>
          <w:sz w:val="21"/>
          <w:szCs w:val="21"/>
        </w:rPr>
        <w:t xml:space="preserve">12</w:t>
      </w:r>
    </w:p>
    <w:p>
      <w:pPr>
        <w:tabs>
          <w:tab w:val="right" w:pos="9740" w:leader="dot"/>
        </w:tabs>
        <w:spacing w:after="70" w:before="40" w:line="264"/>
        <w:ind w:left="0"/>
      </w:pPr>
      <w:r>
        <w:rPr>
          <w:b/>
          <w:bCs/>
          <w:color w:val="1F3864"/>
          <w:sz w:val="21"/>
          <w:szCs w:val="21"/>
        </w:rPr>
        <w:t xml:space="preserve">11.  The Auditing Log</w:t>
      </w:r>
      <w:r>
        <w:rPr>
          <w:sz w:val="21"/>
          <w:szCs w:val="21"/>
        </w:rPr>
        <w:tab/>
      </w:r>
      <w:r>
        <w:rPr>
          <w:b/>
          <w:bCs/>
          <w:color w:val="1F3864"/>
          <w:sz w:val="21"/>
          <w:szCs w:val="21"/>
        </w:rPr>
        <w:t xml:space="preserve">13</w:t>
      </w:r>
    </w:p>
    <w:p>
      <w:pPr>
        <w:tabs>
          <w:tab w:val="right" w:pos="9740" w:leader="dot"/>
        </w:tabs>
        <w:spacing w:after="70" w:before="40" w:line="264"/>
        <w:ind w:left="0"/>
      </w:pPr>
      <w:r>
        <w:rPr>
          <w:b/>
          <w:bCs/>
          <w:color w:val="1F3864"/>
          <w:sz w:val="21"/>
          <w:szCs w:val="21"/>
        </w:rPr>
        <w:t xml:space="preserve">12.  Getting Help &amp; Contributing</w:t>
      </w:r>
      <w:r>
        <w:rPr>
          <w:sz w:val="21"/>
          <w:szCs w:val="21"/>
        </w:rPr>
        <w:tab/>
      </w:r>
      <w:r>
        <w:rPr>
          <w:b/>
          <w:bCs/>
          <w:color w:val="1F3864"/>
          <w:sz w:val="21"/>
          <w:szCs w:val="21"/>
        </w:rPr>
        <w:t xml:space="preserve">13</w:t>
      </w:r>
    </w:p>
    <w:p>
      <w:r>
        <w:br w:type="page"/>
      </w:r>
    </w:p>
    <w:p>
      <w:pPr>
        <w:pStyle w:val="Heading1"/>
        <w:spacing w:after="140" w:before="320"/>
      </w:pPr>
      <w:r>
        <w:t xml:space="preserve">1. Overview</w:t>
      </w:r>
    </w:p>
    <w:p>
      <w:pPr>
        <w:spacing w:after="140" w:line="276"/>
      </w:pPr>
      <w:r>
        <w:t xml:space="preserve">The </w:t>
      </w:r>
      <w:r>
        <w:rPr>
          <w:rFonts w:ascii="Consolas" w:cs="Consolas" w:eastAsia="Consolas" w:hAnsi="Consolas"/>
          <w:sz w:val="19"/>
          <w:szCs w:val="19"/>
        </w:rPr>
        <w:t xml:space="preserve">SQOUnified</w:t>
      </w:r>
      <w:r>
        <w:t xml:space="preserve"> R package calculates sediment quality assessments from up to three independent </w:t>
      </w:r>
      <w:r>
        <w:rPr>
          <w:b/>
          <w:bCs/>
        </w:rPr>
        <w:t xml:space="preserve">lines of evidence (LOE)</w:t>
      </w:r>
      <w:r>
        <w:t xml:space="preserve"> — benthic community condition, sediment chemistry, and sediment toxicity — and integrates them into a single overall site assessment. It implements the methods described in the </w:t>
      </w:r>
      <w:r>
        <w:rPr>
          <w:b/>
          <w:bCs/>
        </w:rPr>
        <w:t xml:space="preserve">California Sediment Quality Objectives (CASQO) Technical Manual</w:t>
      </w:r>
      <w:r>
        <w:t xml:space="preserve"> (Bay et al., 3rd Edition, June 2021).</w:t>
      </w:r>
    </w:p>
    <w:p>
      <w:pPr>
        <w:spacing w:after="140" w:line="276"/>
      </w:pPr>
      <w:r>
        <w:rPr>
          <w:b/>
          <w:bCs/>
        </w:rPr>
        <w:t xml:space="preserve">The CASQO Technical Manual is the governing standard for all scoring and category decisions in this package. </w:t>
      </w:r>
      <w:r>
        <w:t xml:space="preserve">The manual is cited throughout the source code (by page number) so that every threshold and formula is traceable back to it.</w:t>
      </w:r>
    </w:p>
    <w:p>
      <w:pPr>
        <w:spacing w:after="140" w:line="276"/>
      </w:pPr>
      <w:r>
        <w:t xml:space="preserve">A small number of decisions, however, are </w:t>
      </w:r>
      <w:r>
        <w:rPr>
          <w:b/>
          <w:bCs/>
        </w:rPr>
        <w:t xml:space="preserve">not</w:t>
      </w:r>
      <w:r>
        <w:t xml:space="preserve"> specified in the manual — mostly about how to handle edge cases and imperfect data (missing detection limits, replicate selection, rounding, missing tests). In those cases the choice was made by subject-matter experts at SCCWRP, and the source code records who made each call and when. This guide documents those decisions explicitly, in an </w:t>
      </w:r>
      <w:r>
        <w:rPr>
          <w:b/>
          <w:bCs/>
        </w:rPr>
        <w:t xml:space="preserve">Expert Decisions</w:t>
      </w:r>
      <w:r>
        <w:t xml:space="preserve"> subsection within each line-of-evidence section, so the reasoning behind the numbers is transparent and attributable.</w:t>
      </w:r>
    </w:p>
    <w:p>
      <w:pPr>
        <w:pStyle w:val="Heading2"/>
        <w:spacing w:after="100" w:before="240"/>
      </w:pPr>
      <w:r>
        <w:t xml:space="preserve">1.1 The three lines of evidence</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2600"/>
        <w:gridCol w:w="4300"/>
        <w:gridCol w:w="2300"/>
      </w:tblGrid>
      <w:tr>
        <w:trPr>
          <w:tblHeader/>
        </w:trPr>
        <w:tc>
          <w:tcPr>
            <w:tcW w:type="dxa" w:w="2600"/>
            <w:shd w:fill="2E5A88" w:color="auto" w:val="clear"/>
            <w:tcMar>
              <w:top w:type="dxa" w:w="40"/>
              <w:left w:type="dxa" w:w="90"/>
              <w:bottom w:type="dxa" w:w="40"/>
              <w:right w:type="dxa" w:w="90"/>
            </w:tcMar>
          </w:tcPr>
          <w:p>
            <w:pPr>
              <w:spacing w:after="20"/>
            </w:pPr>
            <w:r>
              <w:rPr>
                <w:b/>
                <w:bCs/>
                <w:color w:val="FFFFFF"/>
                <w:sz w:val="19"/>
                <w:szCs w:val="19"/>
              </w:rPr>
              <w:t xml:space="preserve">Line of evidence</w:t>
            </w:r>
          </w:p>
        </w:tc>
        <w:tc>
          <w:tcPr>
            <w:tcW w:type="dxa" w:w="4300"/>
            <w:shd w:fill="2E5A88" w:color="auto" w:val="clear"/>
            <w:tcMar>
              <w:top w:type="dxa" w:w="40"/>
              <w:left w:type="dxa" w:w="90"/>
              <w:bottom w:type="dxa" w:w="40"/>
              <w:right w:type="dxa" w:w="90"/>
            </w:tcMar>
          </w:tcPr>
          <w:p>
            <w:pPr>
              <w:spacing w:after="20"/>
            </w:pPr>
            <w:r>
              <w:rPr>
                <w:b/>
                <w:bCs/>
                <w:color w:val="FFFFFF"/>
                <w:sz w:val="19"/>
                <w:szCs w:val="19"/>
              </w:rPr>
              <w:t xml:space="preserve">What it measures</w:t>
            </w:r>
          </w:p>
        </w:tc>
        <w:tc>
          <w:tcPr>
            <w:tcW w:type="dxa" w:w="2300"/>
            <w:shd w:fill="2E5A88" w:color="auto" w:val="clear"/>
            <w:tcMar>
              <w:top w:type="dxa" w:w="40"/>
              <w:left w:type="dxa" w:w="90"/>
              <w:bottom w:type="dxa" w:w="40"/>
              <w:right w:type="dxa" w:w="90"/>
            </w:tcMar>
          </w:tcPr>
          <w:p>
            <w:pPr>
              <w:spacing w:after="20"/>
            </w:pPr>
            <w:r>
              <w:rPr>
                <w:b/>
                <w:bCs/>
                <w:color w:val="FFFFFF"/>
                <w:sz w:val="19"/>
                <w:szCs w:val="19"/>
              </w:rPr>
              <w:t xml:space="preserve">Main function(s)</w:t>
            </w:r>
          </w:p>
        </w:tc>
      </w:tr>
      <w:tr>
        <w:tc>
          <w:tcPr>
            <w:tcW w:type="dxa" w:w="2600"/>
            <w:shd w:fill="FFFFFF" w:color="auto" w:val="clear"/>
            <w:tcMar>
              <w:top w:type="dxa" w:w="40"/>
              <w:left w:type="dxa" w:w="90"/>
              <w:bottom w:type="dxa" w:w="40"/>
              <w:right w:type="dxa" w:w="90"/>
            </w:tcMar>
          </w:tcPr>
          <w:p>
            <w:pPr>
              <w:spacing w:after="20"/>
            </w:pPr>
            <w:r>
              <w:rPr>
                <w:b w:val="false"/>
                <w:bCs w:val="false"/>
                <w:color w:val="000000"/>
                <w:sz w:val="19"/>
                <w:szCs w:val="19"/>
              </w:rPr>
              <w:t xml:space="preserve">Benthic (bay/estuary)</w:t>
            </w:r>
          </w:p>
        </w:tc>
        <w:tc>
          <w:tcPr>
            <w:tcW w:type="dxa" w:w="4300"/>
            <w:shd w:fill="FFFFFF" w:color="auto" w:val="clear"/>
            <w:tcMar>
              <w:top w:type="dxa" w:w="40"/>
              <w:left w:type="dxa" w:w="90"/>
              <w:bottom w:type="dxa" w:w="40"/>
              <w:right w:type="dxa" w:w="90"/>
            </w:tcMar>
          </w:tcPr>
          <w:p>
            <w:pPr>
              <w:spacing w:after="20"/>
            </w:pPr>
            <w:r>
              <w:rPr>
                <w:b w:val="false"/>
                <w:bCs w:val="false"/>
                <w:color w:val="000000"/>
                <w:sz w:val="19"/>
                <w:szCs w:val="19"/>
              </w:rPr>
              <w:t xml:space="preserve">Infaunal community condition via four SQO indices (BRI, RBI, IBI, RIVPACS) plus M-AMBI</w:t>
            </w:r>
          </w:p>
        </w:tc>
        <w:tc>
          <w:tcPr>
            <w:tcW w:type="dxa" w:w="2300"/>
            <w:shd w:fill="FFFFFF" w:color="auto" w:val="clear"/>
            <w:tcMar>
              <w:top w:type="dxa" w:w="40"/>
              <w:left w:type="dxa" w:w="90"/>
              <w:bottom w:type="dxa" w:w="40"/>
              <w:right w:type="dxa" w:w="90"/>
            </w:tcMar>
          </w:tcPr>
          <w:p>
            <w:pPr>
              <w:spacing w:after="20"/>
            </w:pPr>
            <w:r>
              <w:rPr>
                <w:b w:val="false"/>
                <w:bCs w:val="false"/>
                <w:color w:val="000000"/>
                <w:sz w:val="19"/>
                <w:szCs w:val="19"/>
              </w:rPr>
              <w:t xml:space="preserve">benthic.sqo</w:t>
            </w:r>
          </w:p>
        </w:tc>
      </w:tr>
      <w:tr>
        <w:tc>
          <w:tcPr>
            <w:tcW w:type="dxa" w:w="2600"/>
            <w:shd w:fill="EAF0F7" w:color="auto" w:val="clear"/>
            <w:tcMar>
              <w:top w:type="dxa" w:w="40"/>
              <w:left w:type="dxa" w:w="90"/>
              <w:bottom w:type="dxa" w:w="40"/>
              <w:right w:type="dxa" w:w="90"/>
            </w:tcMar>
          </w:tcPr>
          <w:p>
            <w:pPr>
              <w:spacing w:after="20"/>
            </w:pPr>
            <w:r>
              <w:rPr>
                <w:b w:val="false"/>
                <w:bCs w:val="false"/>
                <w:color w:val="000000"/>
                <w:sz w:val="19"/>
                <w:szCs w:val="19"/>
              </w:rPr>
              <w:t xml:space="preserve">Benthic (offshore/shelf)</w:t>
            </w:r>
          </w:p>
        </w:tc>
        <w:tc>
          <w:tcPr>
            <w:tcW w:type="dxa" w:w="4300"/>
            <w:shd w:fill="EAF0F7" w:color="auto" w:val="clear"/>
            <w:tcMar>
              <w:top w:type="dxa" w:w="40"/>
              <w:left w:type="dxa" w:w="90"/>
              <w:bottom w:type="dxa" w:w="40"/>
              <w:right w:type="dxa" w:w="90"/>
            </w:tcMar>
          </w:tcPr>
          <w:p>
            <w:pPr>
              <w:spacing w:after="20"/>
            </w:pPr>
            <w:r>
              <w:rPr>
                <w:b w:val="false"/>
                <w:bCs w:val="false"/>
                <w:color w:val="000000"/>
                <w:sz w:val="19"/>
                <w:szCs w:val="19"/>
              </w:rPr>
              <w:t xml:space="preserve">Offshore Benthic Response Index with depth-zone tolerance values</w:t>
            </w:r>
          </w:p>
        </w:tc>
        <w:tc>
          <w:tcPr>
            <w:tcW w:type="dxa" w:w="2300"/>
            <w:shd w:fill="EAF0F7" w:color="auto" w:val="clear"/>
            <w:tcMar>
              <w:top w:type="dxa" w:w="40"/>
              <w:left w:type="dxa" w:w="90"/>
              <w:bottom w:type="dxa" w:w="40"/>
              <w:right w:type="dxa" w:w="90"/>
            </w:tcMar>
          </w:tcPr>
          <w:p>
            <w:pPr>
              <w:spacing w:after="20"/>
            </w:pPr>
            <w:r>
              <w:rPr>
                <w:b w:val="false"/>
                <w:bCs w:val="false"/>
                <w:color w:val="000000"/>
                <w:sz w:val="19"/>
                <w:szCs w:val="19"/>
              </w:rPr>
              <w:t xml:space="preserve">BRI.Offshore</w:t>
            </w:r>
          </w:p>
        </w:tc>
      </w:tr>
      <w:tr>
        <w:tc>
          <w:tcPr>
            <w:tcW w:type="dxa" w:w="2600"/>
            <w:shd w:fill="FFFFFF" w:color="auto" w:val="clear"/>
            <w:tcMar>
              <w:top w:type="dxa" w:w="40"/>
              <w:left w:type="dxa" w:w="90"/>
              <w:bottom w:type="dxa" w:w="40"/>
              <w:right w:type="dxa" w:w="90"/>
            </w:tcMar>
          </w:tcPr>
          <w:p>
            <w:pPr>
              <w:spacing w:after="20"/>
            </w:pPr>
            <w:r>
              <w:rPr>
                <w:b w:val="false"/>
                <w:bCs w:val="false"/>
                <w:color w:val="000000"/>
                <w:sz w:val="19"/>
                <w:szCs w:val="19"/>
              </w:rPr>
              <w:t xml:space="preserve">Chemistry</w:t>
            </w:r>
          </w:p>
        </w:tc>
        <w:tc>
          <w:tcPr>
            <w:tcW w:type="dxa" w:w="4300"/>
            <w:shd w:fill="FFFFFF" w:color="auto" w:val="clear"/>
            <w:tcMar>
              <w:top w:type="dxa" w:w="40"/>
              <w:left w:type="dxa" w:w="90"/>
              <w:bottom w:type="dxa" w:w="40"/>
              <w:right w:type="dxa" w:w="90"/>
            </w:tcMar>
          </w:tcPr>
          <w:p>
            <w:pPr>
              <w:spacing w:after="20"/>
            </w:pPr>
            <w:r>
              <w:rPr>
                <w:b w:val="false"/>
                <w:bCs w:val="false"/>
                <w:color w:val="000000"/>
                <w:sz w:val="19"/>
                <w:szCs w:val="19"/>
              </w:rPr>
              <w:t xml:space="preserve">Contaminant exposure via two models: CSI and LRM</w:t>
            </w:r>
          </w:p>
        </w:tc>
        <w:tc>
          <w:tcPr>
            <w:tcW w:type="dxa" w:w="2300"/>
            <w:shd w:fill="FFFFFF" w:color="auto" w:val="clear"/>
            <w:tcMar>
              <w:top w:type="dxa" w:w="40"/>
              <w:left w:type="dxa" w:w="90"/>
              <w:bottom w:type="dxa" w:w="40"/>
              <w:right w:type="dxa" w:w="90"/>
            </w:tcMar>
          </w:tcPr>
          <w:p>
            <w:pPr>
              <w:spacing w:after="20"/>
            </w:pPr>
            <w:r>
              <w:rPr>
                <w:b w:val="false"/>
                <w:bCs w:val="false"/>
                <w:color w:val="000000"/>
                <w:sz w:val="19"/>
                <w:szCs w:val="19"/>
              </w:rPr>
              <w:t xml:space="preserve">chem.sqo, CSI, LRM</w:t>
            </w:r>
          </w:p>
        </w:tc>
      </w:tr>
      <w:tr>
        <w:tc>
          <w:tcPr>
            <w:tcW w:type="dxa" w:w="2600"/>
            <w:shd w:fill="EAF0F7" w:color="auto" w:val="clear"/>
            <w:tcMar>
              <w:top w:type="dxa" w:w="40"/>
              <w:left w:type="dxa" w:w="90"/>
              <w:bottom w:type="dxa" w:w="40"/>
              <w:right w:type="dxa" w:w="90"/>
            </w:tcMar>
          </w:tcPr>
          <w:p>
            <w:pPr>
              <w:spacing w:after="20"/>
            </w:pPr>
            <w:r>
              <w:rPr>
                <w:b w:val="false"/>
                <w:bCs w:val="false"/>
                <w:color w:val="000000"/>
                <w:sz w:val="19"/>
                <w:szCs w:val="19"/>
              </w:rPr>
              <w:t xml:space="preserve">Toxicity</w:t>
            </w:r>
          </w:p>
        </w:tc>
        <w:tc>
          <w:tcPr>
            <w:tcW w:type="dxa" w:w="4300"/>
            <w:shd w:fill="EAF0F7" w:color="auto" w:val="clear"/>
            <w:tcMar>
              <w:top w:type="dxa" w:w="40"/>
              <w:left w:type="dxa" w:w="90"/>
              <w:bottom w:type="dxa" w:w="40"/>
              <w:right w:type="dxa" w:w="90"/>
            </w:tcMar>
          </w:tcPr>
          <w:p>
            <w:pPr>
              <w:spacing w:after="20"/>
            </w:pPr>
            <w:r>
              <w:rPr>
                <w:b w:val="false"/>
                <w:bCs w:val="false"/>
                <w:color w:val="000000"/>
                <w:sz w:val="19"/>
                <w:szCs w:val="19"/>
              </w:rPr>
              <w:t xml:space="preserve">Sediment toxicity test results vs. controls</w:t>
            </w:r>
          </w:p>
        </w:tc>
        <w:tc>
          <w:tcPr>
            <w:tcW w:type="dxa" w:w="2300"/>
            <w:shd w:fill="EAF0F7" w:color="auto" w:val="clear"/>
            <w:tcMar>
              <w:top w:type="dxa" w:w="40"/>
              <w:left w:type="dxa" w:w="90"/>
              <w:bottom w:type="dxa" w:w="40"/>
              <w:right w:type="dxa" w:w="90"/>
            </w:tcMar>
          </w:tcPr>
          <w:p>
            <w:pPr>
              <w:spacing w:after="20"/>
            </w:pPr>
            <w:r>
              <w:rPr>
                <w:b w:val="false"/>
                <w:bCs w:val="false"/>
                <w:color w:val="000000"/>
                <w:sz w:val="19"/>
                <w:szCs w:val="19"/>
              </w:rPr>
              <w:t xml:space="preserve">tox.sqo, tox.summary</w:t>
            </w:r>
          </w:p>
        </w:tc>
      </w:tr>
      <w:tr>
        <w:tc>
          <w:tcPr>
            <w:tcW w:type="dxa" w:w="2600"/>
            <w:shd w:fill="FFFFFF" w:color="auto" w:val="clear"/>
            <w:tcMar>
              <w:top w:type="dxa" w:w="40"/>
              <w:left w:type="dxa" w:w="90"/>
              <w:bottom w:type="dxa" w:w="40"/>
              <w:right w:type="dxa" w:w="90"/>
            </w:tcMar>
          </w:tcPr>
          <w:p>
            <w:pPr>
              <w:spacing w:after="20"/>
            </w:pPr>
            <w:r>
              <w:rPr>
                <w:b w:val="false"/>
                <w:bCs w:val="false"/>
                <w:color w:val="000000"/>
                <w:sz w:val="19"/>
                <w:szCs w:val="19"/>
              </w:rPr>
              <w:t xml:space="preserve">Integrated</w:t>
            </w:r>
          </w:p>
        </w:tc>
        <w:tc>
          <w:tcPr>
            <w:tcW w:type="dxa" w:w="4300"/>
            <w:shd w:fill="FFFFFF" w:color="auto" w:val="clear"/>
            <w:tcMar>
              <w:top w:type="dxa" w:w="40"/>
              <w:left w:type="dxa" w:w="90"/>
              <w:bottom w:type="dxa" w:w="40"/>
              <w:right w:type="dxa" w:w="90"/>
            </w:tcMar>
          </w:tcPr>
          <w:p>
            <w:pPr>
              <w:spacing w:after="20"/>
            </w:pPr>
            <w:r>
              <w:rPr>
                <w:b w:val="false"/>
                <w:bCs w:val="false"/>
                <w:color w:val="000000"/>
                <w:sz w:val="19"/>
                <w:szCs w:val="19"/>
              </w:rPr>
              <w:t xml:space="preserve">Combines the Benthic, Chemistry, and Toxicity categories into one site assessment</w:t>
            </w:r>
          </w:p>
        </w:tc>
        <w:tc>
          <w:tcPr>
            <w:tcW w:type="dxa" w:w="2300"/>
            <w:shd w:fill="FFFFFF" w:color="auto" w:val="clear"/>
            <w:tcMar>
              <w:top w:type="dxa" w:w="40"/>
              <w:left w:type="dxa" w:w="90"/>
              <w:bottom w:type="dxa" w:w="40"/>
              <w:right w:type="dxa" w:w="90"/>
            </w:tcMar>
          </w:tcPr>
          <w:p>
            <w:pPr>
              <w:spacing w:after="20"/>
            </w:pPr>
            <w:r>
              <w:rPr>
                <w:b w:val="false"/>
                <w:bCs w:val="false"/>
                <w:color w:val="000000"/>
                <w:sz w:val="19"/>
                <w:szCs w:val="19"/>
              </w:rPr>
              <w:t xml:space="preserve">SQOUnified</w:t>
            </w:r>
          </w:p>
        </w:tc>
      </w:tr>
    </w:tbl>
    <w:p>
      <w:pPr>
        <w:pStyle w:val="Heading2"/>
        <w:spacing w:after="100" w:before="240"/>
      </w:pPr>
      <w:r>
        <w:t xml:space="preserve">1.2 A note on the experts named in this guide</w:t>
      </w:r>
    </w:p>
    <w:p>
      <w:pPr>
        <w:spacing w:after="140" w:line="276"/>
      </w:pPr>
      <w:r>
        <w:t xml:space="preserve">The attributed decisions below come directly from comments in the package source code. The SCCWRP experts named are </w:t>
      </w:r>
      <w:r>
        <w:rPr>
          <w:b/>
          <w:bCs/>
        </w:rPr>
        <w:t xml:space="preserve">David Gillett</w:t>
      </w:r>
      <w:r>
        <w:t xml:space="preserve">, </w:t>
      </w:r>
      <w:r>
        <w:rPr>
          <w:b/>
          <w:bCs/>
        </w:rPr>
        <w:t xml:space="preserve">Darrin Greenstein</w:t>
      </w:r>
      <w:r>
        <w:t xml:space="preserve">, </w:t>
      </w:r>
      <w:r>
        <w:rPr>
          <w:b/>
          <w:bCs/>
        </w:rPr>
        <w:t xml:space="preserve">Charles Wong</w:t>
      </w:r>
      <w:r>
        <w:t xml:space="preserve">, and </w:t>
      </w:r>
      <w:r>
        <w:rPr>
          <w:b/>
          <w:bCs/>
        </w:rPr>
        <w:t xml:space="preserve">Ken Schiff</w:t>
      </w:r>
      <w:r>
        <w:t xml:space="preserve">; several benthic-index choices were made collectively by the </w:t>
      </w:r>
      <w:r>
        <w:rPr>
          <w:b/>
          <w:bCs/>
        </w:rPr>
        <w:t xml:space="preserve">Bight 23 index code subcommittee</w:t>
      </w:r>
      <w:r>
        <w:t xml:space="preserve">. Each callout notes the person and, where the code records it, the date the decision was made.</w:t>
      </w:r>
    </w:p>
    <w:p>
      <w:pPr>
        <w:spacing w:after="140" w:line="276"/>
      </w:pPr>
      <w:r>
        <w:t xml:space="preserve">Every decision callout also includes a green-highlighted line explaining how the choice relates to the CASQO manual — whether it is explicitly prescribed by the manual, consistent with it, or fills a gap the manual does not address (in which case the SCCWRP experts made the call). Where a decision was found in the code without a named author, the callout marks the attribution as to-be-confirmed rather than guessing.</w:t>
      </w:r>
    </w:p>
    <w:p>
      <w:pPr>
        <w:pStyle w:val="Heading1"/>
        <w:spacing w:after="140" w:before="320"/>
      </w:pPr>
      <w:r>
        <w:t xml:space="preserve">2. Installation</w:t>
      </w:r>
    </w:p>
    <w:p>
      <w:pPr>
        <w:spacing w:after="140" w:line="276"/>
      </w:pPr>
      <w:r>
        <w:t xml:space="preserve">The package is installed from GitHub with devtools. Install the dependencies first:</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Dependencies</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install.packages(c("dbplyr","reshape2","vegan","dplyr",</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"plyr","purrr","stringr","tidyr"))</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The package itself</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devtools::install_github("SCCWRP/SQOUnified")</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140" w:line="260"/>
        <w:ind w:left="120"/>
      </w:pPr>
      <w:r>
        <w:rPr>
          <w:rFonts w:ascii="Consolas" w:cs="Consolas" w:eastAsia="Consolas" w:hAnsi="Consolas"/>
          <w:sz w:val="18"/>
          <w:szCs w:val="18"/>
        </w:rPr>
        <w:t xml:space="preserve">library(SQOUnified)</w:t>
      </w:r>
    </w:p>
    <w:p>
      <w:pPr>
        <w:spacing w:after="140" w:line="276"/>
      </w:pPr>
      <w:r>
        <w:t xml:space="preserve">The optional </w:t>
      </w:r>
      <w:r>
        <w:rPr>
          <w:rFonts w:ascii="Consolas" w:cs="Consolas" w:eastAsia="Consolas" w:hAnsi="Consolas"/>
          <w:sz w:val="19"/>
          <w:szCs w:val="19"/>
        </w:rPr>
        <w:t xml:space="preserve">fuzzyjoin</w:t>
      </w:r>
      <w:r>
        <w:t xml:space="preserve"> package is only a suggestion — when installed, taxa that don't match the look-up list come back with “did you mean…” suggestions. Everything works without it.</w:t>
      </w:r>
    </w:p>
    <w:p>
      <w:pPr>
        <w:pStyle w:val="Heading1"/>
        <w:spacing w:after="140" w:before="320"/>
      </w:pPr>
      <w:r>
        <w:t xml:space="preserve">3. Quick Start</w:t>
      </w:r>
    </w:p>
    <w:p>
      <w:pPr>
        <w:spacing w:after="140" w:line="276"/>
      </w:pPr>
      <w:r>
        <w:t xml:space="preserve">The package ships with sample datasets for each line of evidence, so you can run everything immediately after loading it:</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Integrated assessment from all three lines of evidence</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SQOUnified(benthic = benthic_sampledata,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chem    = chem_sampledata,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tox     = tox_sampledata)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Using offshore benthic data instead of bay/estuary benthic</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SQOUnified(chem = chem_sampledata,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tox  = tox_sampledata,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offshore_benthic = offshore_bri_sampledata)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Individual pieces, on their own</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benthic.sqo(benthic_sampledata)   # all benthic indices</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tox.sqo(tox_sampledata)           # integrated toxicity score</w:t>
      </w:r>
    </w:p>
    <w:p>
      <w:pPr>
        <w:pBdr>
          <w:left w:val="single" w:color="2E5A88" w:sz="18" w:space="6"/>
        </w:pBdr>
        <w:shd w:fill="F2F2F2" w:color="auto" w:val="clear"/>
        <w:spacing w:after="140" w:line="260"/>
        <w:ind w:left="120"/>
      </w:pPr>
      <w:r>
        <w:rPr>
          <w:rFonts w:ascii="Consolas" w:cs="Consolas" w:eastAsia="Consolas" w:hAnsi="Consolas"/>
          <w:sz w:val="18"/>
          <w:szCs w:val="18"/>
        </w:rPr>
        <w:t xml:space="preserve">chem.sqo(chem_sampledata)         # integrated chemistry score</w:t>
      </w:r>
    </w:p>
    <w:p>
      <w:pPr>
        <w:pStyle w:val="Heading1"/>
        <w:spacing w:after="140" w:before="320"/>
      </w:pPr>
      <w:r>
        <w:t xml:space="preserve">4. Input Data Requirements</w:t>
      </w:r>
    </w:p>
    <w:p>
      <w:pPr>
        <w:spacing w:after="140" w:line="276"/>
      </w:pPr>
      <w:r>
        <w:t xml:space="preserve">Each line of evidence expects a data frame with specific columns. Optional columns are noted; when present they trigger extra filtering. Functions standardize column names internally, so casing is forgiving.</w:t>
      </w:r>
    </w:p>
    <w:p>
      <w:pPr>
        <w:pStyle w:val="Heading3"/>
        <w:spacing w:after="80" w:before="180"/>
      </w:pPr>
      <w:r>
        <w:t xml:space="preserve">4.1 Benthic (bay/estuary)</w:t>
      </w:r>
    </w:p>
    <w:p>
      <w:pPr>
        <w:spacing w:after="140" w:line="276"/>
      </w:pPr>
      <w:r>
        <w:t xml:space="preserve">Used by </w:t>
      </w:r>
      <w:r>
        <w:rPr>
          <w:rFonts w:ascii="Consolas" w:cs="Consolas" w:eastAsia="Consolas" w:hAnsi="Consolas"/>
          <w:sz w:val="19"/>
          <w:szCs w:val="19"/>
        </w:rPr>
        <w:t xml:space="preserve">benthic.sqo, BRI, RBI, IBI, RIVPACS, MAMBI</w:t>
      </w:r>
      <w:r>
        <w:t xml:space="preserve">.</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2500"/>
        <w:gridCol w:w="6700"/>
      </w:tblGrid>
      <w:tr>
        <w:trPr>
          <w:tblHeader/>
        </w:trPr>
        <w:tc>
          <w:tcPr>
            <w:tcW w:type="dxa" w:w="2500"/>
            <w:shd w:fill="2E5A88" w:color="auto" w:val="clear"/>
            <w:tcMar>
              <w:top w:type="dxa" w:w="40"/>
              <w:left w:type="dxa" w:w="90"/>
              <w:bottom w:type="dxa" w:w="40"/>
              <w:right w:type="dxa" w:w="90"/>
            </w:tcMar>
          </w:tcPr>
          <w:p>
            <w:pPr>
              <w:spacing w:after="20"/>
            </w:pPr>
            <w:r>
              <w:rPr>
                <w:b/>
                <w:bCs/>
                <w:color w:val="FFFFFF"/>
                <w:sz w:val="19"/>
                <w:szCs w:val="19"/>
              </w:rPr>
              <w:t xml:space="preserve">Column</w:t>
            </w:r>
          </w:p>
        </w:tc>
        <w:tc>
          <w:tcPr>
            <w:tcW w:type="dxa" w:w="6700"/>
            <w:shd w:fill="2E5A88" w:color="auto" w:val="clear"/>
            <w:tcMar>
              <w:top w:type="dxa" w:w="40"/>
              <w:left w:type="dxa" w:w="90"/>
              <w:bottom w:type="dxa" w:w="40"/>
              <w:right w:type="dxa" w:w="90"/>
            </w:tcMar>
          </w:tcPr>
          <w:p>
            <w:pPr>
              <w:spacing w:after="20"/>
            </w:pPr>
            <w:r>
              <w:rPr>
                <w:b/>
                <w:bCs/>
                <w:color w:val="FFFFFF"/>
                <w:sz w:val="19"/>
                <w:szCs w:val="19"/>
              </w:rPr>
              <w:t xml:space="preserve">Description</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StationID</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Alphanumeric identifier for the sampling location</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Replicate</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Replicate sample number</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SampleDate</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Date the sample was collected</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Latitude / Longitude</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Decimal degrees (negative longitude for the Western Hemisphere)</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Taxon</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Organism name in SCAMIT format. Use NoOrganismsPresent (abundance 0) if none</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Abundance</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Count of each taxon in the sample</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Salinity</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Salinity at the location in PSU</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Stratum</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Habitat stratum (Bays, Estuaries, etc.)</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Exclude</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Whether the sample should be excluded (Yes/No)</w:t>
            </w:r>
          </w:p>
        </w:tc>
      </w:tr>
    </w:tbl>
    <w:p>
      <w:pPr>
        <w:pStyle w:val="Heading3"/>
        <w:spacing w:after="80" w:before="180"/>
      </w:pPr>
      <w:r>
        <w:t xml:space="preserve">4.2 Chemistry</w:t>
      </w:r>
    </w:p>
    <w:p>
      <w:pPr>
        <w:spacing w:after="140" w:line="276"/>
      </w:pPr>
      <w:r>
        <w:t xml:space="preserve">Used by </w:t>
      </w:r>
      <w:r>
        <w:rPr>
          <w:rFonts w:ascii="Consolas" w:cs="Consolas" w:eastAsia="Consolas" w:hAnsi="Consolas"/>
          <w:sz w:val="19"/>
          <w:szCs w:val="19"/>
        </w:rPr>
        <w:t xml:space="preserve">chem.sqo, chemdata_prep, CSI, LRM</w:t>
      </w:r>
      <w:r>
        <w:t xml:space="preserve">.</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2700"/>
        <w:gridCol w:w="6500"/>
      </w:tblGrid>
      <w:tr>
        <w:trPr>
          <w:tblHeader/>
        </w:trPr>
        <w:tc>
          <w:tcPr>
            <w:tcW w:type="dxa" w:w="2700"/>
            <w:shd w:fill="2E5A88" w:color="auto" w:val="clear"/>
            <w:tcMar>
              <w:top w:type="dxa" w:w="40"/>
              <w:left w:type="dxa" w:w="90"/>
              <w:bottom w:type="dxa" w:w="40"/>
              <w:right w:type="dxa" w:w="90"/>
            </w:tcMar>
          </w:tcPr>
          <w:p>
            <w:pPr>
              <w:spacing w:after="20"/>
            </w:pPr>
            <w:r>
              <w:rPr>
                <w:b/>
                <w:bCs/>
                <w:color w:val="FFFFFF"/>
                <w:sz w:val="19"/>
                <w:szCs w:val="19"/>
              </w:rPr>
              <w:t xml:space="preserve">Column</w:t>
            </w:r>
          </w:p>
        </w:tc>
        <w:tc>
          <w:tcPr>
            <w:tcW w:type="dxa" w:w="6500"/>
            <w:shd w:fill="2E5A88" w:color="auto" w:val="clear"/>
            <w:tcMar>
              <w:top w:type="dxa" w:w="40"/>
              <w:left w:type="dxa" w:w="90"/>
              <w:bottom w:type="dxa" w:w="40"/>
              <w:right w:type="dxa" w:w="90"/>
            </w:tcMar>
          </w:tcPr>
          <w:p>
            <w:pPr>
              <w:spacing w:after="20"/>
            </w:pPr>
            <w:r>
              <w:rPr>
                <w:b/>
                <w:bCs/>
                <w:color w:val="FFFFFF"/>
                <w:sz w:val="19"/>
                <w:szCs w:val="19"/>
              </w:rPr>
              <w:t xml:space="preserve">Description</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StationID</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Station identifier</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AnalyteName</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Name of the chemical analyte</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Result</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Measured value (non-detects marked as -88)</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RL</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Reporting limit</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MDL</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Method detection limit</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units (optional)</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Metals in mg/dry kg; organics in ug/dry kg</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fieldrep (optional)</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If present, data is filtered to fieldrep = 1</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labrep (optional)</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If present, data is filtered to labrep = 1</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sampletypecode (optional)</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If present, keeps only sampletypecode = Result (drops QA/QC)</w:t>
            </w:r>
          </w:p>
        </w:tc>
      </w:tr>
    </w:tbl>
    <w:p>
      <w:pPr>
        <w:pStyle w:val="Heading3"/>
        <w:spacing w:after="80" w:before="180"/>
      </w:pPr>
      <w:r>
        <w:t xml:space="preserve">4.3 Offshore benthic</w:t>
      </w:r>
    </w:p>
    <w:p>
      <w:pPr>
        <w:spacing w:after="140" w:line="276"/>
      </w:pPr>
      <w:r>
        <w:t xml:space="preserve">Used by </w:t>
      </w:r>
      <w:r>
        <w:rPr>
          <w:rFonts w:ascii="Consolas" w:cs="Consolas" w:eastAsia="Consolas" w:hAnsi="Consolas"/>
          <w:sz w:val="19"/>
          <w:szCs w:val="19"/>
        </w:rPr>
        <w:t xml:space="preserve">BRI.Offshore</w:t>
      </w:r>
      <w:r>
        <w:t xml:space="preserve"> and by </w:t>
      </w:r>
      <w:r>
        <w:rPr>
          <w:rFonts w:ascii="Consolas" w:cs="Consolas" w:eastAsia="Consolas" w:hAnsi="Consolas"/>
          <w:sz w:val="19"/>
          <w:szCs w:val="19"/>
        </w:rPr>
        <w:t xml:space="preserve">SQOUnified</w:t>
      </w:r>
      <w:r>
        <w:t xml:space="preserve"> via </w:t>
      </w:r>
      <w:r>
        <w:rPr>
          <w:rFonts w:ascii="Consolas" w:cs="Consolas" w:eastAsia="Consolas" w:hAnsi="Consolas"/>
          <w:sz w:val="19"/>
          <w:szCs w:val="19"/>
        </w:rPr>
        <w:t xml:space="preserve">offshore_benthic</w:t>
      </w:r>
      <w:r>
        <w:t xml:space="preserve">. Single combined frame; column names are case-insensitive.</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2500"/>
        <w:gridCol w:w="6700"/>
      </w:tblGrid>
      <w:tr>
        <w:trPr>
          <w:tblHeader/>
        </w:trPr>
        <w:tc>
          <w:tcPr>
            <w:tcW w:type="dxa" w:w="2500"/>
            <w:shd w:fill="2E5A88" w:color="auto" w:val="clear"/>
            <w:tcMar>
              <w:top w:type="dxa" w:w="40"/>
              <w:left w:type="dxa" w:w="90"/>
              <w:bottom w:type="dxa" w:w="40"/>
              <w:right w:type="dxa" w:w="90"/>
            </w:tcMar>
          </w:tcPr>
          <w:p>
            <w:pPr>
              <w:spacing w:after="20"/>
            </w:pPr>
            <w:r>
              <w:rPr>
                <w:b/>
                <w:bCs/>
                <w:color w:val="FFFFFF"/>
                <w:sz w:val="19"/>
                <w:szCs w:val="19"/>
              </w:rPr>
              <w:t xml:space="preserve">Column</w:t>
            </w:r>
          </w:p>
        </w:tc>
        <w:tc>
          <w:tcPr>
            <w:tcW w:type="dxa" w:w="6700"/>
            <w:shd w:fill="2E5A88" w:color="auto" w:val="clear"/>
            <w:tcMar>
              <w:top w:type="dxa" w:w="40"/>
              <w:left w:type="dxa" w:w="90"/>
              <w:bottom w:type="dxa" w:w="40"/>
              <w:right w:type="dxa" w:w="90"/>
            </w:tcMar>
          </w:tcPr>
          <w:p>
            <w:pPr>
              <w:spacing w:after="20"/>
            </w:pPr>
            <w:r>
              <w:rPr>
                <w:b/>
                <w:bCs/>
                <w:color w:val="FFFFFF"/>
                <w:sz w:val="19"/>
                <w:szCs w:val="19"/>
              </w:rPr>
              <w:t xml:space="preserve">Description</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StationID</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Alphanumeric station identifier</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SampleDate</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Date of collection</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Replicate</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Replicate number</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Taxon</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Organism name (SCAMIT Edition 14). NoOrganismsPresent (abundance 0) if none</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Abundance</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Individuals counted per taxon</w:t>
            </w:r>
          </w:p>
        </w:tc>
      </w:tr>
      <w:tr>
        <w:tc>
          <w:tcPr>
            <w:tcW w:type="dxa" w:w="2500"/>
            <w:shd w:fill="EAF0F7" w:color="auto" w:val="clear"/>
            <w:tcMar>
              <w:top w:type="dxa" w:w="40"/>
              <w:left w:type="dxa" w:w="90"/>
              <w:bottom w:type="dxa" w:w="40"/>
              <w:right w:type="dxa" w:w="90"/>
            </w:tcMar>
          </w:tcPr>
          <w:p>
            <w:pPr>
              <w:spacing w:after="20"/>
            </w:pPr>
            <w:r>
              <w:rPr>
                <w:b w:val="false"/>
                <w:bCs w:val="false"/>
                <w:color w:val="000000"/>
                <w:sz w:val="19"/>
                <w:szCs w:val="19"/>
              </w:rPr>
              <w:t xml:space="preserve">Depth</w:t>
            </w:r>
          </w:p>
        </w:tc>
        <w:tc>
          <w:tcPr>
            <w:tcW w:type="dxa" w:w="6700"/>
            <w:shd w:fill="EAF0F7" w:color="auto" w:val="clear"/>
            <w:tcMar>
              <w:top w:type="dxa" w:w="40"/>
              <w:left w:type="dxa" w:w="90"/>
              <w:bottom w:type="dxa" w:w="40"/>
              <w:right w:type="dxa" w:w="90"/>
            </w:tcMar>
          </w:tcPr>
          <w:p>
            <w:pPr>
              <w:spacing w:after="20"/>
            </w:pPr>
            <w:r>
              <w:rPr>
                <w:b w:val="false"/>
                <w:bCs w:val="false"/>
                <w:color w:val="000000"/>
                <w:sz w:val="19"/>
                <w:szCs w:val="19"/>
              </w:rPr>
              <w:t xml:space="preserve">Station depth in metres — selects the depth-zone tolerance values</w:t>
            </w:r>
          </w:p>
        </w:tc>
      </w:tr>
      <w:tr>
        <w:tc>
          <w:tcPr>
            <w:tcW w:type="dxa" w:w="2500"/>
            <w:shd w:fill="FFFFFF" w:color="auto" w:val="clear"/>
            <w:tcMar>
              <w:top w:type="dxa" w:w="40"/>
              <w:left w:type="dxa" w:w="90"/>
              <w:bottom w:type="dxa" w:w="40"/>
              <w:right w:type="dxa" w:w="90"/>
            </w:tcMar>
          </w:tcPr>
          <w:p>
            <w:pPr>
              <w:spacing w:after="20"/>
            </w:pPr>
            <w:r>
              <w:rPr>
                <w:b w:val="false"/>
                <w:bCs w:val="false"/>
                <w:color w:val="000000"/>
                <w:sz w:val="19"/>
                <w:szCs w:val="19"/>
              </w:rPr>
              <w:t xml:space="preserve">Latitude / Longitude</w:t>
            </w:r>
          </w:p>
        </w:tc>
        <w:tc>
          <w:tcPr>
            <w:tcW w:type="dxa" w:w="6700"/>
            <w:shd w:fill="FFFFFF" w:color="auto" w:val="clear"/>
            <w:tcMar>
              <w:top w:type="dxa" w:w="40"/>
              <w:left w:type="dxa" w:w="90"/>
              <w:bottom w:type="dxa" w:w="40"/>
              <w:right w:type="dxa" w:w="90"/>
            </w:tcMar>
          </w:tcPr>
          <w:p>
            <w:pPr>
              <w:spacing w:after="20"/>
            </w:pPr>
            <w:r>
              <w:rPr>
                <w:b w:val="false"/>
                <w:bCs w:val="false"/>
                <w:color w:val="000000"/>
                <w:sz w:val="19"/>
                <w:szCs w:val="19"/>
              </w:rPr>
              <w:t xml:space="preserve">Decimal degrees (negative longitude for west)</w:t>
            </w:r>
          </w:p>
        </w:tc>
      </w:tr>
    </w:tbl>
    <w:p>
      <w:pPr>
        <w:pStyle w:val="Heading3"/>
        <w:spacing w:after="80" w:before="180"/>
      </w:pPr>
      <w:r>
        <w:t xml:space="preserve">4.4 Toxicity</w:t>
      </w:r>
    </w:p>
    <w:p>
      <w:pPr>
        <w:spacing w:after="140" w:line="276"/>
      </w:pPr>
      <w:r>
        <w:t xml:space="preserve">Used by </w:t>
      </w:r>
      <w:r>
        <w:rPr>
          <w:rFonts w:ascii="Consolas" w:cs="Consolas" w:eastAsia="Consolas" w:hAnsi="Consolas"/>
          <w:sz w:val="19"/>
          <w:szCs w:val="19"/>
        </w:rPr>
        <w:t xml:space="preserve">tox.sqo, tox.summary</w:t>
      </w:r>
      <w:r>
        <w:t xml:space="preserve">.</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2700"/>
        <w:gridCol w:w="6500"/>
      </w:tblGrid>
      <w:tr>
        <w:trPr>
          <w:tblHeader/>
        </w:trPr>
        <w:tc>
          <w:tcPr>
            <w:tcW w:type="dxa" w:w="2700"/>
            <w:shd w:fill="2E5A88" w:color="auto" w:val="clear"/>
            <w:tcMar>
              <w:top w:type="dxa" w:w="40"/>
              <w:left w:type="dxa" w:w="90"/>
              <w:bottom w:type="dxa" w:w="40"/>
              <w:right w:type="dxa" w:w="90"/>
            </w:tcMar>
          </w:tcPr>
          <w:p>
            <w:pPr>
              <w:spacing w:after="20"/>
            </w:pPr>
            <w:r>
              <w:rPr>
                <w:b/>
                <w:bCs/>
                <w:color w:val="FFFFFF"/>
                <w:sz w:val="19"/>
                <w:szCs w:val="19"/>
              </w:rPr>
              <w:t xml:space="preserve">Column</w:t>
            </w:r>
          </w:p>
        </w:tc>
        <w:tc>
          <w:tcPr>
            <w:tcW w:type="dxa" w:w="6500"/>
            <w:shd w:fill="2E5A88" w:color="auto" w:val="clear"/>
            <w:tcMar>
              <w:top w:type="dxa" w:w="40"/>
              <w:left w:type="dxa" w:w="90"/>
              <w:bottom w:type="dxa" w:w="40"/>
              <w:right w:type="dxa" w:w="90"/>
            </w:tcMar>
          </w:tcPr>
          <w:p>
            <w:pPr>
              <w:spacing w:after="20"/>
            </w:pPr>
            <w:r>
              <w:rPr>
                <w:b/>
                <w:bCs/>
                <w:color w:val="FFFFFF"/>
                <w:sz w:val="19"/>
                <w:szCs w:val="19"/>
              </w:rPr>
              <w:t xml:space="preserve">Description</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stationid</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Alphanumeric location identifier</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toxbatch</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Batch id linking results to their control sample</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species</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Genus and species of the tested organism</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sampletypecode</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Sample type (Grab, CNEG, etc.). Control samples must be included</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matrix (optional)</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Whole Sediment, SWI, etc. Do not include Reference Toxicants</w:t>
            </w:r>
          </w:p>
        </w:tc>
      </w:tr>
      <w:tr>
        <w:tc>
          <w:tcPr>
            <w:tcW w:type="dxa" w:w="2700"/>
            <w:shd w:fill="EAF0F7" w:color="auto" w:val="clear"/>
            <w:tcMar>
              <w:top w:type="dxa" w:w="40"/>
              <w:left w:type="dxa" w:w="90"/>
              <w:bottom w:type="dxa" w:w="40"/>
              <w:right w:type="dxa" w:w="90"/>
            </w:tcMar>
          </w:tcPr>
          <w:p>
            <w:pPr>
              <w:spacing w:after="20"/>
            </w:pPr>
            <w:r>
              <w:rPr>
                <w:b w:val="false"/>
                <w:bCs w:val="false"/>
                <w:color w:val="000000"/>
                <w:sz w:val="19"/>
                <w:szCs w:val="19"/>
              </w:rPr>
              <w:t xml:space="preserve">labrep</w:t>
            </w:r>
          </w:p>
        </w:tc>
        <w:tc>
          <w:tcPr>
            <w:tcW w:type="dxa" w:w="6500"/>
            <w:shd w:fill="EAF0F7" w:color="auto" w:val="clear"/>
            <w:tcMar>
              <w:top w:type="dxa" w:w="40"/>
              <w:left w:type="dxa" w:w="90"/>
              <w:bottom w:type="dxa" w:w="40"/>
              <w:right w:type="dxa" w:w="90"/>
            </w:tcMar>
          </w:tcPr>
          <w:p>
            <w:pPr>
              <w:spacing w:after="20"/>
            </w:pPr>
            <w:r>
              <w:rPr>
                <w:b w:val="false"/>
                <w:bCs w:val="false"/>
                <w:color w:val="000000"/>
                <w:sz w:val="19"/>
                <w:szCs w:val="19"/>
              </w:rPr>
              <w:t xml:space="preserve">Lab replicate number (typically 5 per station/species pair)</w:t>
            </w:r>
          </w:p>
        </w:tc>
      </w:tr>
      <w:tr>
        <w:tc>
          <w:tcPr>
            <w:tcW w:type="dxa" w:w="2700"/>
            <w:shd w:fill="FFFFFF" w:color="auto" w:val="clear"/>
            <w:tcMar>
              <w:top w:type="dxa" w:w="40"/>
              <w:left w:type="dxa" w:w="90"/>
              <w:bottom w:type="dxa" w:w="40"/>
              <w:right w:type="dxa" w:w="90"/>
            </w:tcMar>
          </w:tcPr>
          <w:p>
            <w:pPr>
              <w:spacing w:after="20"/>
            </w:pPr>
            <w:r>
              <w:rPr>
                <w:b w:val="false"/>
                <w:bCs w:val="false"/>
                <w:color w:val="000000"/>
                <w:sz w:val="19"/>
                <w:szCs w:val="19"/>
              </w:rPr>
              <w:t xml:space="preserve">result</w:t>
            </w:r>
          </w:p>
        </w:tc>
        <w:tc>
          <w:tcPr>
            <w:tcW w:type="dxa" w:w="6500"/>
            <w:shd w:fill="FFFFFF" w:color="auto" w:val="clear"/>
            <w:tcMar>
              <w:top w:type="dxa" w:w="40"/>
              <w:left w:type="dxa" w:w="90"/>
              <w:bottom w:type="dxa" w:w="40"/>
              <w:right w:type="dxa" w:w="90"/>
            </w:tcMar>
          </w:tcPr>
          <w:p>
            <w:pPr>
              <w:spacing w:after="20"/>
            </w:pPr>
            <w:r>
              <w:rPr>
                <w:b w:val="false"/>
                <w:bCs w:val="false"/>
                <w:color w:val="000000"/>
                <w:sz w:val="19"/>
                <w:szCs w:val="19"/>
              </w:rPr>
              <w:t xml:space="preserve">Percent survival or normal development observed</w:t>
            </w:r>
          </w:p>
        </w:tc>
      </w:tr>
    </w:tbl>
    <w:p>
      <w:pPr>
        <w:spacing w:after="140" w:line="276"/>
      </w:pPr>
      <w:r>
        <w:rPr>
          <w:b/>
          <w:bCs/>
        </w:rPr>
        <w:t xml:space="preserve">Important: </w:t>
      </w:r>
      <w:r>
        <w:t xml:space="preserve">the toxicity data must include the control samples (station 0000, sampletypecode CNEG, etc.) in the same data frame, because results are compared against their batch control.</w:t>
      </w:r>
    </w:p>
    <w:p>
      <w:r>
        <w:br w:type="page"/>
      </w:r>
    </w:p>
    <w:p>
      <w:pPr>
        <w:pStyle w:val="Heading1"/>
        <w:spacing w:after="140" w:before="320"/>
      </w:pPr>
      <w:r>
        <w:t xml:space="preserve">5. Benthic Line of Evidence</w:t>
      </w:r>
    </w:p>
    <w:p>
      <w:pPr>
        <w:spacing w:after="140" w:line="276"/>
      </w:pPr>
      <w:r>
        <w:rPr>
          <w:rFonts w:ascii="Consolas" w:cs="Consolas" w:eastAsia="Consolas" w:hAnsi="Consolas"/>
          <w:sz w:val="19"/>
          <w:szCs w:val="19"/>
        </w:rPr>
        <w:t xml:space="preserve">benthic.sqo()</w:t>
      </w:r>
      <w:r>
        <w:t xml:space="preserve"> runs the four traditional SQO indices (</w:t>
      </w:r>
      <w:r>
        <w:rPr>
          <w:rFonts w:ascii="Consolas" w:cs="Consolas" w:eastAsia="Consolas" w:hAnsi="Consolas"/>
          <w:sz w:val="19"/>
          <w:szCs w:val="19"/>
        </w:rPr>
        <w:t xml:space="preserve">BRI, RBI, IBI, RIVPACS</w:t>
      </w:r>
      <w:r>
        <w:t xml:space="preserve">) plus M-AMBI, then integrates them into the Benthic Line of Evidence (BLOE) score. It returns a list containing the integrated scores, every individual index, and review tables; each index function can also be called on its own with the same input format. For offshore/shelf samples, </w:t>
      </w:r>
      <w:r>
        <w:rPr>
          <w:rFonts w:ascii="Consolas" w:cs="Consolas" w:eastAsia="Consolas" w:hAnsi="Consolas"/>
          <w:sz w:val="19"/>
          <w:szCs w:val="19"/>
        </w:rPr>
        <w:t xml:space="preserve">BRI.Offshore()</w:t>
      </w:r>
      <w:r>
        <w:t xml:space="preserve"> computes the offshore Benthic Response Index using depth-zone-specific tolerance values (shallow </w:t>
      </w:r>
      <w:r>
        <w:rPr>
          <w:rFonts w:ascii="Consolas" w:cs="Consolas" w:eastAsia="Consolas" w:hAnsi="Consolas"/>
          <w:sz w:val="19"/>
          <w:szCs w:val="19"/>
        </w:rPr>
        <w:t xml:space="preserve">&lt;25m</w:t>
      </w:r>
      <w:r>
        <w:t xml:space="preserve">, mid </w:t>
      </w:r>
      <w:r>
        <w:rPr>
          <w:rFonts w:ascii="Consolas" w:cs="Consolas" w:eastAsia="Consolas" w:hAnsi="Consolas"/>
          <w:sz w:val="19"/>
          <w:szCs w:val="19"/>
        </w:rPr>
        <w:t xml:space="preserve">35–110m</w:t>
      </w:r>
      <w:r>
        <w:t xml:space="preserve">, deep </w:t>
      </w:r>
      <w:r>
        <w:rPr>
          <w:rFonts w:ascii="Consolas" w:cs="Consolas" w:eastAsia="Consolas" w:hAnsi="Consolas"/>
          <w:sz w:val="19"/>
          <w:szCs w:val="19"/>
        </w:rPr>
        <w:t xml:space="preserve">130–324m</w:t>
      </w:r>
      <w:r>
        <w:t xml:space="preserve">), returning both the scores and the intermediate taxa-matching tables so you can see how your data were processed.</w:t>
      </w:r>
    </w:p>
    <w:p>
      <w:pPr>
        <w:pStyle w:val="Heading2"/>
        <w:spacing w:after="100" w:before="240"/>
      </w:pPr>
      <w:r>
        <w:t xml:space="preserve">5.1 Expert &amp; committee decisions (Benthic)</w:t>
      </w:r>
    </w:p>
    <w:p>
      <w:pPr>
        <w:spacing w:after="140" w:line="276"/>
      </w:pPr>
      <w:r>
        <w:t xml:space="preserve">The following choices are not spelled out in the CASQO manual and were made by SCCWRP experts or the Bight index subcommittee: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David Gillett</w:t>
            </w:r>
          </w:p>
          <w:p>
            <w:pPr>
              <w:spacing w:after="60" w:line="264"/>
            </w:pPr>
            <w:r>
              <w:t xml:space="preserve">For the benthic line of evidence, keep only </w:t>
            </w:r>
            <w:r>
              <w:rPr>
                <w:b/>
                <w:bCs/>
              </w:rPr>
              <w:t xml:space="preserve">Replicate 1</w:t>
            </w:r>
            <w:r>
              <w:t xml:space="preserve"> per station. There is almost always a single replicate; the other data types don't use the field; and in the Bight program the sampling year is already encoded in the station name (e.g. “B18”), so SampleDate and Replicate add no information. Keeping one replicate also guarantees each station produces a single Benthic row, preventing duplicate keys when results are combined for the integrated assessment. The offshore BRI applies the same rule.</w:t>
            </w:r>
          </w:p>
          <w:p>
            <w:pPr>
              <w:pBdr>
                <w:left w:val="single" w:color="1E6B4F" w:sz="14" w:space="4"/>
              </w:pBdr>
              <w:shd w:fill="EFF6F1" w:color="auto" w:val="clear"/>
              <w:spacing w:after="40" w:line="262"/>
              <w:ind w:left="60"/>
            </w:pPr>
            <w:r>
              <w:rPr>
                <w:color w:val="1A4635"/>
                <w:sz w:val="18"/>
                <w:szCs w:val="18"/>
              </w:rPr>
              <w:t xml:space="preserve">This is not addressed in the manual. The manual does not prescribe how to select among replicates, so this is an operational choice for Bight-program data.</w:t>
            </w:r>
          </w:p>
          <w:p>
            <w:pPr>
              <w:spacing w:after="0"/>
            </w:pPr>
            <w:r>
              <w:rPr>
                <w:i/>
                <w:iCs/>
                <w:color w:val="8A6A2A"/>
                <w:sz w:val="17"/>
                <w:szCs w:val="17"/>
              </w:rPr>
              <w:t xml:space="preserve">R/SQOUnified.R — “David says only keep replicate 1.”</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Bight 23 index code subcommittee</w:t>
            </w:r>
          </w:p>
          <w:p>
            <w:pPr>
              <w:spacing w:after="60" w:line="264"/>
            </w:pPr>
            <w:r>
              <w:t xml:space="preserve">The four benthic indices use the </w:t>
            </w:r>
            <w:r>
              <w:rPr>
                <w:b/>
                <w:bCs/>
              </w:rPr>
              <w:t xml:space="preserve">SQO Excel tool look-up list</w:t>
            </w:r>
            <w:r>
              <w:t xml:space="preserve"> (tolerance scores, indicator designations, reference values) as the authoritative reference table, as decided by the subcommittee. Because modern data uses SCAMIT Edition 14 names, the code first “retrofits” submitted taxonomy back to the SQO-compatible names this list expects (one-to-one swaps, rolling up daughter taxa, and resolving complex cases in favour of the name that carries a tolerance score). Every change is written to the log for review.</w:t>
            </w:r>
          </w:p>
          <w:p>
            <w:pPr>
              <w:pBdr>
                <w:left w:val="single" w:color="1E6B4F" w:sz="14" w:space="4"/>
              </w:pBdr>
              <w:shd w:fill="EFF6F1" w:color="auto" w:val="clear"/>
              <w:spacing w:after="40" w:line="262"/>
              <w:ind w:left="60"/>
            </w:pPr>
            <w:r>
              <w:rPr>
                <w:color w:val="1A4635"/>
                <w:sz w:val="18"/>
                <w:szCs w:val="18"/>
              </w:rPr>
              <w:t xml:space="preserve">This is consistent with the manual and extends it. The benthic indices are defined in CASQO Chapter 4, but they predate SCAMIT Edition 14, so the Ed14→SQO taxonomy retrofit is not in the manual and is maintained by the subcommittee.</w:t>
            </w:r>
          </w:p>
          <w:p>
            <w:pPr>
              <w:spacing w:after="0"/>
            </w:pPr>
            <w:r>
              <w:rPr>
                <w:i/>
                <w:iCs/>
                <w:color w:val="8A6A2A"/>
                <w:sz w:val="17"/>
                <w:szCs w:val="17"/>
              </w:rPr>
              <w:t xml:space="preserve">R/BRI.R, RBI.R, IBI.R, benthic.R — “per Bight 23 index code subcommittee.”</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Taxonomy roll-up tie-breaks</w:t>
            </w:r>
          </w:p>
          <w:p>
            <w:pPr>
              <w:spacing w:after="60" w:line="264"/>
            </w:pPr>
            <w:r>
              <w:t xml:space="preserve">Two rules govern the retrofit when several submitted taxa collapse onto one SQO name: (1) if the combined taxa carry different Exclude codes, a “No” (a unique/retained taxon) takes </w:t>
            </w:r>
            <w:r>
              <w:rPr>
                <w:b/>
                <w:bCs/>
              </w:rPr>
              <w:t xml:space="preserve">precedence</w:t>
            </w:r>
            <w:r>
              <w:t xml:space="preserve">; and (2) when one Ed14 taxon maps to several old SQO names, the code keeps the name that carries a tolerance score / sensitivity designation over one that does not.</w:t>
            </w:r>
          </w:p>
          <w:p>
            <w:pPr>
              <w:pBdr>
                <w:left w:val="single" w:color="1E6B4F" w:sz="14" w:space="4"/>
              </w:pBdr>
              <w:shd w:fill="EFF6F1" w:color="auto" w:val="clear"/>
              <w:spacing w:after="40" w:line="262"/>
              <w:ind w:left="60"/>
            </w:pPr>
            <w:r>
              <w:rPr>
                <w:color w:val="1A4635"/>
                <w:sz w:val="18"/>
                <w:szCs w:val="18"/>
              </w:rPr>
              <w:t xml:space="preserve">This is not addressed in the manual. These are taxonomy-mapping mechanics that fall outside the scope of the manual's index definitions.</w:t>
            </w:r>
          </w:p>
          <w:p>
            <w:pPr>
              <w:spacing w:after="40"/>
            </w:pPr>
            <w:r>
              <w:rPr>
                <w:b/>
                <w:bCs/>
                <w:color w:val="8A6A2A"/>
                <w:sz w:val="17"/>
                <w:szCs w:val="17"/>
              </w:rPr>
              <w:t xml:space="preserve">Attribution:  </w:t>
            </w:r>
            <w:r>
              <w:rPr>
                <w:sz w:val="17"/>
                <w:szCs w:val="17"/>
              </w:rPr>
              <w:t xml:space="preserve">Not recorded in code (Bight 23 subcommittee / to be confirmed).</w:t>
            </w:r>
          </w:p>
          <w:p>
            <w:pPr>
              <w:spacing w:after="0"/>
            </w:pPr>
            <w:r>
              <w:rPr>
                <w:i/>
                <w:iCs/>
                <w:color w:val="8A6A2A"/>
                <w:sz w:val="17"/>
                <w:szCs w:val="17"/>
              </w:rPr>
              <w:t xml:space="preserve">R/benthic.R</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David Gillett (published basis)</w:t>
            </w:r>
          </w:p>
          <w:p>
            <w:pPr>
              <w:spacing w:after="60" w:line="264"/>
            </w:pPr>
            <w:r>
              <w:t xml:space="preserve">M-AMBI uses the standard Ecological Group (EG) species list based on </w:t>
            </w:r>
            <w:r>
              <w:rPr>
                <w:b/>
                <w:bCs/>
              </w:rPr>
              <w:t xml:space="preserve">Gillett et al. 2015</w:t>
            </w:r>
            <w:r>
              <w:t xml:space="preserve">, updated with each Bight cycle. Unlike the four SQO indices, M-AMBI is run on the modern (Ed14) taxonomy rather than the retrofitted names, and it is reported alongside the other indices but is </w:t>
            </w:r>
            <w:r>
              <w:rPr>
                <w:b/>
                <w:bCs/>
              </w:rPr>
              <w:t xml:space="preserve">not</w:t>
            </w:r>
            <w:r>
              <w:t xml:space="preserve"> used in the SQO score calculation itself.</w:t>
            </w:r>
          </w:p>
          <w:p>
            <w:pPr>
              <w:pBdr>
                <w:left w:val="single" w:color="1E6B4F" w:sz="14" w:space="4"/>
              </w:pBdr>
              <w:shd w:fill="EFF6F1" w:color="auto" w:val="clear"/>
              <w:spacing w:after="40" w:line="262"/>
              <w:ind w:left="60"/>
            </w:pPr>
            <w:r>
              <w:rPr>
                <w:color w:val="1A4635"/>
                <w:sz w:val="18"/>
                <w:szCs w:val="18"/>
              </w:rPr>
              <w:t xml:space="preserve">This extends the manual. M-AMBI is not one of the core CASQO benthic indices; it is provided here as supplementary information and excluded from the SQO score.</w:t>
            </w:r>
          </w:p>
          <w:p>
            <w:pPr>
              <w:spacing w:after="0"/>
            </w:pPr>
            <w:r>
              <w:rPr>
                <w:i/>
                <w:iCs/>
                <w:color w:val="8A6A2A"/>
                <w:sz w:val="17"/>
                <w:szCs w:val="17"/>
              </w:rPr>
              <w:t xml:space="preserve">R/MAMBI.R</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No-organism samples → worst category</w:t>
            </w:r>
          </w:p>
          <w:p>
            <w:pPr>
              <w:spacing w:after="60" w:line="264"/>
            </w:pPr>
            <w:r>
              <w:t xml:space="preserve">A sample containing no organisms (NoOrganismsPresent) is forced into the </w:t>
            </w:r>
            <w:r>
              <w:rPr>
                <w:b/>
                <w:bCs/>
              </w:rPr>
              <w:t xml:space="preserve">worst condition category</w:t>
            </w:r>
            <w:r>
              <w:t xml:space="preserve"> (High Disturbance) by every benthic index, rather than being dropped or left unscored.</w:t>
            </w:r>
          </w:p>
          <w:p>
            <w:pPr>
              <w:pBdr>
                <w:left w:val="single" w:color="1E6B4F" w:sz="14" w:space="4"/>
              </w:pBdr>
              <w:shd w:fill="EFF6F1" w:color="auto" w:val="clear"/>
              <w:spacing w:after="40" w:line="262"/>
              <w:ind w:left="60"/>
            </w:pPr>
            <w:r>
              <w:rPr>
                <w:color w:val="1A4635"/>
                <w:sz w:val="18"/>
                <w:szCs w:val="18"/>
              </w:rPr>
              <w:t xml:space="preserve">This is consistent with the manual. Treating a sample with no organisms as worst-condition aligns with the manual's benthic condition framework, though the manual does not spell out this specific mechanism.</w:t>
            </w:r>
          </w:p>
          <w:p>
            <w:pPr>
              <w:spacing w:after="40"/>
            </w:pPr>
            <w:r>
              <w:rPr>
                <w:b/>
                <w:bCs/>
                <w:color w:val="8A6A2A"/>
                <w:sz w:val="17"/>
                <w:szCs w:val="17"/>
              </w:rPr>
              <w:t xml:space="preserve">Attribution:  </w:t>
            </w:r>
            <w:r>
              <w:rPr>
                <w:sz w:val="17"/>
                <w:szCs w:val="17"/>
              </w:rPr>
              <w:t xml:space="preserve">Not recorded in code (to be confirmed).</w:t>
            </w:r>
          </w:p>
          <w:p>
            <w:pPr>
              <w:spacing w:after="0"/>
            </w:pPr>
            <w:r>
              <w:rPr>
                <w:i/>
                <w:iCs/>
                <w:color w:val="8A6A2A"/>
                <w:sz w:val="17"/>
                <w:szCs w:val="17"/>
              </w:rPr>
              <w:t xml:space="preserve">R/BRI.R, RBI.R, IBI.R, RIVPACS.R, MAMBI.R</w:t>
            </w:r>
          </w:p>
        </w:tc>
      </w:tr>
    </w:tbl>
    <w:p>
      <w:r>
        <w:br w:type="page"/>
      </w:r>
    </w:p>
    <w:p>
      <w:pPr>
        <w:pStyle w:val="Heading1"/>
        <w:spacing w:after="140" w:before="320"/>
      </w:pPr>
      <w:r>
        <w:t xml:space="preserve">6. Chemistry Line of Evidence</w:t>
      </w:r>
    </w:p>
    <w:p>
      <w:pPr>
        <w:spacing w:after="140" w:line="276"/>
      </w:pPr>
      <w:r>
        <w:rPr>
          <w:rFonts w:ascii="Consolas" w:cs="Consolas" w:eastAsia="Consolas" w:hAnsi="Consolas"/>
          <w:sz w:val="19"/>
          <w:szCs w:val="19"/>
        </w:rPr>
        <w:t xml:space="preserve">chem.sqo()</w:t>
      </w:r>
      <w:r>
        <w:t xml:space="preserve"> is the top-level chemistry function. It calls </w:t>
      </w:r>
      <w:r>
        <w:rPr>
          <w:rFonts w:ascii="Consolas" w:cs="Consolas" w:eastAsia="Consolas" w:hAnsi="Consolas"/>
          <w:sz w:val="19"/>
          <w:szCs w:val="19"/>
        </w:rPr>
        <w:t xml:space="preserve">chemdata_prep()</w:t>
      </w:r>
      <w:r>
        <w:t xml:space="preserve"> internally, so raw chemistry data can be passed directly as long as it has the required columns. It combines two models into the integrated chemistry score: </w:t>
      </w:r>
      <w:r>
        <w:rPr>
          <w:rFonts w:ascii="Consolas" w:cs="Consolas" w:eastAsia="Consolas" w:hAnsi="Consolas"/>
          <w:sz w:val="19"/>
          <w:szCs w:val="19"/>
        </w:rPr>
        <w:t xml:space="preserve">CSI()</w:t>
      </w:r>
      <w:r>
        <w:t xml:space="preserve"> (Chemical Score Index) and </w:t>
      </w:r>
      <w:r>
        <w:rPr>
          <w:rFonts w:ascii="Consolas" w:cs="Consolas" w:eastAsia="Consolas" w:hAnsi="Consolas"/>
          <w:sz w:val="19"/>
          <w:szCs w:val="19"/>
        </w:rPr>
        <w:t xml:space="preserve">LRM()</w:t>
      </w:r>
      <w:r>
        <w:t xml:space="preserve"> (Logistic Regression Model). Thresholds and bins follow the CASQO manual (LRM: pages 37–40; CSI: pages 40–42; analyte grouping: Table 3.1, pages 19–20).</w:t>
      </w:r>
    </w:p>
    <w:p>
      <w:pPr>
        <w:pStyle w:val="Heading2"/>
        <w:spacing w:after="100" w:before="240"/>
      </w:pPr>
      <w:r>
        <w:t xml:space="preserve">6.1 Expert decisions (Chemistry)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Charles Wong</w:t>
            </w:r>
            <w:r>
              <w:rPr>
                <w:i/>
                <w:iCs/>
                <w:color w:val="8A6A2A"/>
                <w:sz w:val="18"/>
                <w:szCs w:val="18"/>
              </w:rPr>
              <w:t xml:space="preserve">   ·   March 31, 2026</w:t>
            </w:r>
          </w:p>
          <w:p>
            <w:pPr>
              <w:spacing w:after="60" w:line="264"/>
            </w:pPr>
            <w:r>
              <w:t xml:space="preserve">When a chemistry result is a non-detect, it is normally estimated at 50% of the MDL (manual page 37). But if the </w:t>
            </w:r>
            <w:r>
              <w:rPr>
                <w:b/>
                <w:bCs/>
              </w:rPr>
              <w:t xml:space="preserve">MDL itself is not reported</w:t>
            </w:r>
            <w:r>
              <w:t xml:space="preserve">, a missing result cannot be estimated from it, so the value is left missing rather than fabricated. This was prompted by a real error — an estimated Mercury value of −49.5 at station B98-2128, which arose because the result was missing and the MDL was recorded as −99. If the MDL is also invalid (−99, −88, NA, null, or 0), the result becomes NA. The same logic is applied to summed constituent groups.</w:t>
            </w:r>
          </w:p>
          <w:p>
            <w:pPr>
              <w:pBdr>
                <w:left w:val="single" w:color="1E6B4F" w:sz="14" w:space="4"/>
              </w:pBdr>
              <w:shd w:fill="EFF6F1" w:color="auto" w:val="clear"/>
              <w:spacing w:after="40" w:line="262"/>
              <w:ind w:left="60"/>
            </w:pPr>
            <w:r>
              <w:rPr>
                <w:color w:val="1A4635"/>
                <w:sz w:val="18"/>
                <w:szCs w:val="18"/>
              </w:rPr>
              <w:t xml:space="preserve">This fills a gap in the manual. The manual (p.37) prescribes estimating a non-detect at 50% of the MDL, but is silent on what to do when the MDL itself is missing. This decision resolves that unaddressed case.</w:t>
            </w:r>
          </w:p>
          <w:p>
            <w:pPr>
              <w:spacing w:after="0"/>
            </w:pPr>
            <w:r>
              <w:rPr>
                <w:i/>
                <w:iCs/>
                <w:color w:val="8A6A2A"/>
                <w:sz w:val="17"/>
                <w:szCs w:val="17"/>
              </w:rPr>
              <w:t xml:space="preserve">R/chemistry.R — “Per Charles Wong on Tuesday March 31, 2026…”</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Darrin Greenstein</w:t>
            </w:r>
            <w:r>
              <w:rPr>
                <w:i/>
                <w:iCs/>
                <w:color w:val="8A6A2A"/>
                <w:sz w:val="18"/>
                <w:szCs w:val="18"/>
              </w:rPr>
              <w:t xml:space="preserve">   ·   June 10, 2024</w:t>
            </w:r>
          </w:p>
          <w:p>
            <w:pPr>
              <w:spacing w:after="60" w:line="264"/>
            </w:pPr>
            <w:r>
              <w:t xml:space="preserve">In the CSI calculation, round result values to </w:t>
            </w:r>
            <w:r>
              <w:rPr>
                <w:b/>
                <w:bCs/>
              </w:rPr>
              <w:t xml:space="preserve">4 decimal places when the result is less than 1</w:t>
            </w:r>
            <w:r>
              <w:t xml:space="preserve"> — a convention adopted to keep CSI calculations consistent.</w:t>
            </w:r>
          </w:p>
          <w:p>
            <w:pPr>
              <w:pBdr>
                <w:left w:val="single" w:color="1E6B4F" w:sz="14" w:space="4"/>
              </w:pBdr>
              <w:shd w:fill="EFF6F1" w:color="auto" w:val="clear"/>
              <w:spacing w:after="40" w:line="262"/>
              <w:ind w:left="60"/>
            </w:pPr>
            <w:r>
              <w:rPr>
                <w:color w:val="1A4635"/>
                <w:sz w:val="18"/>
                <w:szCs w:val="18"/>
              </w:rPr>
              <w:t xml:space="preserve">This is not addressed in the manual. It is a numerical-precision convention; the manual does not specify a decimal-rounding rule for CSI inputs.</w:t>
            </w:r>
          </w:p>
          <w:p>
            <w:pPr>
              <w:spacing w:after="0"/>
            </w:pPr>
            <w:r>
              <w:rPr>
                <w:i/>
                <w:iCs/>
                <w:color w:val="8A6A2A"/>
                <w:sz w:val="17"/>
                <w:szCs w:val="17"/>
              </w:rPr>
              <w:t xml:space="preserve">R/chemistry.R, Step 0.5 — “Round the result value according to the convention given by Darrin.”</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Darrin Greenstein</w:t>
            </w:r>
            <w:r>
              <w:rPr>
                <w:i/>
                <w:iCs/>
                <w:color w:val="8A6A2A"/>
                <w:sz w:val="18"/>
                <w:szCs w:val="18"/>
              </w:rPr>
              <w:t xml:space="preserve">   ·   July 20, 2022</w:t>
            </w:r>
          </w:p>
          <w:p>
            <w:pPr>
              <w:spacing w:after="60" w:line="264"/>
            </w:pPr>
            <w:r>
              <w:t xml:space="preserve">Where a replicate must be chosen for a chemistry analyte, pick the </w:t>
            </w:r>
            <w:r>
              <w:rPr>
                <w:b/>
                <w:bCs/>
              </w:rPr>
              <w:t xml:space="preserve">first replicate</w:t>
            </w:r>
            <w:r>
              <w:t xml:space="preserve">. In Darrin's words, quoted in the code: “I'd just pick the first rep. That will randomly even out any bias.” The comment notes this is common-sense guidance rather than an explicit manual rule.</w:t>
            </w:r>
          </w:p>
          <w:p>
            <w:pPr>
              <w:pBdr>
                <w:left w:val="single" w:color="1E6B4F" w:sz="14" w:space="4"/>
              </w:pBdr>
              <w:shd w:fill="EFF6F1" w:color="auto" w:val="clear"/>
              <w:spacing w:after="40" w:line="262"/>
              <w:ind w:left="60"/>
            </w:pPr>
            <w:r>
              <w:rPr>
                <w:color w:val="1A4635"/>
                <w:sz w:val="18"/>
                <w:szCs w:val="18"/>
              </w:rPr>
              <w:t xml:space="preserve">This is not addressed in the manual. The manual does not describe replicate selection, and the code comment itself flags this as common-sense guidance rather than a manual rule.</w:t>
            </w:r>
          </w:p>
          <w:p>
            <w:pPr>
              <w:spacing w:after="0"/>
            </w:pPr>
            <w:r>
              <w:rPr>
                <w:i/>
                <w:iCs/>
                <w:color w:val="8A6A2A"/>
                <w:sz w:val="17"/>
                <w:szCs w:val="17"/>
              </w:rPr>
              <w:t xml:space="preserve">R/chemistry.R — “guidance from Darrin Greenstein.”</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Total DDT / DDE / DDD sums</w:t>
            </w:r>
          </w:p>
          <w:p>
            <w:pPr>
              <w:spacing w:after="60" w:line="264"/>
            </w:pPr>
            <w:r>
              <w:t xml:space="preserve">Total DDT / DDE / DDD are computed as the sum of the 2,4' and 4,4' isomers. The code also notes that if some off-list isomer (e.g. 2,2') happens to appear in the data, it is </w:t>
            </w:r>
            <w:r>
              <w:rPr>
                <w:b/>
                <w:bCs/>
              </w:rPr>
              <w:t xml:space="preserve">kept rather than filtered out</w:t>
            </w:r>
            <w:r>
              <w:t xml:space="preserve">.</w:t>
            </w:r>
          </w:p>
          <w:p>
            <w:pPr>
              <w:pBdr>
                <w:left w:val="single" w:color="1E6B4F" w:sz="14" w:space="4"/>
              </w:pBdr>
              <w:shd w:fill="EFF6F1" w:color="auto" w:val="clear"/>
              <w:spacing w:after="40" w:line="262"/>
              <w:ind w:left="60"/>
            </w:pPr>
            <w:r>
              <w:rPr>
                <w:color w:val="1A4635"/>
                <w:sz w:val="18"/>
                <w:szCs w:val="18"/>
              </w:rPr>
              <w:t xml:space="preserve">This is consistent with the manual, with a minor extension. The manual (p.35) defines each total as the sum of the p,p' and o,p' isomers — that is, 4,4' and 2,4'. Keeping any stray extra isomer goes slightly beyond that exact two-isomer definition.</w:t>
            </w:r>
          </w:p>
          <w:p>
            <w:pPr>
              <w:spacing w:after="40"/>
            </w:pPr>
            <w:r>
              <w:rPr>
                <w:b/>
                <w:bCs/>
                <w:color w:val="8A6A2A"/>
                <w:sz w:val="17"/>
                <w:szCs w:val="17"/>
              </w:rPr>
              <w:t xml:space="preserve">Attribution:  </w:t>
            </w:r>
            <w:r>
              <w:rPr>
                <w:sz w:val="17"/>
                <w:szCs w:val="17"/>
              </w:rPr>
              <w:t xml:space="preserve">Not recorded in code (to be confirmed).</w:t>
            </w:r>
          </w:p>
          <w:p>
            <w:pPr>
              <w:spacing w:after="0"/>
            </w:pPr>
            <w:r>
              <w:rPr>
                <w:i/>
                <w:iCs/>
                <w:color w:val="8A6A2A"/>
                <w:sz w:val="17"/>
                <w:szCs w:val="17"/>
              </w:rPr>
              <w:t xml:space="preserve">R/chemistry.R — “We decided to leave the script this way.”</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Chemistry LOE = ceiling of the mean of CSI and LRM</w:t>
            </w:r>
          </w:p>
          <w:p>
            <w:pPr>
              <w:spacing w:after="60" w:line="264"/>
            </w:pPr>
            <w:r>
              <w:t xml:space="preserve">The Chemistry LOE score is the average of the CSI and LRM category scores, computed with </w:t>
            </w:r>
            <w:r>
              <w:rPr>
                <w:rFonts w:ascii="Consolas" w:cs="Consolas" w:eastAsia="Consolas" w:hAnsi="Consolas"/>
                <w:sz w:val="19"/>
                <w:szCs w:val="19"/>
              </w:rPr>
              <w:t xml:space="preserve">na.rm = FALSE</w:t>
            </w:r>
            <w:r>
              <w:t xml:space="preserve"> so that </w:t>
            </w:r>
            <w:r>
              <w:rPr>
                <w:b/>
                <w:bCs/>
              </w:rPr>
              <w:t xml:space="preserve">both indices are required</w:t>
            </w:r>
            <w:r>
              <w:t xml:space="preserve">; if either cannot be calculated there is no Chemistry LOE score. Where the average is not an integer the code takes the </w:t>
            </w:r>
            <w:r>
              <w:rPr>
                <w:b/>
                <w:bCs/>
              </w:rPr>
              <w:t xml:space="preserve">ceiling</w:t>
            </w:r>
            <w:r>
              <w:t xml:space="preserve"> (rounds up) — explicitly to “err on the side of determining that a site is more impacted.”</w:t>
            </w:r>
          </w:p>
          <w:p>
            <w:pPr>
              <w:pBdr>
                <w:left w:val="single" w:color="1E6B4F" w:sz="14" w:space="4"/>
              </w:pBdr>
              <w:shd w:fill="EFF6F1" w:color="auto" w:val="clear"/>
              <w:spacing w:after="40" w:line="262"/>
              <w:ind w:left="60"/>
            </w:pPr>
            <w:r>
              <w:rPr>
                <w:color w:val="1A4635"/>
                <w:sz w:val="18"/>
                <w:szCs w:val="18"/>
              </w:rPr>
              <w:t xml:space="preserve">This is consistent with the manual. The manual (pp.35, 37) requires both the CA LRM and CSI to be calculated and then averaged into a single Chemistry LOE category. For the two-index case the code's ceiling gives the same result as the manual's round-half-up convention (see toxicity, p.109); the choice to always round up is the code's precautionary approach where they could differ.</w:t>
            </w:r>
          </w:p>
          <w:p>
            <w:pPr>
              <w:spacing w:after="40"/>
            </w:pPr>
            <w:r>
              <w:rPr>
                <w:b/>
                <w:bCs/>
                <w:color w:val="8A6A2A"/>
                <w:sz w:val="17"/>
                <w:szCs w:val="17"/>
              </w:rPr>
              <w:t xml:space="preserve">Attribution:  </w:t>
            </w:r>
            <w:r>
              <w:rPr>
                <w:sz w:val="17"/>
                <w:szCs w:val="17"/>
              </w:rPr>
              <w:t xml:space="preserve">Not recorded in code (CASQO framework / to be confirmed).</w:t>
            </w:r>
          </w:p>
          <w:p>
            <w:pPr>
              <w:spacing w:after="0"/>
            </w:pPr>
            <w:r>
              <w:rPr>
                <w:i/>
                <w:iCs/>
                <w:color w:val="8A6A2A"/>
                <w:sz w:val="17"/>
                <w:szCs w:val="17"/>
              </w:rPr>
              <w:t xml:space="preserve">R/chemistry.R — Chemistry LOE integration step</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PCB congener list and 1.72 correction factor</w:t>
            </w:r>
          </w:p>
          <w:p>
            <w:pPr>
              <w:spacing w:after="60" w:line="264"/>
            </w:pPr>
            <w:r>
              <w:t xml:space="preserve">Total PCBs are summed from a fixed list of 16 congeners (PCB-008, 018, 028, 044, 052, 066, 101, 105, 110, 118, 128, 138, 153, 180, 187, 195), and that sum is then multiplied by </w:t>
            </w:r>
            <w:r>
              <w:rPr>
                <w:b/>
                <w:bCs/>
              </w:rPr>
              <w:t xml:space="preserve">1.72</w:t>
            </w:r>
            <w:r>
              <w:t xml:space="preserve"> (chemistry prep, Step 11).</w:t>
            </w:r>
          </w:p>
          <w:p>
            <w:pPr>
              <w:pBdr>
                <w:left w:val="single" w:color="1E6B4F" w:sz="14" w:space="4"/>
              </w:pBdr>
              <w:shd w:fill="EFF6F1" w:color="auto" w:val="clear"/>
              <w:spacing w:after="40" w:line="262"/>
              <w:ind w:left="60"/>
            </w:pPr>
            <w:r>
              <w:rPr>
                <w:color w:val="1A4635"/>
                <w:sz w:val="18"/>
                <w:szCs w:val="18"/>
              </w:rPr>
              <w:t xml:space="preserve">This is consistent with the manual. The manual (Table 3.1; p.36) specifies the reduced congener list — chosen for compatibility with California historical data — and requires the 1.72 correction factor to approximate the larger NOAA congener list. The code applies both.</w:t>
            </w:r>
          </w:p>
          <w:p>
            <w:pPr>
              <w:spacing w:after="40"/>
            </w:pPr>
            <w:r>
              <w:rPr>
                <w:b/>
                <w:bCs/>
                <w:color w:val="8A6A2A"/>
                <w:sz w:val="17"/>
                <w:szCs w:val="17"/>
              </w:rPr>
              <w:t xml:space="preserve">Attribution:  </w:t>
            </w:r>
            <w:r>
              <w:rPr>
                <w:sz w:val="17"/>
                <w:szCs w:val="17"/>
              </w:rPr>
              <w:t xml:space="preserve">CASQO framework (Table 3.1).</w:t>
            </w:r>
          </w:p>
          <w:p>
            <w:pPr>
              <w:spacing w:after="0"/>
            </w:pPr>
            <w:r>
              <w:rPr>
                <w:i/>
                <w:iCs/>
                <w:color w:val="8A6A2A"/>
                <w:sz w:val="17"/>
                <w:szCs w:val="17"/>
              </w:rPr>
              <w:t xml:space="preserve">R/chemistry.R — Step 11 (multiply PCBs by 1.72)</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Units convention (metals vs. organics)</w:t>
            </w:r>
          </w:p>
          <w:p>
            <w:pPr>
              <w:spacing w:after="60" w:line="264"/>
            </w:pPr>
            <w:r>
              <w:t xml:space="preserve">Metals (Cadmium, Copper, Lead, Mercury, Zinc) are handled as parts-per-million (mg/dry kg); all other constituents are parts-per-billion (µg/dry kg).</w:t>
            </w:r>
          </w:p>
          <w:p>
            <w:pPr>
              <w:pBdr>
                <w:left w:val="single" w:color="1E6B4F" w:sz="14" w:space="4"/>
              </w:pBdr>
              <w:shd w:fill="EFF6F1" w:color="auto" w:val="clear"/>
              <w:spacing w:after="40" w:line="262"/>
              <w:ind w:left="60"/>
            </w:pPr>
            <w:r>
              <w:rPr>
                <w:color w:val="1A4635"/>
                <w:sz w:val="18"/>
                <w:szCs w:val="18"/>
              </w:rPr>
              <w:t xml:space="preserve">This is consistent with the manual. The manual (p.37) requires metals in mg/dry kg and all organic constituents in µg/dry kg, on a dry-weight basis.</w:t>
            </w:r>
          </w:p>
          <w:p>
            <w:pPr>
              <w:spacing w:after="40"/>
            </w:pPr>
            <w:r>
              <w:rPr>
                <w:b/>
                <w:bCs/>
                <w:color w:val="8A6A2A"/>
                <w:sz w:val="17"/>
                <w:szCs w:val="17"/>
              </w:rPr>
              <w:t xml:space="preserve">Attribution:  </w:t>
            </w:r>
            <w:r>
              <w:rPr>
                <w:sz w:val="17"/>
                <w:szCs w:val="17"/>
              </w:rPr>
              <w:t xml:space="preserve">CASQO framework.</w:t>
            </w:r>
          </w:p>
          <w:p>
            <w:pPr>
              <w:spacing w:after="0"/>
            </w:pPr>
            <w:r>
              <w:rPr>
                <w:i/>
                <w:iCs/>
                <w:color w:val="8A6A2A"/>
                <w:sz w:val="17"/>
                <w:szCs w:val="17"/>
              </w:rPr>
              <w:t xml:space="preserve">R/chemistry.R</w:t>
            </w:r>
          </w:p>
        </w:tc>
      </w:tr>
    </w:tbl>
    <w:p>
      <w:r>
        <w:br w:type="page"/>
      </w:r>
    </w:p>
    <w:p>
      <w:pPr>
        <w:pStyle w:val="Heading1"/>
        <w:spacing w:after="140" w:before="320"/>
      </w:pPr>
      <w:r>
        <w:t xml:space="preserve">7. Toxicity Line of Evidence</w:t>
      </w:r>
    </w:p>
    <w:p>
      <w:pPr>
        <w:spacing w:after="140" w:line="276"/>
      </w:pPr>
      <w:r>
        <w:rPr>
          <w:rFonts w:ascii="Consolas" w:cs="Consolas" w:eastAsia="Consolas" w:hAnsi="Consolas"/>
          <w:sz w:val="19"/>
          <w:szCs w:val="19"/>
        </w:rPr>
        <w:t xml:space="preserve">tox.sqo()</w:t>
      </w:r>
      <w:r>
        <w:t xml:space="preserve"> produces the integrated toxicity score and category per station; </w:t>
      </w:r>
      <w:r>
        <w:rPr>
          <w:rFonts w:ascii="Consolas" w:cs="Consolas" w:eastAsia="Consolas" w:hAnsi="Consolas"/>
          <w:sz w:val="19"/>
          <w:szCs w:val="19"/>
        </w:rPr>
        <w:t xml:space="preserve">tox.summary()</w:t>
      </w:r>
      <w:r>
        <w:t xml:space="preserve"> returns the underlying summary table (means, control-adjusted percentages, significance tests). Category assignment follows CASQO manual pages 106–108, and integration of the tests follows page 109. Results are compared against their batch control via a t-test, which is joined at the batch level (not by lab replicate) so it can run even when the sample and control have different replicate counts.</w:t>
      </w:r>
    </w:p>
    <w:p>
      <w:pPr>
        <w:pStyle w:val="Heading2"/>
        <w:spacing w:after="100" w:before="240"/>
      </w:pPr>
      <w:r>
        <w:t xml:space="preserve">7.1 Expert decisions (Toxicity)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Darrin Greenstein</w:t>
            </w:r>
            <w:r>
              <w:rPr>
                <w:i/>
                <w:iCs/>
                <w:color w:val="8A6A2A"/>
                <w:sz w:val="18"/>
                <w:szCs w:val="18"/>
              </w:rPr>
              <w:t xml:space="preserve">   ·   July 2022</w:t>
            </w:r>
          </w:p>
          <w:p>
            <w:pPr>
              <w:spacing w:after="60" w:line="264"/>
            </w:pPr>
            <w:r>
              <w:t xml:space="preserve">The toxicity LOE score is the mean of the two required test types (a short-term amphipod survival test and a sublethal test). Darrin's decision: if </w:t>
            </w:r>
            <w:r>
              <w:rPr>
                <w:b/>
                <w:bCs/>
              </w:rPr>
              <w:t xml:space="preserve">either test is missing, the score should be NA</w:t>
            </w:r>
            <w:r>
              <w:t xml:space="preserve"> — i.e. the mean is taken with </w:t>
            </w:r>
            <w:r>
              <w:rPr>
                <w:rFonts w:ascii="Consolas" w:cs="Consolas" w:eastAsia="Consolas" w:hAnsi="Consolas"/>
                <w:sz w:val="19"/>
                <w:szCs w:val="19"/>
              </w:rPr>
              <w:t xml:space="preserve">na.rm = FALSE</w:t>
            </w:r>
            <w:r>
              <w:t xml:space="preserve">. The reasoning (supported by manual pages 84–85) is that CASQO toxicity assessment requires both an acute and a sublethal test; if one is absent, the toxicity line of evidence is declared indeterminate/unknown rather than scored from a single test.</w:t>
            </w:r>
          </w:p>
          <w:p>
            <w:pPr>
              <w:pBdr>
                <w:left w:val="single" w:color="1E6B4F" w:sz="14" w:space="4"/>
              </w:pBdr>
              <w:shd w:fill="EFF6F1" w:color="auto" w:val="clear"/>
              <w:spacing w:after="40" w:line="262"/>
              <w:ind w:left="60"/>
            </w:pPr>
            <w:r>
              <w:rPr>
                <w:color w:val="1A4635"/>
                <w:sz w:val="18"/>
                <w:szCs w:val="18"/>
              </w:rPr>
              <w:t xml:space="preserve">This is a consistent interpretation of the manual. The manual (Chapter 5, pp.84–85) requires both an acute and a sublethal test, and p.109 takes the mean of the tests — but it does not state what to do when one test is absent. Declaring the LOE indeterminate is a reasonable reading of that requirement.</w:t>
            </w:r>
          </w:p>
          <w:p>
            <w:pPr>
              <w:spacing w:after="0"/>
            </w:pPr>
            <w:r>
              <w:rPr>
                <w:i/>
                <w:iCs/>
                <w:color w:val="8A6A2A"/>
                <w:sz w:val="17"/>
                <w:szCs w:val="17"/>
              </w:rPr>
              <w:t xml:space="preserve">R/toxicity.R — “PER DARRIN GREENSTEIN, in July 2022…”</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Ken Schiff</w:t>
            </w:r>
            <w:r>
              <w:rPr>
                <w:i/>
                <w:iCs/>
                <w:color w:val="8A6A2A"/>
                <w:sz w:val="18"/>
                <w:szCs w:val="18"/>
              </w:rPr>
              <w:t xml:space="preserve">   ·   August 1, 2022</w:t>
            </w:r>
          </w:p>
          <w:p>
            <w:pPr>
              <w:spacing w:after="60" w:line="264"/>
            </w:pPr>
            <w:r>
              <w:t xml:space="preserve">The requirement for </w:t>
            </w:r>
            <w:r>
              <w:rPr>
                <w:b/>
                <w:bCs/>
              </w:rPr>
              <w:t xml:space="preserve">both</w:t>
            </w:r>
            <w:r>
              <w:t xml:space="preserve"> tests (above) applies to embayment strata. </w:t>
            </w:r>
            <w:r>
              <w:rPr>
                <w:b/>
                <w:bCs/>
              </w:rPr>
              <w:t xml:space="preserve">Offshore strata only require the amphipod (Eohaustorius survival) test</w:t>
            </w:r>
            <w:r>
              <w:t xml:space="preserve">, not the Mytilus sublethal test. When a station's stratum is offshore (the code matches “shelf”, “slope”, or “islands”), the toxicity LOE score is computed from whatever tests are present (</w:t>
            </w:r>
            <w:r>
              <w:rPr>
                <w:rFonts w:ascii="Consolas" w:cs="Consolas" w:eastAsia="Consolas" w:hAnsi="Consolas"/>
                <w:sz w:val="19"/>
                <w:szCs w:val="19"/>
              </w:rPr>
              <w:t xml:space="preserve">na.rm = TRUE</w:t>
            </w:r>
            <w:r>
              <w:t xml:space="preserve">), so a missing Mytilus test does not force the score to NA. All non-offshore embayment strata still require both Eohaustorius and Mytilus to receive a toxicity LOE score.</w:t>
            </w:r>
          </w:p>
          <w:p>
            <w:pPr>
              <w:pBdr>
                <w:left w:val="single" w:color="1E6B4F" w:sz="14" w:space="4"/>
              </w:pBdr>
              <w:shd w:fill="EFF6F1" w:color="auto" w:val="clear"/>
              <w:spacing w:after="40" w:line="262"/>
              <w:ind w:left="60"/>
            </w:pPr>
            <w:r>
              <w:rPr>
                <w:color w:val="1A4635"/>
                <w:sz w:val="18"/>
                <w:szCs w:val="18"/>
              </w:rPr>
              <w:t xml:space="preserve">This extends the manual. The CASQO ALSQO framework is written for embayment habitats; offshore/shelf toxicity assessment is outside its scope, so this offshore rule is an expert extension rather than a manual provision.</w:t>
            </w:r>
          </w:p>
          <w:p>
            <w:pPr>
              <w:spacing w:after="0"/>
            </w:pPr>
            <w:r>
              <w:rPr>
                <w:i/>
                <w:iCs/>
                <w:color w:val="8A6A2A"/>
                <w:sz w:val="17"/>
                <w:szCs w:val="17"/>
              </w:rPr>
              <w:t xml:space="preserve">R/toxicity.R — “offshore sites only require the Amphipod test - per Ken Schiff August 1, 2022.”</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Ken Schiff</w:t>
            </w:r>
            <w:r>
              <w:rPr>
                <w:i/>
                <w:iCs/>
                <w:color w:val="8A6A2A"/>
                <w:sz w:val="18"/>
                <w:szCs w:val="18"/>
              </w:rPr>
              <w:t xml:space="preserve">   ·   Historical data policy</w:t>
            </w:r>
          </w:p>
          <w:p>
            <w:pPr>
              <w:spacing w:after="60" w:line="264"/>
            </w:pPr>
            <w:r>
              <w:t xml:space="preserve">For historical data from </w:t>
            </w:r>
            <w:r>
              <w:rPr>
                <w:b/>
                <w:bCs/>
              </w:rPr>
              <w:t xml:space="preserve">2003 and prior</w:t>
            </w:r>
            <w:r>
              <w:t xml:space="preserve">, no Mytilus tests were performed, so the </w:t>
            </w:r>
            <w:r>
              <w:rPr>
                <w:b/>
                <w:bCs/>
              </w:rPr>
              <w:t xml:space="preserve">Eohaustorius score alone is used for the toxicity LOE score</w:t>
            </w:r>
            <w:r>
              <w:t xml:space="preserve"> for those samples — the same practical treatment as the offshore rule, applied because the sublethal test simply does not exist in the older record. </w:t>
            </w:r>
            <w:r>
              <w:rPr>
                <w:i/>
                <w:iCs/>
              </w:rPr>
              <w:t xml:space="preserve">(Note: this is a documented policy decision made by Ken Schiff; it is described here for the record but is not currently encoded as a date-based rule in the package source.)</w:t>
            </w:r>
          </w:p>
          <w:p>
            <w:pPr>
              <w:pBdr>
                <w:left w:val="single" w:color="1E6B4F" w:sz="14" w:space="4"/>
              </w:pBdr>
              <w:shd w:fill="EFF6F1" w:color="auto" w:val="clear"/>
              <w:spacing w:after="40" w:line="262"/>
              <w:ind w:left="60"/>
            </w:pPr>
            <w:r>
              <w:rPr>
                <w:color w:val="1A4635"/>
                <w:sz w:val="18"/>
                <w:szCs w:val="18"/>
              </w:rPr>
              <w:t xml:space="preserve">This is not addressed in the manual. The manual does not cover the pre-2003 historical record, so this is a data-availability policy call.</w:t>
            </w:r>
          </w:p>
          <w:p>
            <w:pPr>
              <w:spacing w:after="0"/>
            </w:pPr>
            <w:r>
              <w:rPr>
                <w:i/>
                <w:iCs/>
                <w:color w:val="8A6A2A"/>
                <w:sz w:val="17"/>
                <w:szCs w:val="17"/>
              </w:rPr>
              <w:t xml:space="preserve">SCCWRP policy decision (not in code comments)</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Which mean sets the “Nontoxic” threshold</w:t>
            </w:r>
          </w:p>
          <w:p>
            <w:pPr>
              <w:spacing w:after="60" w:line="264"/>
            </w:pPr>
            <w:r>
              <w:t xml:space="preserve">For the </w:t>
            </w:r>
            <w:r>
              <w:rPr>
                <w:b/>
                <w:bCs/>
              </w:rPr>
              <w:t xml:space="preserve">Nontoxic</w:t>
            </w:r>
            <w:r>
              <w:t xml:space="preserve"> determination the code compares the </w:t>
            </w:r>
            <w:r>
              <w:rPr>
                <w:b/>
                <w:bCs/>
              </w:rPr>
              <w:t xml:space="preserve">non-control-adjusted</w:t>
            </w:r>
            <w:r>
              <w:t xml:space="preserve"> mean response to the threshold; for the Low / Moderate / High categories it uses the </w:t>
            </w:r>
            <w:r>
              <w:rPr>
                <w:b/>
                <w:bCs/>
              </w:rPr>
              <w:t xml:space="preserve">control-adjusted</w:t>
            </w:r>
            <w:r>
              <w:t xml:space="preserve"> mean. (The code additionally routes the Growth endpoint through the control-adjusted mean for Nontoxic.)</w:t>
            </w:r>
          </w:p>
          <w:p>
            <w:pPr>
              <w:pBdr>
                <w:left w:val="single" w:color="1E6B4F" w:sz="14" w:space="4"/>
              </w:pBdr>
              <w:shd w:fill="EFF6F1" w:color="auto" w:val="clear"/>
              <w:spacing w:after="40" w:line="262"/>
              <w:ind w:left="60"/>
            </w:pPr>
            <w:r>
              <w:rPr>
                <w:color w:val="1A4635"/>
                <w:sz w:val="18"/>
                <w:szCs w:val="18"/>
              </w:rPr>
              <w:t xml:space="preserve">This is consistent with the manual, which states it explicitly (p.106 and the Figure 5.8 / 5.9 flowcharts, pp.107–108): the non-normalized response is used for the Nontoxic range and the control-normalized response for the lower categories. The Growth-endpoint handling is a code-level refinement.</w:t>
            </w:r>
          </w:p>
          <w:p>
            <w:pPr>
              <w:spacing w:after="40"/>
            </w:pPr>
            <w:r>
              <w:rPr>
                <w:b/>
                <w:bCs/>
                <w:color w:val="8A6A2A"/>
                <w:sz w:val="17"/>
                <w:szCs w:val="17"/>
              </w:rPr>
              <w:t xml:space="preserve">Attribution:  </w:t>
            </w:r>
            <w:r>
              <w:rPr>
                <w:sz w:val="17"/>
                <w:szCs w:val="17"/>
              </w:rPr>
              <w:t xml:space="preserve">CASQO framework (with a code refinement).</w:t>
            </w:r>
          </w:p>
          <w:p>
            <w:pPr>
              <w:spacing w:after="0"/>
            </w:pPr>
            <w:r>
              <w:rPr>
                <w:i/>
                <w:iCs/>
                <w:color w:val="8A6A2A"/>
                <w:sz w:val="17"/>
                <w:szCs w:val="17"/>
              </w:rPr>
              <w:t xml:space="preserve">R/toxicity.R — SQO category assignment</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One-category improvement when not significantly different</w:t>
            </w:r>
          </w:p>
          <w:p>
            <w:pPr>
              <w:spacing w:after="60" w:line="264"/>
            </w:pPr>
            <w:r>
              <w:t xml:space="preserve">A sample landing in the Low or Moderate toxicity category is </w:t>
            </w:r>
            <w:r>
              <w:rPr>
                <w:b/>
                <w:bCs/>
              </w:rPr>
              <w:t xml:space="preserve">improved by one category</w:t>
            </w:r>
            <w:r>
              <w:t xml:space="preserve"> when its mean is </w:t>
            </w:r>
            <w:r>
              <w:rPr>
                <w:b/>
                <w:bCs/>
              </w:rPr>
              <w:t xml:space="preserve">not</w:t>
            </w:r>
            <w:r>
              <w:t xml:space="preserve"> statistically different from its control.</w:t>
            </w:r>
          </w:p>
          <w:p>
            <w:pPr>
              <w:pBdr>
                <w:left w:val="single" w:color="1E6B4F" w:sz="14" w:space="4"/>
              </w:pBdr>
              <w:shd w:fill="EFF6F1" w:color="auto" w:val="clear"/>
              <w:spacing w:after="40" w:line="262"/>
              <w:ind w:left="60"/>
            </w:pPr>
            <w:r>
              <w:rPr>
                <w:color w:val="1A4635"/>
                <w:sz w:val="18"/>
                <w:szCs w:val="18"/>
              </w:rPr>
              <w:t xml:space="preserve">This is consistent with the manual — it is exactly what the Figure 5.8 / 5.9 flowcharts (pp.107–108) prescribe: the category depends on both the response level and whether a significant difference from the control is present.</w:t>
            </w:r>
          </w:p>
          <w:p>
            <w:pPr>
              <w:spacing w:after="40"/>
            </w:pPr>
            <w:r>
              <w:rPr>
                <w:b/>
                <w:bCs/>
                <w:color w:val="8A6A2A"/>
                <w:sz w:val="17"/>
                <w:szCs w:val="17"/>
              </w:rPr>
              <w:t xml:space="preserve">Attribution:  </w:t>
            </w:r>
            <w:r>
              <w:rPr>
                <w:sz w:val="17"/>
                <w:szCs w:val="17"/>
              </w:rPr>
              <w:t xml:space="preserve">CASQO framework.</w:t>
            </w:r>
          </w:p>
          <w:p>
            <w:pPr>
              <w:spacing w:after="0"/>
            </w:pPr>
            <w:r>
              <w:rPr>
                <w:i/>
                <w:iCs/>
                <w:color w:val="8A6A2A"/>
                <w:sz w:val="17"/>
                <w:szCs w:val="17"/>
              </w:rPr>
              <w:t xml:space="preserve">R/toxicity.R — “the low and moderate scores got improved by one category…”</w:t>
            </w:r>
          </w:p>
        </w:tc>
      </w:tr>
    </w:tbl>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E8DABB" w:sz="2"/>
              <w:left w:val="single" w:color="C08A2B" w:sz="24"/>
              <w:bottom w:val="single" w:color="E8DABB" w:sz="2"/>
              <w:right w:val="single" w:color="E8DABB" w:sz="2"/>
            </w:tcBorders>
            <w:shd w:fill="FBF3E4" w:color="auto" w:val="clear"/>
            <w:tcMar>
              <w:top w:type="dxa" w:w="90"/>
              <w:left w:type="dxa" w:w="150"/>
              <w:bottom w:type="dxa" w:w="90"/>
              <w:right w:type="dxa" w:w="120"/>
            </w:tcMar>
          </w:tcPr>
          <w:p>
            <w:pPr>
              <w:spacing w:after="40"/>
            </w:pPr>
            <w:r>
              <w:rPr>
                <w:b/>
                <w:bCs/>
                <w:color w:val="6B4A12"/>
                <w:sz w:val="20"/>
                <w:szCs w:val="20"/>
              </w:rPr>
              <w:t xml:space="preserve">Darrin Greenstein</w:t>
            </w:r>
          </w:p>
          <w:p>
            <w:pPr>
              <w:spacing w:after="60" w:line="264"/>
            </w:pPr>
            <w:r>
              <w:t xml:space="preserve">The toxicity LOE score is the mean of the test category scores (Nontoxic 1 … High 4), rounded to a category. Darrin's decision was to use </w:t>
            </w:r>
            <w:r>
              <w:rPr>
                <w:b/>
                <w:bCs/>
              </w:rPr>
              <w:t xml:space="preserve">conventional rounding, where a half always rounds up</w:t>
            </w:r>
            <w:r>
              <w:t xml:space="preserve"> — 0.5→1, 1.5→2, 2.5→3, 3.5→4 — rather than R's default </w:t>
            </w:r>
            <w:r>
              <w:rPr>
                <w:b/>
                <w:bCs/>
              </w:rPr>
              <w:t xml:space="preserve">banker's rounding</w:t>
            </w:r>
            <w:r>
              <w:t xml:space="preserve"> (round-half-to-even, which would send 0.5→0, 2.5→2, etc.). Rounding halves up leans conservatively toward the more-impacted category. In the code this is achieved with the </w:t>
            </w:r>
            <w:r>
              <w:rPr>
                <w:b/>
                <w:bCs/>
              </w:rPr>
              <w:t xml:space="preserve">ceiling</w:t>
            </w:r>
            <w:r>
              <w:t xml:space="preserve"> of the mean, which produces exactly this half-up behaviour for the one- and two-test cases (where the mean is always a whole or half number).</w:t>
            </w:r>
          </w:p>
          <w:p>
            <w:pPr>
              <w:pBdr>
                <w:left w:val="single" w:color="1E6B4F" w:sz="14" w:space="4"/>
              </w:pBdr>
              <w:shd w:fill="EFF6F1" w:color="auto" w:val="clear"/>
              <w:spacing w:after="40" w:line="262"/>
              <w:ind w:left="60"/>
            </w:pPr>
            <w:r>
              <w:rPr>
                <w:color w:val="1A4635"/>
                <w:sz w:val="18"/>
                <w:szCs w:val="18"/>
              </w:rPr>
              <w:t xml:space="preserve">This is consistent with the manual. The manual (p.109) rounds the mean to the nearest category with 0.5-and-above rounding up — the same conventional (not banker's) rounding Darrin specified. The code's ceiling matches this for one or two tests; it would only round more aggressively with three or more tests producing a non-half mean.</w:t>
            </w:r>
          </w:p>
          <w:p>
            <w:pPr>
              <w:spacing w:after="40"/>
            </w:pPr>
            <w:r>
              <w:rPr>
                <w:b/>
                <w:bCs/>
                <w:color w:val="8A6A2A"/>
                <w:sz w:val="17"/>
                <w:szCs w:val="17"/>
              </w:rPr>
              <w:t xml:space="preserve">Attribution:  </w:t>
            </w:r>
            <w:r>
              <w:rPr>
                <w:sz w:val="17"/>
                <w:szCs w:val="17"/>
              </w:rPr>
              <w:t xml:space="preserve">Per Darrin Greenstein (not recorded in code comments).</w:t>
            </w:r>
          </w:p>
          <w:p>
            <w:pPr>
              <w:spacing w:after="0"/>
            </w:pPr>
            <w:r>
              <w:rPr>
                <w:i/>
                <w:iCs/>
                <w:color w:val="8A6A2A"/>
                <w:sz w:val="17"/>
                <w:szCs w:val="17"/>
              </w:rPr>
              <w:t xml:space="preserve">R/toxicity.R — integrated toxicity score</w:t>
            </w:r>
          </w:p>
        </w:tc>
      </w:tr>
    </w:tbl>
    <w:p>
      <w:pPr>
        <w:spacing w:after="100"/>
      </w:pPr>
    </w:p>
    <w:p>
      <w:pPr>
        <w:spacing w:after="140" w:line="276"/>
      </w:pPr>
      <w:r>
        <w:t xml:space="preserve">Two further data-handling choices in the toxicity code are worth knowing, though the code does not attribute them to a named individual: station id “0” is treated as the Bight QA control id “0000”, and any result flagged with a qacode containing “X” (or a negative value such as −88 / −99) is set to NA so it is excluded from calculations. These are data-hygiene steps not covered by the manual.</w:t>
      </w:r>
    </w:p>
    <w:p>
      <w:r>
        <w:br w:type="page"/>
      </w:r>
    </w:p>
    <w:p>
      <w:pPr>
        <w:pStyle w:val="Heading1"/>
        <w:spacing w:after="140" w:before="320"/>
      </w:pPr>
      <w:r>
        <w:t xml:space="preserve">8. Integrated Site Assessment</w:t>
      </w:r>
    </w:p>
    <w:p>
      <w:pPr>
        <w:spacing w:after="140" w:line="276"/>
      </w:pPr>
      <w:r>
        <w:t xml:space="preserve">For the overall assessment, each station needs exactly one Benthic, Chemistry, and Toxicity category. These are joined against the </w:t>
      </w:r>
      <w:r>
        <w:rPr>
          <w:rFonts w:ascii="Consolas" w:cs="Consolas" w:eastAsia="Consolas" w:hAnsi="Consolas"/>
          <w:sz w:val="19"/>
          <w:szCs w:val="19"/>
        </w:rPr>
        <w:t xml:space="preserve">site_assessment_criteria</w:t>
      </w:r>
      <w:r>
        <w:t xml:space="preserve"> look-up table (from the CASQO manual), which maps every combination of the three categories to a single site assessment. A station must have all three lines of evidence to receive an integrated result; stations missing any line appear with an NA assessment.</w:t>
      </w:r>
    </w:p>
    <w:p>
      <w:pPr>
        <w:pStyle w:val="Heading2"/>
        <w:spacing w:after="100" w:before="240"/>
      </w:pPr>
      <w:r>
        <w:t xml:space="preserve">8.1 Decisions in the integration logic</w:t>
      </w:r>
    </w:p>
    <w:p>
      <w:pPr>
        <w:spacing w:after="140" w:line="276"/>
      </w:pPr>
      <w:r>
        <w:t xml:space="preserve">These are implementation choices the code documents to keep the integration robust; they follow the manual's intent rather than adding new judgement:</w:t>
      </w:r>
    </w:p>
    <w:p>
      <w:pPr>
        <w:pStyle w:val="ListParagraph"/>
        <w:numPr>
          <w:ilvl w:val="0"/>
          <w:numId w:val="1"/>
        </w:numPr>
        <w:spacing w:after="60" w:line="276"/>
      </w:pPr>
      <w:r>
        <w:rPr>
          <w:b/>
          <w:bCs/>
        </w:rPr>
        <w:t xml:space="preserve">Offshore → standard benthic mapping: </w:t>
      </w:r>
      <w:r>
        <w:t xml:space="preserve">offshore BRI categories are translated before integration — Marginal Deviation → Low Disturbance, Biodiversity Loss → Moderate Disturbance, and both Function Loss and Defaunation → High Disturbance — so offshore and bay/estuary benthic data feed the same criteria table.</w:t>
      </w:r>
    </w:p>
    <w:p>
      <w:pPr>
        <w:pStyle w:val="ListParagraph"/>
        <w:numPr>
          <w:ilvl w:val="0"/>
          <w:numId w:val="1"/>
        </w:numPr>
        <w:spacing w:after="60" w:line="276"/>
      </w:pPr>
      <w:r>
        <w:rPr>
          <w:b/>
          <w:bCs/>
        </w:rPr>
        <w:t xml:space="preserve">Absent lines of evidence: </w:t>
      </w:r>
      <w:r>
        <w:t xml:space="preserve">if a whole line of evidence is missing from a run, the code still guarantees all three category columns exist (filling the missing one with NA) so the criteria join never fails. Single-LOE and offshore-only runs therefore work correctly.</w:t>
      </w:r>
    </w:p>
    <w:p>
      <w:pPr>
        <w:pStyle w:val="ListParagraph"/>
        <w:numPr>
          <w:ilvl w:val="0"/>
          <w:numId w:val="1"/>
        </w:numPr>
        <w:spacing w:after="60" w:line="276"/>
      </w:pPr>
      <w:r>
        <w:rPr>
          <w:b/>
          <w:bCs/>
        </w:rPr>
        <w:t xml:space="preserve">One row per station: </w:t>
      </w:r>
      <w:r>
        <w:t xml:space="preserve">the replicate-1 rule (Section 5.1) ensures each station contributes a single Benthic row, so the pivot into the criteria table cannot hit duplicate keys.</w:t>
      </w:r>
    </w:p>
    <w:p>
      <w:pPr>
        <w:pBdr>
          <w:left w:val="single" w:color="1E6B4F" w:sz="14" w:space="4"/>
        </w:pBdr>
        <w:shd w:fill="EFF6F1" w:color="auto" w:val="clear"/>
        <w:spacing w:after="140" w:line="276"/>
        <w:ind w:left="60"/>
      </w:pPr>
      <w:r>
        <w:rPr>
          <w:color w:val="1A4635"/>
          <w:sz w:val="20"/>
          <w:szCs w:val="20"/>
        </w:rPr>
        <w:t xml:space="preserve">This is consistent with the manual. Combining the three LOE categories into an overall station assessment, and requiring all three to be present, is defined in CASQO Chapter 6; the </w:t>
      </w:r>
      <w:r>
        <w:rPr>
          <w:rFonts w:ascii="Consolas" w:cs="Consolas" w:eastAsia="Consolas" w:hAnsi="Consolas"/>
          <w:color w:val="1A4635"/>
          <w:sz w:val="19"/>
          <w:szCs w:val="19"/>
        </w:rPr>
        <w:t xml:space="preserve">site_assessment_criteria</w:t>
      </w:r>
      <w:r>
        <w:rPr>
          <w:color w:val="1A4635"/>
          <w:sz w:val="20"/>
          <w:szCs w:val="20"/>
        </w:rPr>
        <w:t xml:space="preserve"> table is that chapter's look-up. The offshore-BRI→benthic category mapping is an extension (offshore is outside the manual's scope), and the NA-fill for absent lines of evidence is an implementation safeguard.</w:t>
      </w:r>
    </w:p>
    <w:p>
      <w:pPr>
        <w:pStyle w:val="Heading1"/>
        <w:spacing w:after="140" w:before="320"/>
      </w:pPr>
      <w:r>
        <w:t xml:space="preserve">9. Example Workflow</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library(SQOUnified)</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benthic_data &lt;- read.csv("path/to/benthic_data.csv")</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chem_data    &lt;- read.csv("path/to/chem_data.csv")</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tox_data     &lt;- read.csv("path/to/tox_data.csv")</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Optional: individual components</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benthic_results &lt;- benthic.sqo(benthic_data)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chem_results    &lt;- chem.sqo(chem_data)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tox_results     &lt;- tox.sqo(tox_data)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Integrated assessment (all scores + overall site assessment)</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integrated &lt;- SQOUnified(benthic = benthic_data,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chem    = chem_data,</w:t>
      </w:r>
    </w:p>
    <w:p>
      <w:pPr>
        <w:pBdr>
          <w:left w:val="single" w:color="2E5A88" w:sz="18" w:space="6"/>
        </w:pBdr>
        <w:shd w:fill="F2F2F2" w:color="auto" w:val="clear"/>
        <w:spacing w:after="0" w:line="260"/>
        <w:ind w:left="120"/>
      </w:pPr>
      <w:r>
        <w:rPr>
          <w:rFonts w:ascii="Consolas" w:cs="Consolas" w:eastAsia="Consolas" w:hAnsi="Consolas"/>
          <w:sz w:val="18"/>
          <w:szCs w:val="18"/>
        </w:rPr>
        <w:t xml:space="preserve">                         tox     = tox_data)</w:t>
      </w:r>
    </w:p>
    <w:p>
      <w:pPr>
        <w:pBdr>
          <w:left w:val="single" w:color="2E5A88" w:sz="18" w:space="6"/>
        </w:pBdr>
        <w:shd w:fill="F2F2F2" w:color="auto" w:val="clear"/>
        <w:spacing w:after="140" w:line="260"/>
        <w:ind w:left="120"/>
      </w:pPr>
      <w:r>
        <w:rPr>
          <w:rFonts w:ascii="Consolas" w:cs="Consolas" w:eastAsia="Consolas" w:hAnsi="Consolas"/>
          <w:sz w:val="18"/>
          <w:szCs w:val="18"/>
        </w:rPr>
        <w:t xml:space="preserve">print(integrated)</w:t>
      </w:r>
    </w:p>
    <w:p>
      <w:pPr>
        <w:pStyle w:val="Heading1"/>
        <w:spacing w:after="140" w:before="320"/>
      </w:pPr>
      <w:r>
        <w:t xml:space="preserve">10. Bundled Example Datasets</w:t>
      </w:r>
    </w:p>
    <w:p>
      <w:pPr>
        <w:spacing w:after="140" w:line="276"/>
      </w:pPr>
      <w:r>
        <w:t xml:space="preserve">The package lazy-loads two tiers of example data, available by name once the package is loaded.</w:t>
      </w:r>
    </w:p>
    <w:p>
      <w:pPr>
        <w:pStyle w:val="Heading3"/>
        <w:spacing w:after="80" w:before="180"/>
      </w:pPr>
      <w:r>
        <w:t xml:space="preserve">Small, self-contained sample data</w:t>
      </w:r>
    </w:p>
    <w:tbl>
      <w:tblPr>
        <w:tblW w:type="dxa" w:w="9200"/>
        <w:tblBorders>
          <w:top w:val="single" w:color="BBBBBB" w:sz="4"/>
          <w:left w:val="single" w:color="BBBBBB" w:sz="4"/>
          <w:bottom w:val="single" w:color="BBBBBB" w:sz="4"/>
          <w:right w:val="single" w:color="BBBBBB" w:sz="4"/>
          <w:insideH w:val="single" w:color="DDDDDD" w:sz="2"/>
          <w:insideV w:val="single" w:color="DDDDDD" w:sz="2"/>
        </w:tblBorders>
      </w:tblPr>
      <w:tblGrid>
        <w:gridCol w:w="3400"/>
        <w:gridCol w:w="5800"/>
      </w:tblGrid>
      <w:tr>
        <w:trPr>
          <w:tblHeader/>
        </w:trPr>
        <w:tc>
          <w:tcPr>
            <w:tcW w:type="dxa" w:w="3400"/>
            <w:shd w:fill="2E5A88" w:color="auto" w:val="clear"/>
            <w:tcMar>
              <w:top w:type="dxa" w:w="40"/>
              <w:left w:type="dxa" w:w="90"/>
              <w:bottom w:type="dxa" w:w="40"/>
              <w:right w:type="dxa" w:w="90"/>
            </w:tcMar>
          </w:tcPr>
          <w:p>
            <w:pPr>
              <w:spacing w:after="20"/>
            </w:pPr>
            <w:r>
              <w:rPr>
                <w:b/>
                <w:bCs/>
                <w:color w:val="FFFFFF"/>
                <w:sz w:val="19"/>
                <w:szCs w:val="19"/>
              </w:rPr>
              <w:t xml:space="preserve">Dataset</w:t>
            </w:r>
          </w:p>
        </w:tc>
        <w:tc>
          <w:tcPr>
            <w:tcW w:type="dxa" w:w="5800"/>
            <w:shd w:fill="2E5A88" w:color="auto" w:val="clear"/>
            <w:tcMar>
              <w:top w:type="dxa" w:w="40"/>
              <w:left w:type="dxa" w:w="90"/>
              <w:bottom w:type="dxa" w:w="40"/>
              <w:right w:type="dxa" w:w="90"/>
            </w:tcMar>
          </w:tcPr>
          <w:p>
            <w:pPr>
              <w:spacing w:after="20"/>
            </w:pPr>
            <w:r>
              <w:rPr>
                <w:b/>
                <w:bCs/>
                <w:color w:val="FFFFFF"/>
                <w:sz w:val="19"/>
                <w:szCs w:val="19"/>
              </w:rPr>
              <w:t xml:space="preserve">Contents</w:t>
            </w:r>
          </w:p>
        </w:tc>
      </w:tr>
      <w:tr>
        <w:tc>
          <w:tcPr>
            <w:tcW w:type="dxa" w:w="3400"/>
            <w:shd w:fill="FFFFFF" w:color="auto" w:val="clear"/>
            <w:tcMar>
              <w:top w:type="dxa" w:w="40"/>
              <w:left w:type="dxa" w:w="90"/>
              <w:bottom w:type="dxa" w:w="40"/>
              <w:right w:type="dxa" w:w="90"/>
            </w:tcMar>
          </w:tcPr>
          <w:p>
            <w:pPr>
              <w:spacing w:after="20"/>
            </w:pPr>
            <w:r>
              <w:rPr>
                <w:b w:val="false"/>
                <w:bCs w:val="false"/>
                <w:color w:val="000000"/>
                <w:sz w:val="19"/>
                <w:szCs w:val="19"/>
              </w:rPr>
              <w:t xml:space="preserve">benthic_sampledata</w:t>
            </w:r>
          </w:p>
        </w:tc>
        <w:tc>
          <w:tcPr>
            <w:tcW w:type="dxa" w:w="5800"/>
            <w:shd w:fill="FFFFFF" w:color="auto" w:val="clear"/>
            <w:tcMar>
              <w:top w:type="dxa" w:w="40"/>
              <w:left w:type="dxa" w:w="90"/>
              <w:bottom w:type="dxa" w:w="40"/>
              <w:right w:type="dxa" w:w="90"/>
            </w:tcMar>
          </w:tcPr>
          <w:p>
            <w:pPr>
              <w:spacing w:after="20"/>
            </w:pPr>
            <w:r>
              <w:rPr>
                <w:b w:val="false"/>
                <w:bCs w:val="false"/>
                <w:color w:val="000000"/>
                <w:sz w:val="19"/>
                <w:szCs w:val="19"/>
              </w:rPr>
              <w:t xml:space="preserve">Bay/estuary benthic infauna</w:t>
            </w:r>
          </w:p>
        </w:tc>
      </w:tr>
      <w:tr>
        <w:tc>
          <w:tcPr>
            <w:tcW w:type="dxa" w:w="3400"/>
            <w:shd w:fill="EAF0F7" w:color="auto" w:val="clear"/>
            <w:tcMar>
              <w:top w:type="dxa" w:w="40"/>
              <w:left w:type="dxa" w:w="90"/>
              <w:bottom w:type="dxa" w:w="40"/>
              <w:right w:type="dxa" w:w="90"/>
            </w:tcMar>
          </w:tcPr>
          <w:p>
            <w:pPr>
              <w:spacing w:after="20"/>
            </w:pPr>
            <w:r>
              <w:rPr>
                <w:b w:val="false"/>
                <w:bCs w:val="false"/>
                <w:color w:val="000000"/>
                <w:sz w:val="19"/>
                <w:szCs w:val="19"/>
              </w:rPr>
              <w:t xml:space="preserve">chem_sampledata</w:t>
            </w:r>
          </w:p>
        </w:tc>
        <w:tc>
          <w:tcPr>
            <w:tcW w:type="dxa" w:w="5800"/>
            <w:shd w:fill="EAF0F7" w:color="auto" w:val="clear"/>
            <w:tcMar>
              <w:top w:type="dxa" w:w="40"/>
              <w:left w:type="dxa" w:w="90"/>
              <w:bottom w:type="dxa" w:w="40"/>
              <w:right w:type="dxa" w:w="90"/>
            </w:tcMar>
          </w:tcPr>
          <w:p>
            <w:pPr>
              <w:spacing w:after="20"/>
            </w:pPr>
            <w:r>
              <w:rPr>
                <w:b w:val="false"/>
                <w:bCs w:val="false"/>
                <w:color w:val="000000"/>
                <w:sz w:val="19"/>
                <w:szCs w:val="19"/>
              </w:rPr>
              <w:t xml:space="preserve">Sediment chemistry (long format)</w:t>
            </w:r>
          </w:p>
        </w:tc>
      </w:tr>
      <w:tr>
        <w:tc>
          <w:tcPr>
            <w:tcW w:type="dxa" w:w="3400"/>
            <w:shd w:fill="FFFFFF" w:color="auto" w:val="clear"/>
            <w:tcMar>
              <w:top w:type="dxa" w:w="40"/>
              <w:left w:type="dxa" w:w="90"/>
              <w:bottom w:type="dxa" w:w="40"/>
              <w:right w:type="dxa" w:w="90"/>
            </w:tcMar>
          </w:tcPr>
          <w:p>
            <w:pPr>
              <w:spacing w:after="20"/>
            </w:pPr>
            <w:r>
              <w:rPr>
                <w:b w:val="false"/>
                <w:bCs w:val="false"/>
                <w:color w:val="000000"/>
                <w:sz w:val="19"/>
                <w:szCs w:val="19"/>
              </w:rPr>
              <w:t xml:space="preserve">tox_sampledata</w:t>
            </w:r>
          </w:p>
        </w:tc>
        <w:tc>
          <w:tcPr>
            <w:tcW w:type="dxa" w:w="5800"/>
            <w:shd w:fill="FFFFFF" w:color="auto" w:val="clear"/>
            <w:tcMar>
              <w:top w:type="dxa" w:w="40"/>
              <w:left w:type="dxa" w:w="90"/>
              <w:bottom w:type="dxa" w:w="40"/>
              <w:right w:type="dxa" w:w="90"/>
            </w:tcMar>
          </w:tcPr>
          <w:p>
            <w:pPr>
              <w:spacing w:after="20"/>
            </w:pPr>
            <w:r>
              <w:rPr>
                <w:b w:val="false"/>
                <w:bCs w:val="false"/>
                <w:color w:val="000000"/>
                <w:sz w:val="19"/>
                <w:szCs w:val="19"/>
              </w:rPr>
              <w:t xml:space="preserve">Sediment toxicity results, including controls</w:t>
            </w:r>
          </w:p>
        </w:tc>
      </w:tr>
      <w:tr>
        <w:tc>
          <w:tcPr>
            <w:tcW w:type="dxa" w:w="3400"/>
            <w:shd w:fill="EAF0F7" w:color="auto" w:val="clear"/>
            <w:tcMar>
              <w:top w:type="dxa" w:w="40"/>
              <w:left w:type="dxa" w:w="90"/>
              <w:bottom w:type="dxa" w:w="40"/>
              <w:right w:type="dxa" w:w="90"/>
            </w:tcMar>
          </w:tcPr>
          <w:p>
            <w:pPr>
              <w:spacing w:after="20"/>
            </w:pPr>
            <w:r>
              <w:rPr>
                <w:b w:val="false"/>
                <w:bCs w:val="false"/>
                <w:color w:val="000000"/>
                <w:sz w:val="19"/>
                <w:szCs w:val="19"/>
              </w:rPr>
              <w:t xml:space="preserve">offshore_bri_sampledata</w:t>
            </w:r>
          </w:p>
        </w:tc>
        <w:tc>
          <w:tcPr>
            <w:tcW w:type="dxa" w:w="5800"/>
            <w:shd w:fill="EAF0F7" w:color="auto" w:val="clear"/>
            <w:tcMar>
              <w:top w:type="dxa" w:w="40"/>
              <w:left w:type="dxa" w:w="90"/>
              <w:bottom w:type="dxa" w:w="40"/>
              <w:right w:type="dxa" w:w="90"/>
            </w:tcMar>
          </w:tcPr>
          <w:p>
            <w:pPr>
              <w:spacing w:after="20"/>
            </w:pPr>
            <w:r>
              <w:rPr>
                <w:b w:val="false"/>
                <w:bCs w:val="false"/>
                <w:color w:val="000000"/>
                <w:sz w:val="19"/>
                <w:szCs w:val="19"/>
              </w:rPr>
              <w:t xml:space="preserve">Offshore infauna with depth/lat/long (6 stations, OFS-01…OFS-06)</w:t>
            </w:r>
          </w:p>
        </w:tc>
      </w:tr>
    </w:tbl>
    <w:p>
      <w:pPr>
        <w:pStyle w:val="Heading3"/>
        <w:spacing w:after="80" w:before="180"/>
      </w:pPr>
      <w:r>
        <w:t xml:space="preserve">Compiled Bight regional monitoring data</w:t>
      </w:r>
    </w:p>
    <w:p>
      <w:pPr>
        <w:spacing w:after="140" w:line="276"/>
      </w:pPr>
      <w:r>
        <w:t xml:space="preserve">Larger, real datasets compiled across Southern California Bight survey years (1998–2023): </w:t>
      </w:r>
      <w:r>
        <w:rPr>
          <w:rFonts w:ascii="Consolas" w:cs="Consolas" w:eastAsia="Consolas" w:hAnsi="Consolas"/>
          <w:sz w:val="19"/>
          <w:szCs w:val="19"/>
        </w:rPr>
        <w:t xml:space="preserve">bight.unified.chem</w:t>
      </w:r>
      <w:r>
        <w:t xml:space="preserve">, </w:t>
      </w:r>
      <w:r>
        <w:rPr>
          <w:rFonts w:ascii="Consolas" w:cs="Consolas" w:eastAsia="Consolas" w:hAnsi="Consolas"/>
          <w:sz w:val="19"/>
          <w:szCs w:val="19"/>
        </w:rPr>
        <w:t xml:space="preserve">bight.unified.tox</w:t>
      </w:r>
      <w:r>
        <w:t xml:space="preserve">, </w:t>
      </w:r>
      <w:r>
        <w:rPr>
          <w:rFonts w:ascii="Consolas" w:cs="Consolas" w:eastAsia="Consolas" w:hAnsi="Consolas"/>
          <w:sz w:val="19"/>
          <w:szCs w:val="19"/>
        </w:rPr>
        <w:t xml:space="preserve">bight.unified.benthic</w:t>
      </w:r>
      <w:r>
        <w:t xml:space="preserve">, and </w:t>
      </w:r>
      <w:r>
        <w:rPr>
          <w:rFonts w:ascii="Consolas" w:cs="Consolas" w:eastAsia="Consolas" w:hAnsi="Consolas"/>
          <w:sz w:val="19"/>
          <w:szCs w:val="19"/>
        </w:rPr>
        <w:t xml:space="preserve">bight.unified.benthic.offshore</w:t>
      </w:r>
      <w:r>
        <w:t xml:space="preserve">. Each is documented in the package help (e.g. </w:t>
      </w:r>
      <w:r>
        <w:rPr>
          <w:rFonts w:ascii="Consolas" w:cs="Consolas" w:eastAsia="Consolas" w:hAnsi="Consolas"/>
          <w:sz w:val="19"/>
          <w:szCs w:val="19"/>
        </w:rPr>
        <w:t xml:space="preserve">?bight.unified.chem</w:t>
      </w:r>
      <w:r>
        <w:t xml:space="preserve">).</w:t>
      </w:r>
    </w:p>
    <w:p>
      <w:pPr>
        <w:pStyle w:val="Heading1"/>
        <w:spacing w:after="140" w:before="320"/>
      </w:pPr>
      <w:r>
        <w:t xml:space="preserve">11. The Auditing Log</w:t>
      </w:r>
    </w:p>
    <w:p>
      <w:pPr>
        <w:spacing w:after="140" w:line="276"/>
      </w:pPr>
      <w:r>
        <w:t xml:space="preserve">Every line-of-evidence function can write a step-by-step R Markdown log of what it did to your data — which taxa were renamed, how non-detects were estimated, which thresholds applied — and </w:t>
      </w:r>
      <w:r>
        <w:rPr>
          <w:rFonts w:ascii="Consolas" w:cs="Consolas" w:eastAsia="Consolas" w:hAnsi="Consolas"/>
          <w:sz w:val="19"/>
          <w:szCs w:val="19"/>
        </w:rPr>
        <w:t xml:space="preserve">SQOUnified()</w:t>
      </w:r>
      <w:r>
        <w:t xml:space="preserve"> can merge them into one self-contained HTML report (set </w:t>
      </w:r>
      <w:r>
        <w:rPr>
          <w:rFonts w:ascii="Consolas" w:cs="Consolas" w:eastAsia="Consolas" w:hAnsi="Consolas"/>
          <w:sz w:val="19"/>
          <w:szCs w:val="19"/>
        </w:rPr>
        <w:t xml:space="preserve">knitlog = TRUE</w:t>
      </w:r>
      <w:r>
        <w:t xml:space="preserve">). By design, the logged code chunks are display-only: knitting the report documents the pipeline without re-executing it, so a report can be produced from the saved snapshots alone. This is what makes results reproducible and defensible for regulatory monitoring.</w:t>
      </w:r>
    </w:p>
    <w:p>
      <w:pPr>
        <w:pStyle w:val="Heading1"/>
        <w:spacing w:after="140" w:before="320"/>
      </w:pPr>
      <w:r>
        <w:t xml:space="preserve">12. Getting Help &amp; Contributing</w:t>
      </w:r>
    </w:p>
    <w:p>
      <w:pPr>
        <w:spacing w:after="140" w:line="276"/>
      </w:pPr>
      <w:r>
        <w:t xml:space="preserve">Every exported function and dataset has R help — use </w:t>
      </w:r>
      <w:r>
        <w:rPr>
          <w:rFonts w:ascii="Consolas" w:cs="Consolas" w:eastAsia="Consolas" w:hAnsi="Consolas"/>
          <w:sz w:val="19"/>
          <w:szCs w:val="19"/>
        </w:rPr>
        <w:t xml:space="preserve">?SQOUnified</w:t>
      </w:r>
      <w:r>
        <w:t xml:space="preserve">, </w:t>
      </w:r>
      <w:r>
        <w:rPr>
          <w:rFonts w:ascii="Consolas" w:cs="Consolas" w:eastAsia="Consolas" w:hAnsi="Consolas"/>
          <w:sz w:val="19"/>
          <w:szCs w:val="19"/>
        </w:rPr>
        <w:t xml:space="preserve">?BRI.Offshore</w:t>
      </w:r>
      <w:r>
        <w:t xml:space="preserve">, </w:t>
      </w:r>
      <w:r>
        <w:rPr>
          <w:rFonts w:ascii="Consolas" w:cs="Consolas" w:eastAsia="Consolas" w:hAnsi="Consolas"/>
          <w:sz w:val="19"/>
          <w:szCs w:val="19"/>
        </w:rPr>
        <w:t xml:space="preserve">?bight.unified.chem</w:t>
      </w:r>
      <w:r>
        <w:t xml:space="preserve">, and so on. The definitive methodological reference is the </w:t>
      </w:r>
    </w:p>
    <w:p>
      <w:pPr>
        <w:spacing w:after="140"/>
      </w:pPr>
      <w:hyperlink w:history="1" r:id="rIduaevd9ockbx2ygpr3_aic">
        <w:r>
          <w:rPr>
            <w:rStyle w:val="Hyperlink"/>
            <w:sz w:val="21"/>
            <w:szCs w:val="21"/>
          </w:rPr>
          <w:t xml:space="preserve">CASQO Technical Manual (777_CASQO_TechnicalManual.pdf)</w:t>
        </w:r>
      </w:hyperlink>
      <w:r>
        <w:t xml:space="preserve">.</w:t>
      </w:r>
    </w:p>
    <w:p>
      <w:pPr>
        <w:spacing w:after="140" w:line="276"/>
      </w:pPr>
      <w:r>
        <w:t xml:space="preserve">If you hit a problem, the maintainers prefer that you open an </w:t>
      </w:r>
      <w:hyperlink w:history="1" r:id="rIdjq5kzu530riuzwhk-csdw">
        <w:r>
          <w:rPr>
            <w:rStyle w:val="Hyperlink"/>
            <w:sz w:val="21"/>
            <w:szCs w:val="21"/>
          </w:rPr>
          <w:t xml:space="preserve">issue on GitHub</w:t>
        </w:r>
      </w:hyperlink>
      <w:r>
        <w:t xml:space="preserve"> rather than a pull request in most cases; feature requests are welcome there too.</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32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E5A88"/>
      <w:sz w:val="26"/>
      <w:szCs w:val="26"/>
    </w:rPr>
  </w:style>
  <w:style w:type="paragraph" w:styleId="Heading3">
    <w:name w:val="Heading 3"/>
    <w:basedOn w:val="Normal"/>
    <w:next w:val="Normal"/>
    <w:qFormat/>
    <w:pPr>
      <w:spacing w:after="70" w:before="160"/>
      <w:outlineLvl w:val="2"/>
    </w:pPr>
    <w:rPr>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evd9ockbx2ygpr3_aic" Type="http://schemas.openxmlformats.org/officeDocument/2006/relationships/hyperlink" Target="http://ftp.sccwrp.org/pub/download/DOCUMENTS/TechnicalReports/777_CASQO_TechnicalManual.pdf" TargetMode="External"/><Relationship Id="rIdjq5kzu530riuzwhk-csdw" Type="http://schemas.openxmlformats.org/officeDocument/2006/relationships/hyperlink" Target="https://github.com/SCCWRP/SQOUnified/issue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SQOUnified R Package Guide</dc:title>
  <dc:creator>SCCWRP</dc:creator>
  <dc:description>User guide for the SQOUnified R package</dc:description>
  <cp:lastModifiedBy>Un-named</cp:lastModifiedBy>
  <cp:revision>1</cp:revision>
  <dcterms:created xsi:type="dcterms:W3CDTF">2026-07-24T20:15:00.869Z</dcterms:created>
  <dcterms:modified xsi:type="dcterms:W3CDTF">2026-07-24T20:15:00.870Z</dcterms:modified>
</cp:coreProperties>
</file>

<file path=docProps/custom.xml><?xml version="1.0" encoding="utf-8"?>
<Properties xmlns="http://schemas.openxmlformats.org/officeDocument/2006/custom-properties" xmlns:vt="http://schemas.openxmlformats.org/officeDocument/2006/docPropsVTypes"/>
</file>